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034E2" w14:textId="5EC3210B" w:rsidR="000A2FFC" w:rsidRDefault="00B97D23">
      <w:r>
        <w:rPr>
          <w:noProof/>
        </w:rPr>
        <w:drawing>
          <wp:anchor distT="0" distB="0" distL="114300" distR="114300" simplePos="0" relativeHeight="251647488" behindDoc="1" locked="0" layoutInCell="1" allowOverlap="1" wp14:anchorId="4E50F9BF" wp14:editId="7ED78320">
            <wp:simplePos x="0" y="0"/>
            <wp:positionH relativeFrom="page">
              <wp:posOffset>-28575</wp:posOffset>
            </wp:positionH>
            <wp:positionV relativeFrom="page">
              <wp:posOffset>47625</wp:posOffset>
            </wp:positionV>
            <wp:extent cx="7629525" cy="10801350"/>
            <wp:effectExtent l="19050" t="0" r="9525" b="0"/>
            <wp:wrapNone/>
            <wp:docPr id="15" name="Picture 1" descr="Arts ACT-cover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8" cstate="print"/>
                    <a:srcRect/>
                    <a:stretch>
                      <a:fillRect/>
                    </a:stretch>
                  </pic:blipFill>
                  <pic:spPr bwMode="auto">
                    <a:xfrm flipV="1">
                      <a:off x="0" y="0"/>
                      <a:ext cx="7629525" cy="10801350"/>
                    </a:xfrm>
                    <a:prstGeom prst="rect">
                      <a:avLst/>
                    </a:prstGeom>
                    <a:noFill/>
                    <a:ln w="9525">
                      <a:noFill/>
                      <a:miter lim="800000"/>
                      <a:headEnd/>
                      <a:tailEnd/>
                    </a:ln>
                  </pic:spPr>
                </pic:pic>
              </a:graphicData>
            </a:graphic>
          </wp:anchor>
        </w:drawing>
      </w:r>
      <w:r w:rsidR="00A816F5">
        <w:rPr>
          <w:noProof/>
        </w:rPr>
        <w:drawing>
          <wp:anchor distT="0" distB="0" distL="114300" distR="114300" simplePos="0" relativeHeight="251646464" behindDoc="0" locked="0" layoutInCell="1" allowOverlap="1" wp14:anchorId="30173B21" wp14:editId="06442361">
            <wp:simplePos x="0" y="0"/>
            <wp:positionH relativeFrom="margin">
              <wp:posOffset>0</wp:posOffset>
            </wp:positionH>
            <wp:positionV relativeFrom="page">
              <wp:posOffset>1440180</wp:posOffset>
            </wp:positionV>
            <wp:extent cx="1413510" cy="723265"/>
            <wp:effectExtent l="19050" t="0" r="0" b="0"/>
            <wp:wrapSquare wrapText="bothSides"/>
            <wp:docPr id="16"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9" cstate="print"/>
                    <a:srcRect/>
                    <a:stretch>
                      <a:fillRect/>
                    </a:stretch>
                  </pic:blipFill>
                  <pic:spPr bwMode="auto">
                    <a:xfrm>
                      <a:off x="0" y="0"/>
                      <a:ext cx="1413510" cy="723265"/>
                    </a:xfrm>
                    <a:prstGeom prst="rect">
                      <a:avLst/>
                    </a:prstGeom>
                    <a:noFill/>
                    <a:ln w="9525">
                      <a:noFill/>
                      <a:miter lim="800000"/>
                      <a:headEnd/>
                      <a:tailEnd/>
                    </a:ln>
                  </pic:spPr>
                </pic:pic>
              </a:graphicData>
            </a:graphic>
          </wp:anchor>
        </w:drawing>
      </w:r>
    </w:p>
    <w:p w14:paraId="30F9B917" w14:textId="77777777" w:rsidR="00F875BD" w:rsidRDefault="00F875BD"/>
    <w:p w14:paraId="773E6BE9" w14:textId="5E4CFB9B" w:rsidR="00F875BD" w:rsidRDefault="008947D8">
      <w:pPr>
        <w:spacing w:line="276" w:lineRule="auto"/>
        <w:rPr>
          <w:rFonts w:ascii="Arial" w:eastAsia="Times New Roman" w:hAnsi="Arial"/>
          <w:caps/>
          <w:noProof/>
          <w:color w:val="482D8C"/>
          <w:sz w:val="36"/>
          <w:szCs w:val="40"/>
        </w:rPr>
      </w:pPr>
      <w:r>
        <w:rPr>
          <w:rFonts w:ascii="Arial" w:eastAsia="Times New Roman" w:hAnsi="Arial"/>
          <w:caps/>
          <w:noProof/>
          <w:color w:val="482D8C"/>
          <w:sz w:val="36"/>
          <w:szCs w:val="40"/>
        </w:rPr>
        <mc:AlternateContent>
          <mc:Choice Requires="wps">
            <w:drawing>
              <wp:anchor distT="0" distB="0" distL="114300" distR="114300" simplePos="0" relativeHeight="251656704" behindDoc="0" locked="0" layoutInCell="1" allowOverlap="1" wp14:anchorId="7F0DF12A" wp14:editId="4ED7AA4A">
                <wp:simplePos x="0" y="0"/>
                <wp:positionH relativeFrom="margin">
                  <wp:align>right</wp:align>
                </wp:positionH>
                <wp:positionV relativeFrom="page">
                  <wp:posOffset>3343275</wp:posOffset>
                </wp:positionV>
                <wp:extent cx="5981700" cy="6400800"/>
                <wp:effectExtent l="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40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6BB75" w14:textId="77777777" w:rsidR="004E61FD" w:rsidRPr="004E61FD" w:rsidRDefault="004E61FD" w:rsidP="004E61FD">
                            <w:pPr>
                              <w:pStyle w:val="Title"/>
                              <w:rPr>
                                <w:rFonts w:asciiTheme="minorHAnsi" w:hAnsiTheme="minorHAnsi"/>
                                <w:color w:val="FFFFFF"/>
                              </w:rPr>
                            </w:pPr>
                            <w:r w:rsidRPr="004E61FD">
                              <w:rPr>
                                <w:rFonts w:asciiTheme="minorHAnsi" w:hAnsiTheme="minorHAnsi"/>
                                <w:color w:val="FFFFFF"/>
                              </w:rPr>
                              <w:t xml:space="preserve">further consultation on </w:t>
                            </w:r>
                          </w:p>
                          <w:p w14:paraId="7FB22D00" w14:textId="77777777" w:rsidR="004E61FD" w:rsidRPr="004E61FD" w:rsidRDefault="004E61FD" w:rsidP="004E61FD">
                            <w:pPr>
                              <w:pStyle w:val="Title"/>
                              <w:rPr>
                                <w:rFonts w:asciiTheme="minorHAnsi" w:hAnsiTheme="minorHAnsi"/>
                                <w:color w:val="FFFFFF"/>
                              </w:rPr>
                            </w:pPr>
                            <w:r w:rsidRPr="004E61FD">
                              <w:rPr>
                                <w:rFonts w:asciiTheme="minorHAnsi" w:hAnsiTheme="minorHAnsi"/>
                                <w:color w:val="FFFFFF"/>
                              </w:rPr>
                              <w:t>Taxi licences and fares</w:t>
                            </w:r>
                          </w:p>
                          <w:p w14:paraId="2C63BE9F" w14:textId="77777777" w:rsidR="004E49FA" w:rsidRDefault="004E49FA" w:rsidP="007174A7">
                            <w:pPr>
                              <w:pStyle w:val="Title"/>
                              <w:rPr>
                                <w:rFonts w:asciiTheme="minorHAnsi" w:hAnsiTheme="minorHAnsi"/>
                                <w:color w:val="FFFFFF"/>
                              </w:rPr>
                            </w:pPr>
                          </w:p>
                          <w:p w14:paraId="46371068" w14:textId="51786FF8" w:rsidR="004E49FA" w:rsidRPr="004E61FD" w:rsidRDefault="004E49FA" w:rsidP="007174A7">
                            <w:pPr>
                              <w:pStyle w:val="Title"/>
                              <w:rPr>
                                <w:rFonts w:asciiTheme="minorHAnsi" w:hAnsiTheme="minorHAnsi"/>
                                <w:color w:val="FFFFFF"/>
                                <w:sz w:val="56"/>
                                <w:szCs w:val="56"/>
                              </w:rPr>
                            </w:pPr>
                            <w:r w:rsidRPr="004E61FD">
                              <w:rPr>
                                <w:rFonts w:asciiTheme="minorHAnsi" w:hAnsiTheme="minorHAnsi"/>
                                <w:color w:val="FFFFFF"/>
                                <w:sz w:val="56"/>
                                <w:szCs w:val="56"/>
                              </w:rPr>
                              <w:t xml:space="preserve">reform of ON-Demand Transport industry in the ACT </w:t>
                            </w:r>
                          </w:p>
                          <w:p w14:paraId="5B43B586" w14:textId="77777777" w:rsidR="004E49FA" w:rsidRDefault="004E49FA" w:rsidP="007174A7">
                            <w:pPr>
                              <w:pStyle w:val="Title"/>
                              <w:rPr>
                                <w:rFonts w:asciiTheme="minorHAnsi" w:hAnsiTheme="minorHAnsi"/>
                                <w:color w:val="FFFFFF"/>
                                <w:sz w:val="44"/>
                                <w:szCs w:val="44"/>
                              </w:rPr>
                            </w:pPr>
                          </w:p>
                          <w:p w14:paraId="5AE9765D" w14:textId="715B2A73" w:rsidR="004E49FA" w:rsidRPr="007C62CF" w:rsidRDefault="004E49FA" w:rsidP="00186DDF">
                            <w:pPr>
                              <w:pStyle w:val="Subtitle"/>
                              <w:spacing w:line="240" w:lineRule="auto"/>
                              <w:rPr>
                                <w:rFonts w:asciiTheme="minorHAnsi" w:hAnsiTheme="minorHAnsi"/>
                                <w:b/>
                                <w:color w:val="FFFFFF" w:themeColor="background1"/>
                                <w:sz w:val="72"/>
                                <w:szCs w:val="72"/>
                              </w:rPr>
                            </w:pPr>
                            <w:r w:rsidRPr="007C62CF">
                              <w:rPr>
                                <w:rFonts w:asciiTheme="minorHAnsi" w:hAnsiTheme="minorHAnsi"/>
                                <w:b/>
                                <w:color w:val="FFFFFF" w:themeColor="background1"/>
                                <w:sz w:val="72"/>
                                <w:szCs w:val="72"/>
                              </w:rPr>
                              <w:t xml:space="preserve">DISCUSSION PAPER </w:t>
                            </w:r>
                          </w:p>
                          <w:p w14:paraId="7EF5112F" w14:textId="0184223B" w:rsidR="004E49FA" w:rsidRDefault="004E49FA" w:rsidP="0089332C">
                            <w:pPr>
                              <w:pStyle w:val="Subtitle"/>
                              <w:rPr>
                                <w:color w:val="FFFFFF"/>
                              </w:rPr>
                            </w:pPr>
                          </w:p>
                          <w:p w14:paraId="42ACC7DA" w14:textId="77777777" w:rsidR="004E49FA" w:rsidRDefault="004E49FA" w:rsidP="0089332C">
                            <w:pPr>
                              <w:pStyle w:val="Subtitle"/>
                              <w:rPr>
                                <w:color w:val="FFFFFF"/>
                              </w:rPr>
                            </w:pPr>
                          </w:p>
                          <w:p w14:paraId="797BD068" w14:textId="77777777" w:rsidR="004E49FA" w:rsidRDefault="004E49FA" w:rsidP="0089332C">
                            <w:pPr>
                              <w:pStyle w:val="Subtitle"/>
                              <w:rPr>
                                <w:color w:val="FFFFFF"/>
                              </w:rPr>
                            </w:pPr>
                          </w:p>
                          <w:p w14:paraId="1DF71A4C" w14:textId="77777777" w:rsidR="004E49FA" w:rsidRDefault="004E49FA" w:rsidP="0089332C">
                            <w:pPr>
                              <w:pStyle w:val="Subtitle"/>
                              <w:rPr>
                                <w:color w:val="FFFFFF"/>
                              </w:rPr>
                            </w:pPr>
                          </w:p>
                          <w:p w14:paraId="2BB89A78" w14:textId="77777777" w:rsidR="004E49FA" w:rsidRDefault="004E49FA" w:rsidP="0089332C">
                            <w:pPr>
                              <w:pStyle w:val="Subtitle"/>
                              <w:rPr>
                                <w:color w:val="FFFFFF"/>
                              </w:rPr>
                            </w:pPr>
                          </w:p>
                          <w:p w14:paraId="640AC4A9" w14:textId="0C2763C9" w:rsidR="004E49FA" w:rsidRPr="00186DDF" w:rsidRDefault="004E49FA" w:rsidP="0089332C">
                            <w:pPr>
                              <w:pStyle w:val="Subtitle"/>
                              <w:rPr>
                                <w:color w:val="FFFFFF"/>
                                <w:sz w:val="28"/>
                                <w:szCs w:val="28"/>
                              </w:rPr>
                            </w:pPr>
                            <w:r w:rsidRPr="00186DDF">
                              <w:rPr>
                                <w:color w:val="FFFFFF"/>
                                <w:sz w:val="28"/>
                                <w:szCs w:val="28"/>
                              </w:rPr>
                              <w:t>September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DF12A" id="_x0000_t202" coordsize="21600,21600" o:spt="202" path="m,l,21600r21600,l21600,xe">
                <v:stroke joinstyle="miter"/>
                <v:path gradientshapeok="t" o:connecttype="rect"/>
              </v:shapetype>
              <v:shape id="Text Box 9" o:spid="_x0000_s1026" type="#_x0000_t202" style="position:absolute;margin-left:419.8pt;margin-top:263.25pt;width:471pt;height:7in;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tuA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" filled="f" stroked="f">
                <v:textbox>
                  <w:txbxContent>
                    <w:p w14:paraId="05E6BB75" w14:textId="77777777" w:rsidR="004E61FD" w:rsidRPr="004E61FD" w:rsidRDefault="004E61FD" w:rsidP="004E61FD">
                      <w:pPr>
                        <w:pStyle w:val="Title"/>
                        <w:rPr>
                          <w:rFonts w:asciiTheme="minorHAnsi" w:hAnsiTheme="minorHAnsi"/>
                          <w:color w:val="FFFFFF"/>
                        </w:rPr>
                      </w:pPr>
                      <w:r w:rsidRPr="004E61FD">
                        <w:rPr>
                          <w:rFonts w:asciiTheme="minorHAnsi" w:hAnsiTheme="minorHAnsi"/>
                          <w:color w:val="FFFFFF"/>
                        </w:rPr>
                        <w:t xml:space="preserve">further consultation on </w:t>
                      </w:r>
                    </w:p>
                    <w:p w14:paraId="7FB22D00" w14:textId="77777777" w:rsidR="004E61FD" w:rsidRPr="004E61FD" w:rsidRDefault="004E61FD" w:rsidP="004E61FD">
                      <w:pPr>
                        <w:pStyle w:val="Title"/>
                        <w:rPr>
                          <w:rFonts w:asciiTheme="minorHAnsi" w:hAnsiTheme="minorHAnsi"/>
                          <w:color w:val="FFFFFF"/>
                        </w:rPr>
                      </w:pPr>
                      <w:r w:rsidRPr="004E61FD">
                        <w:rPr>
                          <w:rFonts w:asciiTheme="minorHAnsi" w:hAnsiTheme="minorHAnsi"/>
                          <w:color w:val="FFFFFF"/>
                        </w:rPr>
                        <w:t>Taxi licences and fares</w:t>
                      </w:r>
                    </w:p>
                    <w:p w14:paraId="2C63BE9F" w14:textId="77777777" w:rsidR="004E49FA" w:rsidRDefault="004E49FA" w:rsidP="007174A7">
                      <w:pPr>
                        <w:pStyle w:val="Title"/>
                        <w:rPr>
                          <w:rFonts w:asciiTheme="minorHAnsi" w:hAnsiTheme="minorHAnsi"/>
                          <w:color w:val="FFFFFF"/>
                        </w:rPr>
                      </w:pPr>
                    </w:p>
                    <w:p w14:paraId="46371068" w14:textId="51786FF8" w:rsidR="004E49FA" w:rsidRPr="004E61FD" w:rsidRDefault="004E49FA" w:rsidP="007174A7">
                      <w:pPr>
                        <w:pStyle w:val="Title"/>
                        <w:rPr>
                          <w:rFonts w:asciiTheme="minorHAnsi" w:hAnsiTheme="minorHAnsi"/>
                          <w:color w:val="FFFFFF"/>
                          <w:sz w:val="56"/>
                          <w:szCs w:val="56"/>
                        </w:rPr>
                      </w:pPr>
                      <w:r w:rsidRPr="004E61FD">
                        <w:rPr>
                          <w:rFonts w:asciiTheme="minorHAnsi" w:hAnsiTheme="minorHAnsi"/>
                          <w:color w:val="FFFFFF"/>
                          <w:sz w:val="56"/>
                          <w:szCs w:val="56"/>
                        </w:rPr>
                        <w:t xml:space="preserve">reform of ON-Demand Transport industry in the ACT </w:t>
                      </w:r>
                    </w:p>
                    <w:p w14:paraId="5B43B586" w14:textId="77777777" w:rsidR="004E49FA" w:rsidRDefault="004E49FA" w:rsidP="007174A7">
                      <w:pPr>
                        <w:pStyle w:val="Title"/>
                        <w:rPr>
                          <w:rFonts w:asciiTheme="minorHAnsi" w:hAnsiTheme="minorHAnsi"/>
                          <w:color w:val="FFFFFF"/>
                          <w:sz w:val="44"/>
                          <w:szCs w:val="44"/>
                        </w:rPr>
                      </w:pPr>
                    </w:p>
                    <w:p w14:paraId="5AE9765D" w14:textId="715B2A73" w:rsidR="004E49FA" w:rsidRPr="007C62CF" w:rsidRDefault="004E49FA" w:rsidP="00186DDF">
                      <w:pPr>
                        <w:pStyle w:val="Subtitle"/>
                        <w:spacing w:line="240" w:lineRule="auto"/>
                        <w:rPr>
                          <w:rFonts w:asciiTheme="minorHAnsi" w:hAnsiTheme="minorHAnsi"/>
                          <w:b/>
                          <w:color w:val="FFFFFF" w:themeColor="background1"/>
                          <w:sz w:val="72"/>
                          <w:szCs w:val="72"/>
                        </w:rPr>
                      </w:pPr>
                      <w:r w:rsidRPr="007C62CF">
                        <w:rPr>
                          <w:rFonts w:asciiTheme="minorHAnsi" w:hAnsiTheme="minorHAnsi"/>
                          <w:b/>
                          <w:color w:val="FFFFFF" w:themeColor="background1"/>
                          <w:sz w:val="72"/>
                          <w:szCs w:val="72"/>
                        </w:rPr>
                        <w:t xml:space="preserve">DISCUSSION PAPER </w:t>
                      </w:r>
                    </w:p>
                    <w:p w14:paraId="7EF5112F" w14:textId="0184223B" w:rsidR="004E49FA" w:rsidRDefault="004E49FA" w:rsidP="0089332C">
                      <w:pPr>
                        <w:pStyle w:val="Subtitle"/>
                        <w:rPr>
                          <w:color w:val="FFFFFF"/>
                        </w:rPr>
                      </w:pPr>
                    </w:p>
                    <w:p w14:paraId="42ACC7DA" w14:textId="77777777" w:rsidR="004E49FA" w:rsidRDefault="004E49FA" w:rsidP="0089332C">
                      <w:pPr>
                        <w:pStyle w:val="Subtitle"/>
                        <w:rPr>
                          <w:color w:val="FFFFFF"/>
                        </w:rPr>
                      </w:pPr>
                    </w:p>
                    <w:p w14:paraId="797BD068" w14:textId="77777777" w:rsidR="004E49FA" w:rsidRDefault="004E49FA" w:rsidP="0089332C">
                      <w:pPr>
                        <w:pStyle w:val="Subtitle"/>
                        <w:rPr>
                          <w:color w:val="FFFFFF"/>
                        </w:rPr>
                      </w:pPr>
                    </w:p>
                    <w:p w14:paraId="1DF71A4C" w14:textId="77777777" w:rsidR="004E49FA" w:rsidRDefault="004E49FA" w:rsidP="0089332C">
                      <w:pPr>
                        <w:pStyle w:val="Subtitle"/>
                        <w:rPr>
                          <w:color w:val="FFFFFF"/>
                        </w:rPr>
                      </w:pPr>
                    </w:p>
                    <w:p w14:paraId="2BB89A78" w14:textId="77777777" w:rsidR="004E49FA" w:rsidRDefault="004E49FA" w:rsidP="0089332C">
                      <w:pPr>
                        <w:pStyle w:val="Subtitle"/>
                        <w:rPr>
                          <w:color w:val="FFFFFF"/>
                        </w:rPr>
                      </w:pPr>
                    </w:p>
                    <w:p w14:paraId="640AC4A9" w14:textId="0C2763C9" w:rsidR="004E49FA" w:rsidRPr="00186DDF" w:rsidRDefault="004E49FA" w:rsidP="0089332C">
                      <w:pPr>
                        <w:pStyle w:val="Subtitle"/>
                        <w:rPr>
                          <w:color w:val="FFFFFF"/>
                          <w:sz w:val="28"/>
                          <w:szCs w:val="28"/>
                        </w:rPr>
                      </w:pPr>
                      <w:r w:rsidRPr="00186DDF">
                        <w:rPr>
                          <w:color w:val="FFFFFF"/>
                          <w:sz w:val="28"/>
                          <w:szCs w:val="28"/>
                        </w:rPr>
                        <w:t>September 2018</w:t>
                      </w:r>
                    </w:p>
                  </w:txbxContent>
                </v:textbox>
                <w10:wrap anchorx="margin" anchory="page"/>
              </v:shape>
            </w:pict>
          </mc:Fallback>
        </mc:AlternateContent>
      </w:r>
      <w:r w:rsidR="00F875BD">
        <w:rPr>
          <w:rFonts w:ascii="Arial" w:eastAsia="Times New Roman" w:hAnsi="Arial"/>
          <w:caps/>
          <w:noProof/>
          <w:color w:val="482D8C"/>
          <w:sz w:val="36"/>
          <w:szCs w:val="40"/>
        </w:rPr>
        <w:br w:type="page"/>
      </w:r>
    </w:p>
    <w:p w14:paraId="09A4D40B" w14:textId="77777777" w:rsidR="0048531A" w:rsidRDefault="0048531A" w:rsidP="00E1619D">
      <w:pPr>
        <w:ind w:right="3923"/>
        <w:rPr>
          <w:b/>
        </w:rPr>
      </w:pPr>
    </w:p>
    <w:p w14:paraId="13674CEA" w14:textId="77777777" w:rsidR="0048531A" w:rsidRDefault="0048531A" w:rsidP="00E1619D">
      <w:pPr>
        <w:ind w:right="3923"/>
        <w:rPr>
          <w:b/>
        </w:rPr>
      </w:pPr>
    </w:p>
    <w:p w14:paraId="7CFE7935" w14:textId="77777777" w:rsidR="0048531A" w:rsidRDefault="0048531A" w:rsidP="00E1619D">
      <w:pPr>
        <w:ind w:right="3923"/>
        <w:rPr>
          <w:b/>
        </w:rPr>
      </w:pPr>
    </w:p>
    <w:p w14:paraId="497CDC0A" w14:textId="77777777" w:rsidR="0048531A" w:rsidRDefault="0048531A" w:rsidP="00E1619D">
      <w:pPr>
        <w:ind w:right="3923"/>
        <w:rPr>
          <w:b/>
        </w:rPr>
      </w:pPr>
    </w:p>
    <w:p w14:paraId="56125A27" w14:textId="77777777" w:rsidR="0048531A" w:rsidRDefault="0048531A" w:rsidP="00E1619D">
      <w:pPr>
        <w:ind w:right="3923"/>
        <w:rPr>
          <w:b/>
        </w:rPr>
      </w:pPr>
    </w:p>
    <w:p w14:paraId="57754EDE" w14:textId="77777777" w:rsidR="00E1619D" w:rsidRPr="00C07E5B" w:rsidRDefault="00E1619D" w:rsidP="00E1619D">
      <w:pPr>
        <w:ind w:right="3923"/>
        <w:rPr>
          <w:b/>
        </w:rPr>
      </w:pPr>
      <w:r w:rsidRPr="00C07E5B">
        <w:rPr>
          <w:b/>
        </w:rPr>
        <w:t xml:space="preserve">Accessibility </w:t>
      </w:r>
    </w:p>
    <w:p w14:paraId="495B9B10" w14:textId="77777777" w:rsidR="0048531A" w:rsidRDefault="00E1619D" w:rsidP="00E1619D">
      <w:pPr>
        <w:ind w:right="3923"/>
      </w:pPr>
      <w:r>
        <w:t xml:space="preserve">The ACT Government is committed to making its information, services, events and venues as accessible as possible. If you have difficulty reading a standard printed document and would like to receive this publication in an alternative format, such as large print, please phone Access Canberra on 13 22 81 or email the </w:t>
      </w:r>
      <w:r w:rsidR="00DA2B12">
        <w:t xml:space="preserve">Chief Minister, Treasury &amp; Economic Development </w:t>
      </w:r>
      <w:r>
        <w:t xml:space="preserve">Directorate at </w:t>
      </w:r>
      <w:hyperlink r:id="rId10" w:history="1">
        <w:r w:rsidR="0048531A" w:rsidRPr="00A45ED2">
          <w:rPr>
            <w:rStyle w:val="Hyperlink"/>
          </w:rPr>
          <w:t>regulatoryreform@act.gov.au</w:t>
        </w:r>
      </w:hyperlink>
      <w:r w:rsidR="0048531A">
        <w:t xml:space="preserve"> </w:t>
      </w:r>
    </w:p>
    <w:p w14:paraId="37370545" w14:textId="77777777" w:rsidR="0048531A" w:rsidRDefault="0048531A" w:rsidP="00E1619D">
      <w:pPr>
        <w:ind w:right="3923"/>
      </w:pPr>
    </w:p>
    <w:p w14:paraId="503F9486" w14:textId="0FE74B0E" w:rsidR="00C9508C" w:rsidRDefault="00E1619D" w:rsidP="00E1619D">
      <w:pPr>
        <w:ind w:right="3923"/>
        <w:rPr>
          <w:rFonts w:ascii="Arial" w:hAnsi="Arial"/>
          <w:color w:val="00AEEF"/>
          <w:szCs w:val="32"/>
        </w:rPr>
      </w:pPr>
      <w:r>
        <w:t>If English is not your first language and you require a translating and interpreting service, please phone 13 14 50. If you are deaf, or have a speech or hearing impairment, and need the teletypewriter service, please phone 13 36 77 and ask for Access Canberra on 13 22 81. For speak and listen users, please phone 1300 555 727 and ask for Access Canberra on 13 22 81. For more information on these services visit http://www.relayservice.com.au</w:t>
      </w:r>
      <w:r w:rsidR="00C9508C">
        <w:br w:type="page"/>
      </w:r>
    </w:p>
    <w:p w14:paraId="4298749A" w14:textId="740BD34C" w:rsidR="00FA6CC7" w:rsidRDefault="00FA6CC7" w:rsidP="002B518B">
      <w:pPr>
        <w:spacing w:before="0" w:after="0"/>
        <w:rPr>
          <w:b/>
          <w:sz w:val="34"/>
        </w:rPr>
      </w:pPr>
      <w:r>
        <w:rPr>
          <w:b/>
          <w:sz w:val="34"/>
        </w:rPr>
        <w:lastRenderedPageBreak/>
        <w:t>CONTENTS</w:t>
      </w:r>
    </w:p>
    <w:bookmarkStart w:id="0" w:name="_Toc490582628"/>
    <w:bookmarkStart w:id="1" w:name="_Toc490582701"/>
    <w:p w14:paraId="591E7A8C" w14:textId="77777777" w:rsidR="0048531A" w:rsidRDefault="00FA6CC7">
      <w:pPr>
        <w:pStyle w:val="TOC1"/>
        <w:rPr>
          <w:rFonts w:asciiTheme="minorHAnsi" w:eastAsiaTheme="minorEastAsia" w:hAnsiTheme="minorHAnsi" w:cstheme="minorBidi"/>
          <w:caps w:val="0"/>
          <w:color w:val="auto"/>
          <w:sz w:val="22"/>
          <w:szCs w:val="22"/>
        </w:rPr>
      </w:pPr>
      <w:r w:rsidRPr="00600DF2">
        <w:rPr>
          <w:color w:val="auto"/>
          <w:sz w:val="15"/>
        </w:rPr>
        <w:fldChar w:fldCharType="begin"/>
      </w:r>
      <w:r w:rsidRPr="00600DF2">
        <w:rPr>
          <w:color w:val="auto"/>
          <w:sz w:val="15"/>
        </w:rPr>
        <w:instrText xml:space="preserve"> TOC \o "1-4" \h \z \u </w:instrText>
      </w:r>
      <w:r w:rsidRPr="00600DF2">
        <w:rPr>
          <w:color w:val="auto"/>
          <w:sz w:val="15"/>
        </w:rPr>
        <w:fldChar w:fldCharType="separate"/>
      </w:r>
      <w:hyperlink w:anchor="_Toc524892388" w:history="1">
        <w:r w:rsidR="0048531A" w:rsidRPr="00581976">
          <w:rPr>
            <w:rStyle w:val="Hyperlink"/>
          </w:rPr>
          <w:t>Ministers’ Introduction</w:t>
        </w:r>
        <w:r w:rsidR="0048531A">
          <w:rPr>
            <w:webHidden/>
          </w:rPr>
          <w:tab/>
        </w:r>
        <w:r w:rsidR="0048531A">
          <w:rPr>
            <w:webHidden/>
          </w:rPr>
          <w:fldChar w:fldCharType="begin"/>
        </w:r>
        <w:r w:rsidR="0048531A">
          <w:rPr>
            <w:webHidden/>
          </w:rPr>
          <w:instrText xml:space="preserve"> PAGEREF _Toc524892388 \h </w:instrText>
        </w:r>
        <w:r w:rsidR="0048531A">
          <w:rPr>
            <w:webHidden/>
          </w:rPr>
        </w:r>
        <w:r w:rsidR="0048531A">
          <w:rPr>
            <w:webHidden/>
          </w:rPr>
          <w:fldChar w:fldCharType="separate"/>
        </w:r>
        <w:r w:rsidR="00F515B2">
          <w:rPr>
            <w:webHidden/>
          </w:rPr>
          <w:t>2</w:t>
        </w:r>
        <w:r w:rsidR="0048531A">
          <w:rPr>
            <w:webHidden/>
          </w:rPr>
          <w:fldChar w:fldCharType="end"/>
        </w:r>
      </w:hyperlink>
    </w:p>
    <w:p w14:paraId="015041D4" w14:textId="77777777" w:rsidR="0048531A" w:rsidRDefault="00F515B2">
      <w:pPr>
        <w:pStyle w:val="TOC1"/>
        <w:rPr>
          <w:rFonts w:asciiTheme="minorHAnsi" w:eastAsiaTheme="minorEastAsia" w:hAnsiTheme="minorHAnsi" w:cstheme="minorBidi"/>
          <w:caps w:val="0"/>
          <w:color w:val="auto"/>
          <w:sz w:val="22"/>
          <w:szCs w:val="22"/>
        </w:rPr>
      </w:pPr>
      <w:hyperlink w:anchor="_Toc524892389" w:history="1">
        <w:r w:rsidR="0048531A" w:rsidRPr="00581976">
          <w:rPr>
            <w:rStyle w:val="Hyperlink"/>
          </w:rPr>
          <w:t>The cap on taxi licences</w:t>
        </w:r>
        <w:r w:rsidR="0048531A">
          <w:rPr>
            <w:webHidden/>
          </w:rPr>
          <w:tab/>
        </w:r>
        <w:r w:rsidR="0048531A">
          <w:rPr>
            <w:webHidden/>
          </w:rPr>
          <w:fldChar w:fldCharType="begin"/>
        </w:r>
        <w:r w:rsidR="0048531A">
          <w:rPr>
            <w:webHidden/>
          </w:rPr>
          <w:instrText xml:space="preserve"> PAGEREF _Toc524892389 \h </w:instrText>
        </w:r>
        <w:r w:rsidR="0048531A">
          <w:rPr>
            <w:webHidden/>
          </w:rPr>
        </w:r>
        <w:r w:rsidR="0048531A">
          <w:rPr>
            <w:webHidden/>
          </w:rPr>
          <w:fldChar w:fldCharType="separate"/>
        </w:r>
        <w:r>
          <w:rPr>
            <w:webHidden/>
          </w:rPr>
          <w:t>4</w:t>
        </w:r>
        <w:r w:rsidR="0048531A">
          <w:rPr>
            <w:webHidden/>
          </w:rPr>
          <w:fldChar w:fldCharType="end"/>
        </w:r>
      </w:hyperlink>
    </w:p>
    <w:p w14:paraId="7EFA03E1"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390" w:history="1">
        <w:r w:rsidR="0048531A" w:rsidRPr="00581976">
          <w:rPr>
            <w:rStyle w:val="Hyperlink"/>
            <w:b/>
            <w:noProof/>
          </w:rPr>
          <w:t>Background</w:t>
        </w:r>
        <w:r w:rsidR="0048531A">
          <w:rPr>
            <w:noProof/>
            <w:webHidden/>
          </w:rPr>
          <w:tab/>
        </w:r>
        <w:r w:rsidR="0048531A">
          <w:rPr>
            <w:noProof/>
            <w:webHidden/>
          </w:rPr>
          <w:fldChar w:fldCharType="begin"/>
        </w:r>
        <w:r w:rsidR="0048531A">
          <w:rPr>
            <w:noProof/>
            <w:webHidden/>
          </w:rPr>
          <w:instrText xml:space="preserve"> PAGEREF _Toc524892390 \h </w:instrText>
        </w:r>
        <w:r w:rsidR="0048531A">
          <w:rPr>
            <w:noProof/>
            <w:webHidden/>
          </w:rPr>
        </w:r>
        <w:r w:rsidR="0048531A">
          <w:rPr>
            <w:noProof/>
            <w:webHidden/>
          </w:rPr>
          <w:fldChar w:fldCharType="separate"/>
        </w:r>
        <w:r>
          <w:rPr>
            <w:noProof/>
            <w:webHidden/>
          </w:rPr>
          <w:t>4</w:t>
        </w:r>
        <w:r w:rsidR="0048531A">
          <w:rPr>
            <w:noProof/>
            <w:webHidden/>
          </w:rPr>
          <w:fldChar w:fldCharType="end"/>
        </w:r>
      </w:hyperlink>
    </w:p>
    <w:p w14:paraId="5873D2D6"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391" w:history="1">
        <w:r w:rsidR="0048531A" w:rsidRPr="00581976">
          <w:rPr>
            <w:rStyle w:val="Hyperlink"/>
            <w:b/>
            <w:noProof/>
          </w:rPr>
          <w:t>current licence Regulation</w:t>
        </w:r>
        <w:r w:rsidR="0048531A">
          <w:rPr>
            <w:noProof/>
            <w:webHidden/>
          </w:rPr>
          <w:tab/>
        </w:r>
        <w:r w:rsidR="0048531A">
          <w:rPr>
            <w:noProof/>
            <w:webHidden/>
          </w:rPr>
          <w:fldChar w:fldCharType="begin"/>
        </w:r>
        <w:r w:rsidR="0048531A">
          <w:rPr>
            <w:noProof/>
            <w:webHidden/>
          </w:rPr>
          <w:instrText xml:space="preserve"> PAGEREF _Toc524892391 \h </w:instrText>
        </w:r>
        <w:r w:rsidR="0048531A">
          <w:rPr>
            <w:noProof/>
            <w:webHidden/>
          </w:rPr>
        </w:r>
        <w:r w:rsidR="0048531A">
          <w:rPr>
            <w:noProof/>
            <w:webHidden/>
          </w:rPr>
          <w:fldChar w:fldCharType="separate"/>
        </w:r>
        <w:r>
          <w:rPr>
            <w:noProof/>
            <w:webHidden/>
          </w:rPr>
          <w:t>4</w:t>
        </w:r>
        <w:r w:rsidR="0048531A">
          <w:rPr>
            <w:noProof/>
            <w:webHidden/>
          </w:rPr>
          <w:fldChar w:fldCharType="end"/>
        </w:r>
      </w:hyperlink>
    </w:p>
    <w:p w14:paraId="6E6C4A1C"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2" w:history="1">
        <w:r w:rsidR="0048531A" w:rsidRPr="00581976">
          <w:rPr>
            <w:rStyle w:val="Hyperlink"/>
            <w:b/>
            <w:noProof/>
          </w:rPr>
          <w:t>Taxi licences</w:t>
        </w:r>
        <w:r w:rsidR="0048531A">
          <w:rPr>
            <w:noProof/>
            <w:webHidden/>
          </w:rPr>
          <w:tab/>
        </w:r>
        <w:r w:rsidR="0048531A">
          <w:rPr>
            <w:noProof/>
            <w:webHidden/>
          </w:rPr>
          <w:fldChar w:fldCharType="begin"/>
        </w:r>
        <w:r w:rsidR="0048531A">
          <w:rPr>
            <w:noProof/>
            <w:webHidden/>
          </w:rPr>
          <w:instrText xml:space="preserve"> PAGEREF _Toc524892392 \h </w:instrText>
        </w:r>
        <w:r w:rsidR="0048531A">
          <w:rPr>
            <w:noProof/>
            <w:webHidden/>
          </w:rPr>
        </w:r>
        <w:r w:rsidR="0048531A">
          <w:rPr>
            <w:noProof/>
            <w:webHidden/>
          </w:rPr>
          <w:fldChar w:fldCharType="separate"/>
        </w:r>
        <w:r>
          <w:rPr>
            <w:noProof/>
            <w:webHidden/>
          </w:rPr>
          <w:t>4</w:t>
        </w:r>
        <w:r w:rsidR="0048531A">
          <w:rPr>
            <w:noProof/>
            <w:webHidden/>
          </w:rPr>
          <w:fldChar w:fldCharType="end"/>
        </w:r>
      </w:hyperlink>
    </w:p>
    <w:p w14:paraId="4B64035D"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3" w:history="1">
        <w:r w:rsidR="0048531A" w:rsidRPr="00581976">
          <w:rPr>
            <w:rStyle w:val="Hyperlink"/>
            <w:b/>
            <w:noProof/>
          </w:rPr>
          <w:t>Hire cars and rideshare</w:t>
        </w:r>
        <w:r w:rsidR="0048531A">
          <w:rPr>
            <w:noProof/>
            <w:webHidden/>
          </w:rPr>
          <w:tab/>
        </w:r>
        <w:r w:rsidR="0048531A">
          <w:rPr>
            <w:noProof/>
            <w:webHidden/>
          </w:rPr>
          <w:fldChar w:fldCharType="begin"/>
        </w:r>
        <w:r w:rsidR="0048531A">
          <w:rPr>
            <w:noProof/>
            <w:webHidden/>
          </w:rPr>
          <w:instrText xml:space="preserve"> PAGEREF _Toc524892393 \h </w:instrText>
        </w:r>
        <w:r w:rsidR="0048531A">
          <w:rPr>
            <w:noProof/>
            <w:webHidden/>
          </w:rPr>
        </w:r>
        <w:r w:rsidR="0048531A">
          <w:rPr>
            <w:noProof/>
            <w:webHidden/>
          </w:rPr>
          <w:fldChar w:fldCharType="separate"/>
        </w:r>
        <w:r>
          <w:rPr>
            <w:noProof/>
            <w:webHidden/>
          </w:rPr>
          <w:t>4</w:t>
        </w:r>
        <w:r w:rsidR="0048531A">
          <w:rPr>
            <w:noProof/>
            <w:webHidden/>
          </w:rPr>
          <w:fldChar w:fldCharType="end"/>
        </w:r>
      </w:hyperlink>
    </w:p>
    <w:p w14:paraId="56E1F5E7"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394" w:history="1">
        <w:r w:rsidR="0048531A" w:rsidRPr="00581976">
          <w:rPr>
            <w:rStyle w:val="Hyperlink"/>
            <w:b/>
            <w:noProof/>
          </w:rPr>
          <w:t>taxi Market operations</w:t>
        </w:r>
        <w:r w:rsidR="0048531A">
          <w:rPr>
            <w:noProof/>
            <w:webHidden/>
          </w:rPr>
          <w:tab/>
        </w:r>
        <w:r w:rsidR="0048531A">
          <w:rPr>
            <w:noProof/>
            <w:webHidden/>
          </w:rPr>
          <w:fldChar w:fldCharType="begin"/>
        </w:r>
        <w:r w:rsidR="0048531A">
          <w:rPr>
            <w:noProof/>
            <w:webHidden/>
          </w:rPr>
          <w:instrText xml:space="preserve"> PAGEREF _Toc524892394 \h </w:instrText>
        </w:r>
        <w:r w:rsidR="0048531A">
          <w:rPr>
            <w:noProof/>
            <w:webHidden/>
          </w:rPr>
        </w:r>
        <w:r w:rsidR="0048531A">
          <w:rPr>
            <w:noProof/>
            <w:webHidden/>
          </w:rPr>
          <w:fldChar w:fldCharType="separate"/>
        </w:r>
        <w:r>
          <w:rPr>
            <w:noProof/>
            <w:webHidden/>
          </w:rPr>
          <w:t>4</w:t>
        </w:r>
        <w:r w:rsidR="0048531A">
          <w:rPr>
            <w:noProof/>
            <w:webHidden/>
          </w:rPr>
          <w:fldChar w:fldCharType="end"/>
        </w:r>
      </w:hyperlink>
    </w:p>
    <w:p w14:paraId="35A38712"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5" w:history="1">
        <w:r w:rsidR="0048531A" w:rsidRPr="00581976">
          <w:rPr>
            <w:rStyle w:val="Hyperlink"/>
            <w:b/>
            <w:noProof/>
          </w:rPr>
          <w:t>What does a licence cap do?</w:t>
        </w:r>
        <w:r w:rsidR="0048531A">
          <w:rPr>
            <w:noProof/>
            <w:webHidden/>
          </w:rPr>
          <w:tab/>
        </w:r>
        <w:r w:rsidR="0048531A">
          <w:rPr>
            <w:noProof/>
            <w:webHidden/>
          </w:rPr>
          <w:fldChar w:fldCharType="begin"/>
        </w:r>
        <w:r w:rsidR="0048531A">
          <w:rPr>
            <w:noProof/>
            <w:webHidden/>
          </w:rPr>
          <w:instrText xml:space="preserve"> PAGEREF _Toc524892395 \h </w:instrText>
        </w:r>
        <w:r w:rsidR="0048531A">
          <w:rPr>
            <w:noProof/>
            <w:webHidden/>
          </w:rPr>
        </w:r>
        <w:r w:rsidR="0048531A">
          <w:rPr>
            <w:noProof/>
            <w:webHidden/>
          </w:rPr>
          <w:fldChar w:fldCharType="separate"/>
        </w:r>
        <w:r>
          <w:rPr>
            <w:noProof/>
            <w:webHidden/>
          </w:rPr>
          <w:t>4</w:t>
        </w:r>
        <w:r w:rsidR="0048531A">
          <w:rPr>
            <w:noProof/>
            <w:webHidden/>
          </w:rPr>
          <w:fldChar w:fldCharType="end"/>
        </w:r>
      </w:hyperlink>
    </w:p>
    <w:p w14:paraId="5D818372"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6" w:history="1">
        <w:r w:rsidR="0048531A" w:rsidRPr="00581976">
          <w:rPr>
            <w:rStyle w:val="Hyperlink"/>
            <w:b/>
            <w:noProof/>
          </w:rPr>
          <w:t>Why would you apply a cap on licences?</w:t>
        </w:r>
        <w:r w:rsidR="0048531A">
          <w:rPr>
            <w:noProof/>
            <w:webHidden/>
          </w:rPr>
          <w:tab/>
        </w:r>
        <w:r w:rsidR="0048531A">
          <w:rPr>
            <w:noProof/>
            <w:webHidden/>
          </w:rPr>
          <w:fldChar w:fldCharType="begin"/>
        </w:r>
        <w:r w:rsidR="0048531A">
          <w:rPr>
            <w:noProof/>
            <w:webHidden/>
          </w:rPr>
          <w:instrText xml:space="preserve"> PAGEREF _Toc524892396 \h </w:instrText>
        </w:r>
        <w:r w:rsidR="0048531A">
          <w:rPr>
            <w:noProof/>
            <w:webHidden/>
          </w:rPr>
        </w:r>
        <w:r w:rsidR="0048531A">
          <w:rPr>
            <w:noProof/>
            <w:webHidden/>
          </w:rPr>
          <w:fldChar w:fldCharType="separate"/>
        </w:r>
        <w:r>
          <w:rPr>
            <w:noProof/>
            <w:webHidden/>
          </w:rPr>
          <w:t>5</w:t>
        </w:r>
        <w:r w:rsidR="0048531A">
          <w:rPr>
            <w:noProof/>
            <w:webHidden/>
          </w:rPr>
          <w:fldChar w:fldCharType="end"/>
        </w:r>
      </w:hyperlink>
    </w:p>
    <w:p w14:paraId="4C9C984F"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7" w:history="1">
        <w:r w:rsidR="0048531A" w:rsidRPr="00581976">
          <w:rPr>
            <w:rStyle w:val="Hyperlink"/>
            <w:b/>
            <w:noProof/>
          </w:rPr>
          <w:t>What has been the impact of the licence cap in the ACT?</w:t>
        </w:r>
        <w:r w:rsidR="0048531A">
          <w:rPr>
            <w:noProof/>
            <w:webHidden/>
          </w:rPr>
          <w:tab/>
        </w:r>
        <w:r w:rsidR="0048531A">
          <w:rPr>
            <w:noProof/>
            <w:webHidden/>
          </w:rPr>
          <w:fldChar w:fldCharType="begin"/>
        </w:r>
        <w:r w:rsidR="0048531A">
          <w:rPr>
            <w:noProof/>
            <w:webHidden/>
          </w:rPr>
          <w:instrText xml:space="preserve"> PAGEREF _Toc524892397 \h </w:instrText>
        </w:r>
        <w:r w:rsidR="0048531A">
          <w:rPr>
            <w:noProof/>
            <w:webHidden/>
          </w:rPr>
        </w:r>
        <w:r w:rsidR="0048531A">
          <w:rPr>
            <w:noProof/>
            <w:webHidden/>
          </w:rPr>
          <w:fldChar w:fldCharType="separate"/>
        </w:r>
        <w:r>
          <w:rPr>
            <w:noProof/>
            <w:webHidden/>
          </w:rPr>
          <w:t>5</w:t>
        </w:r>
        <w:r w:rsidR="0048531A">
          <w:rPr>
            <w:noProof/>
            <w:webHidden/>
          </w:rPr>
          <w:fldChar w:fldCharType="end"/>
        </w:r>
      </w:hyperlink>
    </w:p>
    <w:p w14:paraId="2E8BFE1E"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8" w:history="1">
        <w:r w:rsidR="0048531A" w:rsidRPr="00581976">
          <w:rPr>
            <w:rStyle w:val="Hyperlink"/>
            <w:b/>
            <w:noProof/>
          </w:rPr>
          <w:t>Wheelchair accessible taxis (WATs)</w:t>
        </w:r>
        <w:r w:rsidR="0048531A">
          <w:rPr>
            <w:noProof/>
            <w:webHidden/>
          </w:rPr>
          <w:tab/>
        </w:r>
        <w:r w:rsidR="0048531A">
          <w:rPr>
            <w:noProof/>
            <w:webHidden/>
          </w:rPr>
          <w:fldChar w:fldCharType="begin"/>
        </w:r>
        <w:r w:rsidR="0048531A">
          <w:rPr>
            <w:noProof/>
            <w:webHidden/>
          </w:rPr>
          <w:instrText xml:space="preserve"> PAGEREF _Toc524892398 \h </w:instrText>
        </w:r>
        <w:r w:rsidR="0048531A">
          <w:rPr>
            <w:noProof/>
            <w:webHidden/>
          </w:rPr>
        </w:r>
        <w:r w:rsidR="0048531A">
          <w:rPr>
            <w:noProof/>
            <w:webHidden/>
          </w:rPr>
          <w:fldChar w:fldCharType="separate"/>
        </w:r>
        <w:r>
          <w:rPr>
            <w:noProof/>
            <w:webHidden/>
          </w:rPr>
          <w:t>6</w:t>
        </w:r>
        <w:r w:rsidR="0048531A">
          <w:rPr>
            <w:noProof/>
            <w:webHidden/>
          </w:rPr>
          <w:fldChar w:fldCharType="end"/>
        </w:r>
      </w:hyperlink>
    </w:p>
    <w:p w14:paraId="4BA0A28F"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399" w:history="1">
        <w:r w:rsidR="0048531A" w:rsidRPr="00581976">
          <w:rPr>
            <w:rStyle w:val="Hyperlink"/>
            <w:b/>
            <w:noProof/>
          </w:rPr>
          <w:t>What is the “right” level of taxi supply licences?</w:t>
        </w:r>
        <w:r w:rsidR="0048531A">
          <w:rPr>
            <w:noProof/>
            <w:webHidden/>
          </w:rPr>
          <w:tab/>
        </w:r>
        <w:r w:rsidR="0048531A">
          <w:rPr>
            <w:noProof/>
            <w:webHidden/>
          </w:rPr>
          <w:fldChar w:fldCharType="begin"/>
        </w:r>
        <w:r w:rsidR="0048531A">
          <w:rPr>
            <w:noProof/>
            <w:webHidden/>
          </w:rPr>
          <w:instrText xml:space="preserve"> PAGEREF _Toc524892399 \h </w:instrText>
        </w:r>
        <w:r w:rsidR="0048531A">
          <w:rPr>
            <w:noProof/>
            <w:webHidden/>
          </w:rPr>
        </w:r>
        <w:r w:rsidR="0048531A">
          <w:rPr>
            <w:noProof/>
            <w:webHidden/>
          </w:rPr>
          <w:fldChar w:fldCharType="separate"/>
        </w:r>
        <w:r>
          <w:rPr>
            <w:noProof/>
            <w:webHidden/>
          </w:rPr>
          <w:t>7</w:t>
        </w:r>
        <w:r w:rsidR="0048531A">
          <w:rPr>
            <w:noProof/>
            <w:webHidden/>
          </w:rPr>
          <w:fldChar w:fldCharType="end"/>
        </w:r>
      </w:hyperlink>
    </w:p>
    <w:p w14:paraId="6C8923BC"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400" w:history="1">
        <w:r w:rsidR="0048531A" w:rsidRPr="00581976">
          <w:rPr>
            <w:rStyle w:val="Hyperlink"/>
            <w:b/>
            <w:noProof/>
          </w:rPr>
          <w:t>On what basis should the Government adjust WAT supply?</w:t>
        </w:r>
        <w:r w:rsidR="0048531A">
          <w:rPr>
            <w:noProof/>
            <w:webHidden/>
          </w:rPr>
          <w:tab/>
        </w:r>
        <w:r w:rsidR="0048531A">
          <w:rPr>
            <w:noProof/>
            <w:webHidden/>
          </w:rPr>
          <w:fldChar w:fldCharType="begin"/>
        </w:r>
        <w:r w:rsidR="0048531A">
          <w:rPr>
            <w:noProof/>
            <w:webHidden/>
          </w:rPr>
          <w:instrText xml:space="preserve"> PAGEREF _Toc524892400 \h </w:instrText>
        </w:r>
        <w:r w:rsidR="0048531A">
          <w:rPr>
            <w:noProof/>
            <w:webHidden/>
          </w:rPr>
        </w:r>
        <w:r w:rsidR="0048531A">
          <w:rPr>
            <w:noProof/>
            <w:webHidden/>
          </w:rPr>
          <w:fldChar w:fldCharType="separate"/>
        </w:r>
        <w:r>
          <w:rPr>
            <w:noProof/>
            <w:webHidden/>
          </w:rPr>
          <w:t>8</w:t>
        </w:r>
        <w:r w:rsidR="0048531A">
          <w:rPr>
            <w:noProof/>
            <w:webHidden/>
          </w:rPr>
          <w:fldChar w:fldCharType="end"/>
        </w:r>
      </w:hyperlink>
    </w:p>
    <w:p w14:paraId="642CD0B1"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01" w:history="1">
        <w:r w:rsidR="0048531A" w:rsidRPr="00581976">
          <w:rPr>
            <w:rStyle w:val="Hyperlink"/>
            <w:b/>
            <w:noProof/>
          </w:rPr>
          <w:t>What’s your view?</w:t>
        </w:r>
        <w:r w:rsidR="0048531A">
          <w:rPr>
            <w:noProof/>
            <w:webHidden/>
          </w:rPr>
          <w:tab/>
        </w:r>
        <w:r w:rsidR="0048531A">
          <w:rPr>
            <w:noProof/>
            <w:webHidden/>
          </w:rPr>
          <w:fldChar w:fldCharType="begin"/>
        </w:r>
        <w:r w:rsidR="0048531A">
          <w:rPr>
            <w:noProof/>
            <w:webHidden/>
          </w:rPr>
          <w:instrText xml:space="preserve"> PAGEREF _Toc524892401 \h </w:instrText>
        </w:r>
        <w:r w:rsidR="0048531A">
          <w:rPr>
            <w:noProof/>
            <w:webHidden/>
          </w:rPr>
        </w:r>
        <w:r w:rsidR="0048531A">
          <w:rPr>
            <w:noProof/>
            <w:webHidden/>
          </w:rPr>
          <w:fldChar w:fldCharType="separate"/>
        </w:r>
        <w:r>
          <w:rPr>
            <w:noProof/>
            <w:webHidden/>
          </w:rPr>
          <w:t>9</w:t>
        </w:r>
        <w:r w:rsidR="0048531A">
          <w:rPr>
            <w:noProof/>
            <w:webHidden/>
          </w:rPr>
          <w:fldChar w:fldCharType="end"/>
        </w:r>
      </w:hyperlink>
    </w:p>
    <w:p w14:paraId="264EF7A2" w14:textId="77777777" w:rsidR="0048531A" w:rsidRDefault="00F515B2">
      <w:pPr>
        <w:pStyle w:val="TOC1"/>
        <w:rPr>
          <w:rFonts w:asciiTheme="minorHAnsi" w:eastAsiaTheme="minorEastAsia" w:hAnsiTheme="minorHAnsi" w:cstheme="minorBidi"/>
          <w:caps w:val="0"/>
          <w:color w:val="auto"/>
          <w:sz w:val="22"/>
          <w:szCs w:val="22"/>
        </w:rPr>
      </w:pPr>
      <w:hyperlink w:anchor="_Toc524892402" w:history="1">
        <w:r w:rsidR="0048531A" w:rsidRPr="00581976">
          <w:rPr>
            <w:rStyle w:val="Hyperlink"/>
          </w:rPr>
          <w:t>Possible environment conditions on future On-demand transport licences</w:t>
        </w:r>
        <w:r w:rsidR="0048531A">
          <w:rPr>
            <w:webHidden/>
          </w:rPr>
          <w:tab/>
        </w:r>
        <w:r w:rsidR="0048531A">
          <w:rPr>
            <w:webHidden/>
          </w:rPr>
          <w:fldChar w:fldCharType="begin"/>
        </w:r>
        <w:r w:rsidR="0048531A">
          <w:rPr>
            <w:webHidden/>
          </w:rPr>
          <w:instrText xml:space="preserve"> PAGEREF _Toc524892402 \h </w:instrText>
        </w:r>
        <w:r w:rsidR="0048531A">
          <w:rPr>
            <w:webHidden/>
          </w:rPr>
        </w:r>
        <w:r w:rsidR="0048531A">
          <w:rPr>
            <w:webHidden/>
          </w:rPr>
          <w:fldChar w:fldCharType="separate"/>
        </w:r>
        <w:r>
          <w:rPr>
            <w:webHidden/>
          </w:rPr>
          <w:t>10</w:t>
        </w:r>
        <w:r w:rsidR="0048531A">
          <w:rPr>
            <w:webHidden/>
          </w:rPr>
          <w:fldChar w:fldCharType="end"/>
        </w:r>
      </w:hyperlink>
    </w:p>
    <w:p w14:paraId="3E7ED9D1"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03" w:history="1">
        <w:r w:rsidR="0048531A" w:rsidRPr="00581976">
          <w:rPr>
            <w:rStyle w:val="Hyperlink"/>
            <w:b/>
            <w:noProof/>
          </w:rPr>
          <w:t>What’s your view?</w:t>
        </w:r>
        <w:r w:rsidR="0048531A">
          <w:rPr>
            <w:noProof/>
            <w:webHidden/>
          </w:rPr>
          <w:tab/>
        </w:r>
        <w:r w:rsidR="0048531A">
          <w:rPr>
            <w:noProof/>
            <w:webHidden/>
          </w:rPr>
          <w:fldChar w:fldCharType="begin"/>
        </w:r>
        <w:r w:rsidR="0048531A">
          <w:rPr>
            <w:noProof/>
            <w:webHidden/>
          </w:rPr>
          <w:instrText xml:space="preserve"> PAGEREF _Toc524892403 \h </w:instrText>
        </w:r>
        <w:r w:rsidR="0048531A">
          <w:rPr>
            <w:noProof/>
            <w:webHidden/>
          </w:rPr>
        </w:r>
        <w:r w:rsidR="0048531A">
          <w:rPr>
            <w:noProof/>
            <w:webHidden/>
          </w:rPr>
          <w:fldChar w:fldCharType="separate"/>
        </w:r>
        <w:r>
          <w:rPr>
            <w:noProof/>
            <w:webHidden/>
          </w:rPr>
          <w:t>10</w:t>
        </w:r>
        <w:r w:rsidR="0048531A">
          <w:rPr>
            <w:noProof/>
            <w:webHidden/>
          </w:rPr>
          <w:fldChar w:fldCharType="end"/>
        </w:r>
      </w:hyperlink>
    </w:p>
    <w:p w14:paraId="23770A35" w14:textId="77777777" w:rsidR="0048531A" w:rsidRDefault="00F515B2">
      <w:pPr>
        <w:pStyle w:val="TOC1"/>
        <w:rPr>
          <w:rFonts w:asciiTheme="minorHAnsi" w:eastAsiaTheme="minorEastAsia" w:hAnsiTheme="minorHAnsi" w:cstheme="minorBidi"/>
          <w:caps w:val="0"/>
          <w:color w:val="auto"/>
          <w:sz w:val="22"/>
          <w:szCs w:val="22"/>
        </w:rPr>
      </w:pPr>
      <w:hyperlink w:anchor="_Toc524892404" w:history="1">
        <w:r w:rsidR="0048531A" w:rsidRPr="00581976">
          <w:rPr>
            <w:rStyle w:val="Hyperlink"/>
          </w:rPr>
          <w:t>Maximum fares for booked taxi services</w:t>
        </w:r>
        <w:r w:rsidR="0048531A">
          <w:rPr>
            <w:webHidden/>
          </w:rPr>
          <w:tab/>
        </w:r>
        <w:r w:rsidR="0048531A">
          <w:rPr>
            <w:webHidden/>
          </w:rPr>
          <w:fldChar w:fldCharType="begin"/>
        </w:r>
        <w:r w:rsidR="0048531A">
          <w:rPr>
            <w:webHidden/>
          </w:rPr>
          <w:instrText xml:space="preserve"> PAGEREF _Toc524892404 \h </w:instrText>
        </w:r>
        <w:r w:rsidR="0048531A">
          <w:rPr>
            <w:webHidden/>
          </w:rPr>
        </w:r>
        <w:r w:rsidR="0048531A">
          <w:rPr>
            <w:webHidden/>
          </w:rPr>
          <w:fldChar w:fldCharType="separate"/>
        </w:r>
        <w:r>
          <w:rPr>
            <w:webHidden/>
          </w:rPr>
          <w:t>11</w:t>
        </w:r>
        <w:r w:rsidR="0048531A">
          <w:rPr>
            <w:webHidden/>
          </w:rPr>
          <w:fldChar w:fldCharType="end"/>
        </w:r>
      </w:hyperlink>
    </w:p>
    <w:p w14:paraId="28CF6095"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05" w:history="1">
        <w:r w:rsidR="0048531A" w:rsidRPr="00581976">
          <w:rPr>
            <w:rStyle w:val="Hyperlink"/>
            <w:b/>
            <w:noProof/>
          </w:rPr>
          <w:t>Regulation</w:t>
        </w:r>
        <w:r w:rsidR="0048531A">
          <w:rPr>
            <w:noProof/>
            <w:webHidden/>
          </w:rPr>
          <w:tab/>
        </w:r>
        <w:r w:rsidR="0048531A">
          <w:rPr>
            <w:noProof/>
            <w:webHidden/>
          </w:rPr>
          <w:fldChar w:fldCharType="begin"/>
        </w:r>
        <w:r w:rsidR="0048531A">
          <w:rPr>
            <w:noProof/>
            <w:webHidden/>
          </w:rPr>
          <w:instrText xml:space="preserve"> PAGEREF _Toc524892405 \h </w:instrText>
        </w:r>
        <w:r w:rsidR="0048531A">
          <w:rPr>
            <w:noProof/>
            <w:webHidden/>
          </w:rPr>
        </w:r>
        <w:r w:rsidR="0048531A">
          <w:rPr>
            <w:noProof/>
            <w:webHidden/>
          </w:rPr>
          <w:fldChar w:fldCharType="separate"/>
        </w:r>
        <w:r>
          <w:rPr>
            <w:noProof/>
            <w:webHidden/>
          </w:rPr>
          <w:t>11</w:t>
        </w:r>
        <w:r w:rsidR="0048531A">
          <w:rPr>
            <w:noProof/>
            <w:webHidden/>
          </w:rPr>
          <w:fldChar w:fldCharType="end"/>
        </w:r>
      </w:hyperlink>
    </w:p>
    <w:p w14:paraId="36B8F8FD"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406" w:history="1">
        <w:r w:rsidR="0048531A" w:rsidRPr="00581976">
          <w:rPr>
            <w:rStyle w:val="Hyperlink"/>
            <w:b/>
            <w:noProof/>
          </w:rPr>
          <w:t>Fare review</w:t>
        </w:r>
        <w:r w:rsidR="0048531A">
          <w:rPr>
            <w:noProof/>
            <w:webHidden/>
          </w:rPr>
          <w:tab/>
        </w:r>
        <w:r w:rsidR="0048531A">
          <w:rPr>
            <w:noProof/>
            <w:webHidden/>
          </w:rPr>
          <w:fldChar w:fldCharType="begin"/>
        </w:r>
        <w:r w:rsidR="0048531A">
          <w:rPr>
            <w:noProof/>
            <w:webHidden/>
          </w:rPr>
          <w:instrText xml:space="preserve"> PAGEREF _Toc524892406 \h </w:instrText>
        </w:r>
        <w:r w:rsidR="0048531A">
          <w:rPr>
            <w:noProof/>
            <w:webHidden/>
          </w:rPr>
        </w:r>
        <w:r w:rsidR="0048531A">
          <w:rPr>
            <w:noProof/>
            <w:webHidden/>
          </w:rPr>
          <w:fldChar w:fldCharType="separate"/>
        </w:r>
        <w:r>
          <w:rPr>
            <w:noProof/>
            <w:webHidden/>
          </w:rPr>
          <w:t>11</w:t>
        </w:r>
        <w:r w:rsidR="0048531A">
          <w:rPr>
            <w:noProof/>
            <w:webHidden/>
          </w:rPr>
          <w:fldChar w:fldCharType="end"/>
        </w:r>
      </w:hyperlink>
    </w:p>
    <w:p w14:paraId="7134D8F9"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07" w:history="1">
        <w:r w:rsidR="0048531A" w:rsidRPr="00581976">
          <w:rPr>
            <w:rStyle w:val="Hyperlink"/>
            <w:b/>
            <w:noProof/>
          </w:rPr>
          <w:t>Market</w:t>
        </w:r>
        <w:r w:rsidR="0048531A">
          <w:rPr>
            <w:noProof/>
            <w:webHidden/>
          </w:rPr>
          <w:tab/>
        </w:r>
        <w:r w:rsidR="0048531A">
          <w:rPr>
            <w:noProof/>
            <w:webHidden/>
          </w:rPr>
          <w:fldChar w:fldCharType="begin"/>
        </w:r>
        <w:r w:rsidR="0048531A">
          <w:rPr>
            <w:noProof/>
            <w:webHidden/>
          </w:rPr>
          <w:instrText xml:space="preserve"> PAGEREF _Toc524892407 \h </w:instrText>
        </w:r>
        <w:r w:rsidR="0048531A">
          <w:rPr>
            <w:noProof/>
            <w:webHidden/>
          </w:rPr>
        </w:r>
        <w:r w:rsidR="0048531A">
          <w:rPr>
            <w:noProof/>
            <w:webHidden/>
          </w:rPr>
          <w:fldChar w:fldCharType="separate"/>
        </w:r>
        <w:r>
          <w:rPr>
            <w:noProof/>
            <w:webHidden/>
          </w:rPr>
          <w:t>11</w:t>
        </w:r>
        <w:r w:rsidR="0048531A">
          <w:rPr>
            <w:noProof/>
            <w:webHidden/>
          </w:rPr>
          <w:fldChar w:fldCharType="end"/>
        </w:r>
      </w:hyperlink>
    </w:p>
    <w:p w14:paraId="1374CB36"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408" w:history="1">
        <w:r w:rsidR="0048531A" w:rsidRPr="00581976">
          <w:rPr>
            <w:rStyle w:val="Hyperlink"/>
            <w:b/>
            <w:noProof/>
          </w:rPr>
          <w:t>What does a maximum fare limit do?</w:t>
        </w:r>
        <w:r w:rsidR="0048531A">
          <w:rPr>
            <w:noProof/>
            <w:webHidden/>
          </w:rPr>
          <w:tab/>
        </w:r>
        <w:r w:rsidR="0048531A">
          <w:rPr>
            <w:noProof/>
            <w:webHidden/>
          </w:rPr>
          <w:fldChar w:fldCharType="begin"/>
        </w:r>
        <w:r w:rsidR="0048531A">
          <w:rPr>
            <w:noProof/>
            <w:webHidden/>
          </w:rPr>
          <w:instrText xml:space="preserve"> PAGEREF _Toc524892408 \h </w:instrText>
        </w:r>
        <w:r w:rsidR="0048531A">
          <w:rPr>
            <w:noProof/>
            <w:webHidden/>
          </w:rPr>
        </w:r>
        <w:r w:rsidR="0048531A">
          <w:rPr>
            <w:noProof/>
            <w:webHidden/>
          </w:rPr>
          <w:fldChar w:fldCharType="separate"/>
        </w:r>
        <w:r>
          <w:rPr>
            <w:noProof/>
            <w:webHidden/>
          </w:rPr>
          <w:t>11</w:t>
        </w:r>
        <w:r w:rsidR="0048531A">
          <w:rPr>
            <w:noProof/>
            <w:webHidden/>
          </w:rPr>
          <w:fldChar w:fldCharType="end"/>
        </w:r>
      </w:hyperlink>
    </w:p>
    <w:p w14:paraId="02A488C0"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409" w:history="1">
        <w:r w:rsidR="0048531A" w:rsidRPr="00581976">
          <w:rPr>
            <w:rStyle w:val="Hyperlink"/>
            <w:b/>
            <w:noProof/>
          </w:rPr>
          <w:t>Why limit taxi fare prices?</w:t>
        </w:r>
        <w:r w:rsidR="0048531A">
          <w:rPr>
            <w:noProof/>
            <w:webHidden/>
          </w:rPr>
          <w:tab/>
        </w:r>
        <w:r w:rsidR="0048531A">
          <w:rPr>
            <w:noProof/>
            <w:webHidden/>
          </w:rPr>
          <w:fldChar w:fldCharType="begin"/>
        </w:r>
        <w:r w:rsidR="0048531A">
          <w:rPr>
            <w:noProof/>
            <w:webHidden/>
          </w:rPr>
          <w:instrText xml:space="preserve"> PAGEREF _Toc524892409 \h </w:instrText>
        </w:r>
        <w:r w:rsidR="0048531A">
          <w:rPr>
            <w:noProof/>
            <w:webHidden/>
          </w:rPr>
        </w:r>
        <w:r w:rsidR="0048531A">
          <w:rPr>
            <w:noProof/>
            <w:webHidden/>
          </w:rPr>
          <w:fldChar w:fldCharType="separate"/>
        </w:r>
        <w:r>
          <w:rPr>
            <w:noProof/>
            <w:webHidden/>
          </w:rPr>
          <w:t>11</w:t>
        </w:r>
        <w:r w:rsidR="0048531A">
          <w:rPr>
            <w:noProof/>
            <w:webHidden/>
          </w:rPr>
          <w:fldChar w:fldCharType="end"/>
        </w:r>
      </w:hyperlink>
    </w:p>
    <w:p w14:paraId="7D1ECEB7"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410" w:history="1">
        <w:r w:rsidR="0048531A" w:rsidRPr="00581976">
          <w:rPr>
            <w:rStyle w:val="Hyperlink"/>
            <w:b/>
            <w:noProof/>
          </w:rPr>
          <w:t>What has been the impact in the ACT?</w:t>
        </w:r>
        <w:r w:rsidR="0048531A">
          <w:rPr>
            <w:noProof/>
            <w:webHidden/>
          </w:rPr>
          <w:tab/>
        </w:r>
        <w:r w:rsidR="0048531A">
          <w:rPr>
            <w:noProof/>
            <w:webHidden/>
          </w:rPr>
          <w:fldChar w:fldCharType="begin"/>
        </w:r>
        <w:r w:rsidR="0048531A">
          <w:rPr>
            <w:noProof/>
            <w:webHidden/>
          </w:rPr>
          <w:instrText xml:space="preserve"> PAGEREF _Toc524892410 \h </w:instrText>
        </w:r>
        <w:r w:rsidR="0048531A">
          <w:rPr>
            <w:noProof/>
            <w:webHidden/>
          </w:rPr>
        </w:r>
        <w:r w:rsidR="0048531A">
          <w:rPr>
            <w:noProof/>
            <w:webHidden/>
          </w:rPr>
          <w:fldChar w:fldCharType="separate"/>
        </w:r>
        <w:r>
          <w:rPr>
            <w:noProof/>
            <w:webHidden/>
          </w:rPr>
          <w:t>12</w:t>
        </w:r>
        <w:r w:rsidR="0048531A">
          <w:rPr>
            <w:noProof/>
            <w:webHidden/>
          </w:rPr>
          <w:fldChar w:fldCharType="end"/>
        </w:r>
      </w:hyperlink>
    </w:p>
    <w:p w14:paraId="21ED3FB1" w14:textId="77777777" w:rsidR="0048531A" w:rsidRDefault="00F515B2">
      <w:pPr>
        <w:pStyle w:val="TOC4"/>
        <w:tabs>
          <w:tab w:val="right" w:leader="dot" w:pos="9016"/>
        </w:tabs>
        <w:rPr>
          <w:rFonts w:asciiTheme="minorHAnsi" w:eastAsiaTheme="minorEastAsia" w:hAnsiTheme="minorHAnsi" w:cstheme="minorBidi"/>
          <w:noProof/>
          <w:color w:val="auto"/>
          <w:sz w:val="22"/>
          <w:szCs w:val="22"/>
        </w:rPr>
      </w:pPr>
      <w:hyperlink w:anchor="_Toc524892411" w:history="1">
        <w:r w:rsidR="0048531A" w:rsidRPr="00581976">
          <w:rPr>
            <w:rStyle w:val="Hyperlink"/>
            <w:b/>
            <w:noProof/>
          </w:rPr>
          <w:t>What do you think is the best way moving forward?</w:t>
        </w:r>
        <w:r w:rsidR="0048531A">
          <w:rPr>
            <w:noProof/>
            <w:webHidden/>
          </w:rPr>
          <w:tab/>
        </w:r>
        <w:r w:rsidR="0048531A">
          <w:rPr>
            <w:noProof/>
            <w:webHidden/>
          </w:rPr>
          <w:fldChar w:fldCharType="begin"/>
        </w:r>
        <w:r w:rsidR="0048531A">
          <w:rPr>
            <w:noProof/>
            <w:webHidden/>
          </w:rPr>
          <w:instrText xml:space="preserve"> PAGEREF _Toc524892411 \h </w:instrText>
        </w:r>
        <w:r w:rsidR="0048531A">
          <w:rPr>
            <w:noProof/>
            <w:webHidden/>
          </w:rPr>
        </w:r>
        <w:r w:rsidR="0048531A">
          <w:rPr>
            <w:noProof/>
            <w:webHidden/>
          </w:rPr>
          <w:fldChar w:fldCharType="separate"/>
        </w:r>
        <w:r>
          <w:rPr>
            <w:noProof/>
            <w:webHidden/>
          </w:rPr>
          <w:t>12</w:t>
        </w:r>
        <w:r w:rsidR="0048531A">
          <w:rPr>
            <w:noProof/>
            <w:webHidden/>
          </w:rPr>
          <w:fldChar w:fldCharType="end"/>
        </w:r>
      </w:hyperlink>
    </w:p>
    <w:p w14:paraId="25B1216D"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12" w:history="1">
        <w:r w:rsidR="0048531A" w:rsidRPr="00581976">
          <w:rPr>
            <w:rStyle w:val="Hyperlink"/>
            <w:b/>
            <w:noProof/>
          </w:rPr>
          <w:t>What’s your view?</w:t>
        </w:r>
        <w:r w:rsidR="0048531A">
          <w:rPr>
            <w:noProof/>
            <w:webHidden/>
          </w:rPr>
          <w:tab/>
        </w:r>
        <w:r w:rsidR="0048531A">
          <w:rPr>
            <w:noProof/>
            <w:webHidden/>
          </w:rPr>
          <w:fldChar w:fldCharType="begin"/>
        </w:r>
        <w:r w:rsidR="0048531A">
          <w:rPr>
            <w:noProof/>
            <w:webHidden/>
          </w:rPr>
          <w:instrText xml:space="preserve"> PAGEREF _Toc524892412 \h </w:instrText>
        </w:r>
        <w:r w:rsidR="0048531A">
          <w:rPr>
            <w:noProof/>
            <w:webHidden/>
          </w:rPr>
        </w:r>
        <w:r w:rsidR="0048531A">
          <w:rPr>
            <w:noProof/>
            <w:webHidden/>
          </w:rPr>
          <w:fldChar w:fldCharType="separate"/>
        </w:r>
        <w:r>
          <w:rPr>
            <w:noProof/>
            <w:webHidden/>
          </w:rPr>
          <w:t>14</w:t>
        </w:r>
        <w:r w:rsidR="0048531A">
          <w:rPr>
            <w:noProof/>
            <w:webHidden/>
          </w:rPr>
          <w:fldChar w:fldCharType="end"/>
        </w:r>
      </w:hyperlink>
    </w:p>
    <w:p w14:paraId="175C07F3" w14:textId="77777777" w:rsidR="0048531A" w:rsidRDefault="00F515B2">
      <w:pPr>
        <w:pStyle w:val="TOC1"/>
        <w:rPr>
          <w:rFonts w:asciiTheme="minorHAnsi" w:eastAsiaTheme="minorEastAsia" w:hAnsiTheme="minorHAnsi" w:cstheme="minorBidi"/>
          <w:caps w:val="0"/>
          <w:color w:val="auto"/>
          <w:sz w:val="22"/>
          <w:szCs w:val="22"/>
        </w:rPr>
      </w:pPr>
      <w:hyperlink w:anchor="_Toc524892413" w:history="1">
        <w:r w:rsidR="0048531A" w:rsidRPr="00581976">
          <w:rPr>
            <w:rStyle w:val="Hyperlink"/>
          </w:rPr>
          <w:t>Annual Increases in Maximum Taxi Fares</w:t>
        </w:r>
        <w:r w:rsidR="0048531A">
          <w:rPr>
            <w:webHidden/>
          </w:rPr>
          <w:tab/>
        </w:r>
        <w:r w:rsidR="0048531A">
          <w:rPr>
            <w:webHidden/>
          </w:rPr>
          <w:fldChar w:fldCharType="begin"/>
        </w:r>
        <w:r w:rsidR="0048531A">
          <w:rPr>
            <w:webHidden/>
          </w:rPr>
          <w:instrText xml:space="preserve"> PAGEREF _Toc524892413 \h </w:instrText>
        </w:r>
        <w:r w:rsidR="0048531A">
          <w:rPr>
            <w:webHidden/>
          </w:rPr>
        </w:r>
        <w:r w:rsidR="0048531A">
          <w:rPr>
            <w:webHidden/>
          </w:rPr>
          <w:fldChar w:fldCharType="separate"/>
        </w:r>
        <w:r>
          <w:rPr>
            <w:webHidden/>
          </w:rPr>
          <w:t>15</w:t>
        </w:r>
        <w:r w:rsidR="0048531A">
          <w:rPr>
            <w:webHidden/>
          </w:rPr>
          <w:fldChar w:fldCharType="end"/>
        </w:r>
      </w:hyperlink>
    </w:p>
    <w:p w14:paraId="40A9B557"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14" w:history="1">
        <w:r w:rsidR="0048531A" w:rsidRPr="00581976">
          <w:rPr>
            <w:rStyle w:val="Hyperlink"/>
            <w:b/>
            <w:noProof/>
          </w:rPr>
          <w:t>Determining regulated fares</w:t>
        </w:r>
        <w:r w:rsidR="0048531A">
          <w:rPr>
            <w:noProof/>
            <w:webHidden/>
          </w:rPr>
          <w:tab/>
        </w:r>
        <w:r w:rsidR="0048531A">
          <w:rPr>
            <w:noProof/>
            <w:webHidden/>
          </w:rPr>
          <w:fldChar w:fldCharType="begin"/>
        </w:r>
        <w:r w:rsidR="0048531A">
          <w:rPr>
            <w:noProof/>
            <w:webHidden/>
          </w:rPr>
          <w:instrText xml:space="preserve"> PAGEREF _Toc524892414 \h </w:instrText>
        </w:r>
        <w:r w:rsidR="0048531A">
          <w:rPr>
            <w:noProof/>
            <w:webHidden/>
          </w:rPr>
        </w:r>
        <w:r w:rsidR="0048531A">
          <w:rPr>
            <w:noProof/>
            <w:webHidden/>
          </w:rPr>
          <w:fldChar w:fldCharType="separate"/>
        </w:r>
        <w:r>
          <w:rPr>
            <w:noProof/>
            <w:webHidden/>
          </w:rPr>
          <w:t>15</w:t>
        </w:r>
        <w:r w:rsidR="0048531A">
          <w:rPr>
            <w:noProof/>
            <w:webHidden/>
          </w:rPr>
          <w:fldChar w:fldCharType="end"/>
        </w:r>
      </w:hyperlink>
    </w:p>
    <w:p w14:paraId="499EB00F"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15" w:history="1">
        <w:r w:rsidR="0048531A" w:rsidRPr="00581976">
          <w:rPr>
            <w:rStyle w:val="Hyperlink"/>
            <w:b/>
            <w:noProof/>
          </w:rPr>
          <w:t>Other jurisdictions</w:t>
        </w:r>
        <w:r w:rsidR="0048531A">
          <w:rPr>
            <w:noProof/>
            <w:webHidden/>
          </w:rPr>
          <w:tab/>
        </w:r>
        <w:r w:rsidR="0048531A">
          <w:rPr>
            <w:noProof/>
            <w:webHidden/>
          </w:rPr>
          <w:fldChar w:fldCharType="begin"/>
        </w:r>
        <w:r w:rsidR="0048531A">
          <w:rPr>
            <w:noProof/>
            <w:webHidden/>
          </w:rPr>
          <w:instrText xml:space="preserve"> PAGEREF _Toc524892415 \h </w:instrText>
        </w:r>
        <w:r w:rsidR="0048531A">
          <w:rPr>
            <w:noProof/>
            <w:webHidden/>
          </w:rPr>
        </w:r>
        <w:r w:rsidR="0048531A">
          <w:rPr>
            <w:noProof/>
            <w:webHidden/>
          </w:rPr>
          <w:fldChar w:fldCharType="separate"/>
        </w:r>
        <w:r>
          <w:rPr>
            <w:noProof/>
            <w:webHidden/>
          </w:rPr>
          <w:t>15</w:t>
        </w:r>
        <w:r w:rsidR="0048531A">
          <w:rPr>
            <w:noProof/>
            <w:webHidden/>
          </w:rPr>
          <w:fldChar w:fldCharType="end"/>
        </w:r>
      </w:hyperlink>
    </w:p>
    <w:p w14:paraId="67D5070A" w14:textId="77777777" w:rsidR="0048531A" w:rsidRDefault="00F515B2">
      <w:pPr>
        <w:pStyle w:val="TOC2"/>
        <w:rPr>
          <w:rFonts w:asciiTheme="minorHAnsi" w:eastAsiaTheme="minorEastAsia" w:hAnsiTheme="minorHAnsi" w:cstheme="minorBidi"/>
          <w:caps w:val="0"/>
          <w:noProof/>
          <w:color w:val="auto"/>
          <w:sz w:val="22"/>
          <w:szCs w:val="22"/>
        </w:rPr>
      </w:pPr>
      <w:hyperlink w:anchor="_Toc524892416" w:history="1">
        <w:r w:rsidR="0048531A" w:rsidRPr="00581976">
          <w:rPr>
            <w:rStyle w:val="Hyperlink"/>
            <w:b/>
            <w:noProof/>
          </w:rPr>
          <w:t>What’s your view?</w:t>
        </w:r>
        <w:r w:rsidR="0048531A">
          <w:rPr>
            <w:noProof/>
            <w:webHidden/>
          </w:rPr>
          <w:tab/>
        </w:r>
        <w:r w:rsidR="0048531A">
          <w:rPr>
            <w:noProof/>
            <w:webHidden/>
          </w:rPr>
          <w:fldChar w:fldCharType="begin"/>
        </w:r>
        <w:r w:rsidR="0048531A">
          <w:rPr>
            <w:noProof/>
            <w:webHidden/>
          </w:rPr>
          <w:instrText xml:space="preserve"> PAGEREF _Toc524892416 \h </w:instrText>
        </w:r>
        <w:r w:rsidR="0048531A">
          <w:rPr>
            <w:noProof/>
            <w:webHidden/>
          </w:rPr>
        </w:r>
        <w:r w:rsidR="0048531A">
          <w:rPr>
            <w:noProof/>
            <w:webHidden/>
          </w:rPr>
          <w:fldChar w:fldCharType="separate"/>
        </w:r>
        <w:r>
          <w:rPr>
            <w:noProof/>
            <w:webHidden/>
          </w:rPr>
          <w:t>15</w:t>
        </w:r>
        <w:r w:rsidR="0048531A">
          <w:rPr>
            <w:noProof/>
            <w:webHidden/>
          </w:rPr>
          <w:fldChar w:fldCharType="end"/>
        </w:r>
      </w:hyperlink>
    </w:p>
    <w:p w14:paraId="727BF16F" w14:textId="77777777" w:rsidR="0048531A" w:rsidRDefault="00F515B2">
      <w:pPr>
        <w:pStyle w:val="TOC1"/>
        <w:rPr>
          <w:rFonts w:asciiTheme="minorHAnsi" w:eastAsiaTheme="minorEastAsia" w:hAnsiTheme="minorHAnsi" w:cstheme="minorBidi"/>
          <w:caps w:val="0"/>
          <w:color w:val="auto"/>
          <w:sz w:val="22"/>
          <w:szCs w:val="22"/>
        </w:rPr>
      </w:pPr>
      <w:hyperlink w:anchor="_Toc524892417" w:history="1">
        <w:r w:rsidR="0048531A" w:rsidRPr="00581976">
          <w:rPr>
            <w:rStyle w:val="Hyperlink"/>
          </w:rPr>
          <w:t>How to provide your views</w:t>
        </w:r>
        <w:r w:rsidR="0048531A">
          <w:rPr>
            <w:webHidden/>
          </w:rPr>
          <w:tab/>
        </w:r>
        <w:r w:rsidR="0048531A">
          <w:rPr>
            <w:webHidden/>
          </w:rPr>
          <w:fldChar w:fldCharType="begin"/>
        </w:r>
        <w:r w:rsidR="0048531A">
          <w:rPr>
            <w:webHidden/>
          </w:rPr>
          <w:instrText xml:space="preserve"> PAGEREF _Toc524892417 \h </w:instrText>
        </w:r>
        <w:r w:rsidR="0048531A">
          <w:rPr>
            <w:webHidden/>
          </w:rPr>
        </w:r>
        <w:r w:rsidR="0048531A">
          <w:rPr>
            <w:webHidden/>
          </w:rPr>
          <w:fldChar w:fldCharType="separate"/>
        </w:r>
        <w:r>
          <w:rPr>
            <w:webHidden/>
          </w:rPr>
          <w:t>16</w:t>
        </w:r>
        <w:r w:rsidR="0048531A">
          <w:rPr>
            <w:webHidden/>
          </w:rPr>
          <w:fldChar w:fldCharType="end"/>
        </w:r>
      </w:hyperlink>
    </w:p>
    <w:p w14:paraId="17EA1142" w14:textId="77777777" w:rsidR="0048531A" w:rsidRDefault="00F515B2">
      <w:pPr>
        <w:pStyle w:val="TOC1"/>
        <w:rPr>
          <w:rFonts w:asciiTheme="minorHAnsi" w:eastAsiaTheme="minorEastAsia" w:hAnsiTheme="minorHAnsi" w:cstheme="minorBidi"/>
          <w:caps w:val="0"/>
          <w:color w:val="auto"/>
          <w:sz w:val="22"/>
          <w:szCs w:val="22"/>
        </w:rPr>
      </w:pPr>
      <w:hyperlink w:anchor="_Toc524892418" w:history="1">
        <w:r w:rsidR="0048531A" w:rsidRPr="00581976">
          <w:rPr>
            <w:rStyle w:val="Hyperlink"/>
          </w:rPr>
          <w:t>Endnotes</w:t>
        </w:r>
        <w:r w:rsidR="0048531A">
          <w:rPr>
            <w:webHidden/>
          </w:rPr>
          <w:tab/>
        </w:r>
        <w:r w:rsidR="0048531A">
          <w:rPr>
            <w:webHidden/>
          </w:rPr>
          <w:fldChar w:fldCharType="begin"/>
        </w:r>
        <w:r w:rsidR="0048531A">
          <w:rPr>
            <w:webHidden/>
          </w:rPr>
          <w:instrText xml:space="preserve"> PAGEREF _Toc524892418 \h </w:instrText>
        </w:r>
        <w:r w:rsidR="0048531A">
          <w:rPr>
            <w:webHidden/>
          </w:rPr>
        </w:r>
        <w:r w:rsidR="0048531A">
          <w:rPr>
            <w:webHidden/>
          </w:rPr>
          <w:fldChar w:fldCharType="separate"/>
        </w:r>
        <w:r>
          <w:rPr>
            <w:webHidden/>
          </w:rPr>
          <w:t>17</w:t>
        </w:r>
        <w:r w:rsidR="0048531A">
          <w:rPr>
            <w:webHidden/>
          </w:rPr>
          <w:fldChar w:fldCharType="end"/>
        </w:r>
      </w:hyperlink>
    </w:p>
    <w:p w14:paraId="64C5A374" w14:textId="4C9BAF57" w:rsidR="007009BB" w:rsidRPr="004E37E7" w:rsidRDefault="00FA6CC7">
      <w:pPr>
        <w:spacing w:after="0"/>
        <w:rPr>
          <w:rFonts w:ascii="Arial" w:eastAsia="Times New Roman" w:hAnsi="Arial"/>
          <w:bCs/>
          <w:caps/>
          <w:color w:val="482D8C"/>
          <w:spacing w:val="-20"/>
          <w:kern w:val="36"/>
          <w:sz w:val="11"/>
          <w:szCs w:val="48"/>
        </w:rPr>
      </w:pPr>
      <w:r w:rsidRPr="00600DF2">
        <w:rPr>
          <w:sz w:val="15"/>
        </w:rPr>
        <w:fldChar w:fldCharType="end"/>
      </w:r>
    </w:p>
    <w:bookmarkEnd w:id="0"/>
    <w:bookmarkEnd w:id="1"/>
    <w:p w14:paraId="0D1C772E" w14:textId="77777777" w:rsidR="00B12C9C" w:rsidRDefault="00B12C9C" w:rsidP="00B12C9C">
      <w:pPr>
        <w:spacing w:after="0"/>
        <w:sectPr w:rsidR="00B12C9C" w:rsidSect="00895D0E">
          <w:footerReference w:type="default" r:id="rId11"/>
          <w:headerReference w:type="first" r:id="rId12"/>
          <w:endnotePr>
            <w:numFmt w:val="decimal"/>
          </w:endnotePr>
          <w:type w:val="continuous"/>
          <w:pgSz w:w="11906" w:h="16838" w:code="9"/>
          <w:pgMar w:top="1588" w:right="1440" w:bottom="1440" w:left="1440" w:header="567" w:footer="709" w:gutter="0"/>
          <w:pgNumType w:fmt="lowerRoman" w:start="1"/>
          <w:cols w:space="708"/>
          <w:docGrid w:linePitch="360"/>
        </w:sectPr>
      </w:pPr>
    </w:p>
    <w:p w14:paraId="4A37D4EE" w14:textId="77777777" w:rsidR="00B253A1" w:rsidRDefault="00B253A1">
      <w:pPr>
        <w:spacing w:before="0" w:after="0"/>
        <w:rPr>
          <w:rFonts w:ascii="Arial" w:eastAsia="Times New Roman" w:hAnsi="Arial"/>
          <w:bCs/>
          <w:caps/>
          <w:spacing w:val="-20"/>
          <w:kern w:val="36"/>
          <w:sz w:val="44"/>
          <w:szCs w:val="48"/>
        </w:rPr>
      </w:pPr>
      <w:bookmarkStart w:id="2" w:name="_Toc504046459"/>
      <w:bookmarkStart w:id="3" w:name="_Toc504046460"/>
      <w:bookmarkStart w:id="4" w:name="_Toc504046462"/>
      <w:bookmarkStart w:id="5" w:name="_Toc504046464"/>
      <w:bookmarkEnd w:id="2"/>
      <w:bookmarkEnd w:id="3"/>
      <w:bookmarkEnd w:id="4"/>
      <w:bookmarkEnd w:id="5"/>
      <w:r>
        <w:br w:type="page"/>
      </w:r>
    </w:p>
    <w:p w14:paraId="61653BDB" w14:textId="42D6EC66" w:rsidR="00CD7133" w:rsidRPr="00600DF2" w:rsidRDefault="00921F6B" w:rsidP="00291CA5">
      <w:pPr>
        <w:pStyle w:val="Heading1"/>
        <w:numPr>
          <w:ilvl w:val="0"/>
          <w:numId w:val="0"/>
        </w:numPr>
        <w:ind w:left="360" w:hanging="360"/>
        <w:rPr>
          <w:color w:val="auto"/>
        </w:rPr>
      </w:pPr>
      <w:bookmarkStart w:id="6" w:name="_Toc524892388"/>
      <w:r w:rsidRPr="00600DF2">
        <w:rPr>
          <w:color w:val="auto"/>
        </w:rPr>
        <w:lastRenderedPageBreak/>
        <w:t xml:space="preserve">Ministers’ </w:t>
      </w:r>
      <w:r w:rsidR="00810EF9" w:rsidRPr="00600DF2">
        <w:rPr>
          <w:color w:val="auto"/>
        </w:rPr>
        <w:t>Introduction</w:t>
      </w:r>
      <w:bookmarkEnd w:id="6"/>
    </w:p>
    <w:p w14:paraId="03B62D22" w14:textId="77777777" w:rsidR="0064083B" w:rsidRDefault="0064083B" w:rsidP="00670376">
      <w:pPr>
        <w:pStyle w:val="NoSpacing"/>
      </w:pPr>
    </w:p>
    <w:p w14:paraId="623627D2" w14:textId="77777777" w:rsidR="00DF2F70" w:rsidRDefault="00E1619D" w:rsidP="00670376">
      <w:pPr>
        <w:spacing w:before="0" w:after="0"/>
      </w:pPr>
      <w:r>
        <w:t>The ACT</w:t>
      </w:r>
      <w:r w:rsidR="00DF2F70">
        <w:t xml:space="preserve">’s reform to the </w:t>
      </w:r>
      <w:r>
        <w:t>on-demand transport industry</w:t>
      </w:r>
      <w:r w:rsidR="00E34E31">
        <w:t xml:space="preserve"> </w:t>
      </w:r>
      <w:r w:rsidR="00DF2F70">
        <w:t xml:space="preserve">(including taxis, rideshare and hire cars) has had a significant impact on consumers and industry participants.  </w:t>
      </w:r>
    </w:p>
    <w:p w14:paraId="3E81CE57" w14:textId="77777777" w:rsidR="00DF2F70" w:rsidRDefault="00DF2F70" w:rsidP="00670376">
      <w:pPr>
        <w:spacing w:before="0" w:after="0"/>
      </w:pPr>
    </w:p>
    <w:p w14:paraId="3D1BCE18" w14:textId="77B8E386" w:rsidR="00DF2F70" w:rsidRDefault="00DF2F70" w:rsidP="00670376">
      <w:pPr>
        <w:spacing w:before="0" w:after="0"/>
      </w:pPr>
      <w:r>
        <w:t xml:space="preserve">The package of 2015 reforms </w:t>
      </w:r>
      <w:r w:rsidR="007605BC">
        <w:t xml:space="preserve">has </w:t>
      </w:r>
      <w:r>
        <w:t>recently been reviewed and the ACT Government has decided it needs further community input on four key questions:</w:t>
      </w:r>
    </w:p>
    <w:p w14:paraId="13EFB343" w14:textId="4DB41CB9" w:rsidR="00DF2F70" w:rsidRPr="00005FAE" w:rsidRDefault="007E39CB" w:rsidP="000E5664">
      <w:pPr>
        <w:pStyle w:val="ListParagraph"/>
        <w:numPr>
          <w:ilvl w:val="0"/>
          <w:numId w:val="11"/>
        </w:numPr>
        <w:spacing w:before="0" w:after="0"/>
      </w:pPr>
      <w:r>
        <w:t>Wh</w:t>
      </w:r>
      <w:r w:rsidR="00894867">
        <w:t xml:space="preserve">at </w:t>
      </w:r>
      <w:r>
        <w:t xml:space="preserve">factors </w:t>
      </w:r>
      <w:r w:rsidR="00894867">
        <w:t xml:space="preserve">should the </w:t>
      </w:r>
      <w:r w:rsidR="00DD0E95">
        <w:t xml:space="preserve">Government </w:t>
      </w:r>
      <w:r w:rsidR="00894867">
        <w:t xml:space="preserve">consider when thinking about increasing or removing the regulated cap on taxi </w:t>
      </w:r>
      <w:r w:rsidR="004E61FD">
        <w:t>licences</w:t>
      </w:r>
      <w:r w:rsidR="00DF2F70" w:rsidRPr="00005FAE">
        <w:t>?</w:t>
      </w:r>
    </w:p>
    <w:p w14:paraId="41D0B98B" w14:textId="1FFEAC5C" w:rsidR="00DF2F70" w:rsidRPr="00005FAE" w:rsidRDefault="00DF2F70" w:rsidP="000E5664">
      <w:pPr>
        <w:pStyle w:val="ListParagraph"/>
        <w:numPr>
          <w:ilvl w:val="0"/>
          <w:numId w:val="11"/>
        </w:numPr>
        <w:spacing w:before="0" w:after="0"/>
      </w:pPr>
      <w:r w:rsidRPr="00005FAE">
        <w:t>Should there be any environmental conditions on newly registered taxi or rideshare vehicles?</w:t>
      </w:r>
    </w:p>
    <w:p w14:paraId="40448713" w14:textId="5DDED66B" w:rsidR="00DF2F70" w:rsidRPr="00005FAE" w:rsidRDefault="00DF2F70" w:rsidP="000E5664">
      <w:pPr>
        <w:pStyle w:val="ListParagraph"/>
        <w:numPr>
          <w:ilvl w:val="0"/>
          <w:numId w:val="11"/>
        </w:numPr>
        <w:spacing w:before="0" w:after="0"/>
      </w:pPr>
      <w:r w:rsidRPr="00005FAE">
        <w:t>Should there continue to be regulated maximum fares for booked taxi services?</w:t>
      </w:r>
    </w:p>
    <w:p w14:paraId="082711B4" w14:textId="48D4B145" w:rsidR="00DF2F70" w:rsidRPr="00005FAE" w:rsidRDefault="00DF2F70" w:rsidP="000E5664">
      <w:pPr>
        <w:pStyle w:val="ListParagraph"/>
        <w:numPr>
          <w:ilvl w:val="0"/>
          <w:numId w:val="11"/>
        </w:numPr>
        <w:spacing w:before="0" w:after="0"/>
      </w:pPr>
      <w:r w:rsidRPr="00005FAE">
        <w:t>What is the best way to index maximum fares for taxi services in the future?</w:t>
      </w:r>
    </w:p>
    <w:p w14:paraId="6DBCDDFD" w14:textId="77777777" w:rsidR="00DF2F70" w:rsidRDefault="00DF2F70" w:rsidP="00670376">
      <w:pPr>
        <w:spacing w:before="0" w:after="0"/>
      </w:pPr>
    </w:p>
    <w:p w14:paraId="2800839C" w14:textId="11BEBCA7" w:rsidR="00DF2F70" w:rsidRDefault="00DF2F70" w:rsidP="00670376">
      <w:pPr>
        <w:spacing w:before="0" w:after="0"/>
      </w:pPr>
      <w:r>
        <w:t>These are complex issues which will have impacts for on-demand transport industry users and participants across the ACT</w:t>
      </w:r>
      <w:r w:rsidR="00950BEE">
        <w:t>.  Given this,</w:t>
      </w:r>
      <w:r>
        <w:t xml:space="preserve"> we have decided to conduct a dedicated consultation process with a focus on these four key questions.</w:t>
      </w:r>
    </w:p>
    <w:p w14:paraId="5D2EA9D5" w14:textId="77777777" w:rsidR="00DF2F70" w:rsidRDefault="00DF2F70" w:rsidP="00670376">
      <w:pPr>
        <w:spacing w:before="0" w:after="0"/>
      </w:pPr>
    </w:p>
    <w:p w14:paraId="6D1E19B1" w14:textId="5D5810A2" w:rsidR="00E34E31" w:rsidRDefault="00011D76" w:rsidP="00670376">
      <w:pPr>
        <w:spacing w:before="0" w:after="0"/>
      </w:pPr>
      <w:r>
        <w:t xml:space="preserve">The ACT on-demand transport industry is being subjected to a range of internal competitive pressures, </w:t>
      </w:r>
      <w:r w:rsidR="00894867">
        <w:t xml:space="preserve">as </w:t>
      </w:r>
      <w:r>
        <w:t>well as the cross-borde</w:t>
      </w:r>
      <w:r w:rsidR="00843647">
        <w:t>r competition</w:t>
      </w:r>
      <w:r>
        <w:t xml:space="preserve"> from a largely de-regulated NSW on-demand transport market</w:t>
      </w:r>
      <w:r w:rsidR="007605BC">
        <w:t>.  I</w:t>
      </w:r>
      <w:r>
        <w:t xml:space="preserve">t is essential that </w:t>
      </w:r>
      <w:r w:rsidR="00843647">
        <w:t xml:space="preserve">the settings which shape the performance of this industry in the ACT </w:t>
      </w:r>
      <w:r w:rsidR="007605BC">
        <w:t xml:space="preserve">be </w:t>
      </w:r>
      <w:r w:rsidR="00843647">
        <w:t>put in the best position to meet the ongoing needs of users, drivers, licence holders and booking services.</w:t>
      </w:r>
    </w:p>
    <w:p w14:paraId="08C5C0A4" w14:textId="77777777" w:rsidR="00670376" w:rsidRDefault="00670376" w:rsidP="00670376">
      <w:pPr>
        <w:spacing w:before="0" w:after="0"/>
      </w:pPr>
    </w:p>
    <w:p w14:paraId="0FEEA246" w14:textId="3997999E" w:rsidR="00843647" w:rsidRDefault="00843647" w:rsidP="00670376">
      <w:pPr>
        <w:spacing w:before="0" w:after="0"/>
      </w:pPr>
      <w:r>
        <w:t xml:space="preserve">Until recently, the cap on taxi licences was 358, across both perpetual and </w:t>
      </w:r>
      <w:r w:rsidR="00313ADC">
        <w:t>G</w:t>
      </w:r>
      <w:r>
        <w:t xml:space="preserve">overnment-issued plates, with the Government lifting the cap to 500 </w:t>
      </w:r>
      <w:r w:rsidR="00F43D75">
        <w:t>during September 2018</w:t>
      </w:r>
      <w:r>
        <w:t xml:space="preserve">.  We will release up to </w:t>
      </w:r>
      <w:r w:rsidR="005C0D83">
        <w:t>8</w:t>
      </w:r>
      <w:r w:rsidR="00D84C4B">
        <w:t>0</w:t>
      </w:r>
      <w:r>
        <w:t xml:space="preserve"> plates by </w:t>
      </w:r>
      <w:r w:rsidR="00D84C4B">
        <w:t>early</w:t>
      </w:r>
      <w:r>
        <w:t xml:space="preserve"> 201</w:t>
      </w:r>
      <w:r w:rsidR="00D84C4B">
        <w:t>9</w:t>
      </w:r>
      <w:r>
        <w:t>.  We want to know from the community and industry</w:t>
      </w:r>
      <w:r w:rsidR="007605BC">
        <w:t xml:space="preserve"> whether</w:t>
      </w:r>
      <w:r w:rsidR="00C73B14">
        <w:t xml:space="preserve"> there </w:t>
      </w:r>
      <w:r>
        <w:t>should be a cap on licences at all, or should it be a question for the market itself to determine, like rideshare and hire car licence numbers.</w:t>
      </w:r>
    </w:p>
    <w:p w14:paraId="7508F18A" w14:textId="77777777" w:rsidR="00843647" w:rsidRDefault="00843647" w:rsidP="00670376">
      <w:pPr>
        <w:spacing w:before="0" w:after="0"/>
      </w:pPr>
    </w:p>
    <w:p w14:paraId="2B1E4FEA" w14:textId="382F2AF7" w:rsidR="00843647" w:rsidRDefault="00843647" w:rsidP="00670376">
      <w:pPr>
        <w:spacing w:before="0" w:after="0"/>
      </w:pPr>
      <w:r>
        <w:t>With the significant growth of rideshare and the growth in taxi licence numbers in the ACT, there are questions about the environmental impact</w:t>
      </w:r>
      <w:r w:rsidR="004E61FD">
        <w:t xml:space="preserve"> of on-demand transport</w:t>
      </w:r>
      <w:r>
        <w:t>.  More cars can lead to higher emissions, depending on the age, type and fuel used by on-demand transport vehicles.  This raises the question about whether any environmental conditions should apply to any on-demand transport licences issued in the future.</w:t>
      </w:r>
    </w:p>
    <w:p w14:paraId="3F5D19F6" w14:textId="77777777" w:rsidR="00843647" w:rsidRDefault="00843647" w:rsidP="00670376">
      <w:pPr>
        <w:spacing w:before="0" w:after="0"/>
      </w:pPr>
    </w:p>
    <w:p w14:paraId="5ECAD046" w14:textId="07ED1EB7" w:rsidR="007E39CB" w:rsidRDefault="00D8139E" w:rsidP="00670376">
      <w:pPr>
        <w:spacing w:before="0" w:after="0"/>
      </w:pPr>
      <w:r>
        <w:t>The ACT has long-</w:t>
      </w:r>
      <w:r w:rsidR="00843647">
        <w:t xml:space="preserve">regulated the maximum taxi fare, and has worked with industry on a complex model </w:t>
      </w:r>
      <w:r>
        <w:t xml:space="preserve">for this indexation of </w:t>
      </w:r>
      <w:r w:rsidR="00843647">
        <w:t>th</w:t>
      </w:r>
      <w:r>
        <w:t>e</w:t>
      </w:r>
      <w:r w:rsidR="00843647">
        <w:t xml:space="preserve"> fare level</w:t>
      </w:r>
      <w:r>
        <w:t xml:space="preserve">.  Maximum fares do not apply in either the rideshare or hire car markets, where services are booked and a fare estimate </w:t>
      </w:r>
      <w:r w:rsidR="00F43D75">
        <w:t xml:space="preserve">is </w:t>
      </w:r>
      <w:r>
        <w:t xml:space="preserve">provided before the trip commences.  This raises the question of whether booked taxi fares should be deregulated and left as a </w:t>
      </w:r>
      <w:r w:rsidR="0072735B">
        <w:t xml:space="preserve">matter of </w:t>
      </w:r>
      <w:r>
        <w:t>negotiation between the consumer and the transport booking service.</w:t>
      </w:r>
      <w:r w:rsidR="00843647">
        <w:t xml:space="preserve"> </w:t>
      </w:r>
      <w:r>
        <w:t xml:space="preserve">This could provide for more effective competition between taxis and rideshare services, while retaining a maximum fare for ‘rank and hail’ taxi services. </w:t>
      </w:r>
    </w:p>
    <w:p w14:paraId="463CE637" w14:textId="77777777" w:rsidR="007E39CB" w:rsidRDefault="007E39CB" w:rsidP="00670376">
      <w:pPr>
        <w:spacing w:before="0" w:after="0"/>
      </w:pPr>
    </w:p>
    <w:p w14:paraId="66D6AFAD" w14:textId="2EBFFD91" w:rsidR="00D8139E" w:rsidRDefault="0072735B" w:rsidP="00670376">
      <w:pPr>
        <w:spacing w:before="0" w:after="0"/>
      </w:pPr>
      <w:r>
        <w:t xml:space="preserve">If </w:t>
      </w:r>
      <w:r w:rsidR="00D8139E">
        <w:t xml:space="preserve">the maximum fare remains regulated, the best method to index that fare is also a subject of discussion.  </w:t>
      </w:r>
      <w:r>
        <w:t>T</w:t>
      </w:r>
      <w:r w:rsidR="00D8139E">
        <w:t xml:space="preserve">he current model </w:t>
      </w:r>
      <w:r>
        <w:t xml:space="preserve">for indexing is complex, and </w:t>
      </w:r>
      <w:r w:rsidR="00D8139E">
        <w:t xml:space="preserve">a simpler, more predictable model </w:t>
      </w:r>
      <w:r>
        <w:t xml:space="preserve">could potentially </w:t>
      </w:r>
      <w:r w:rsidR="00D8139E">
        <w:t xml:space="preserve">be used. </w:t>
      </w:r>
    </w:p>
    <w:p w14:paraId="0CF851D9" w14:textId="77777777" w:rsidR="00D8139E" w:rsidRDefault="00D8139E" w:rsidP="00670376">
      <w:pPr>
        <w:spacing w:before="0" w:after="0"/>
      </w:pPr>
    </w:p>
    <w:p w14:paraId="4313447E" w14:textId="3719F3B2" w:rsidR="0078085E" w:rsidRDefault="00121ACC" w:rsidP="00670376">
      <w:pPr>
        <w:spacing w:before="0" w:after="0"/>
      </w:pPr>
      <w:r>
        <w:lastRenderedPageBreak/>
        <w:t xml:space="preserve">The </w:t>
      </w:r>
      <w:r w:rsidR="00D8139E">
        <w:t xml:space="preserve">ACT </w:t>
      </w:r>
      <w:r>
        <w:t xml:space="preserve">Government </w:t>
      </w:r>
      <w:r w:rsidR="00D8139E">
        <w:t>is</w:t>
      </w:r>
      <w:r>
        <w:t xml:space="preserve"> working </w:t>
      </w:r>
      <w:r w:rsidR="00D8139E">
        <w:t>hard to deliver an integrated</w:t>
      </w:r>
      <w:r>
        <w:t xml:space="preserve"> on-demand transport </w:t>
      </w:r>
      <w:r w:rsidR="00D8139E">
        <w:t>industry which delivers for, and is responsive to, all Canberrans</w:t>
      </w:r>
      <w:r>
        <w:t>.</w:t>
      </w:r>
      <w:r w:rsidR="00D8139E">
        <w:t xml:space="preserve">  This consultation will assist us in considering the best path forward on some key elements of delivering the best on-demand transport system for our Territory.</w:t>
      </w:r>
    </w:p>
    <w:p w14:paraId="1A745741" w14:textId="77777777" w:rsidR="000A5A56" w:rsidRDefault="000A5A56" w:rsidP="00670376">
      <w:pPr>
        <w:spacing w:before="0" w:after="0"/>
      </w:pPr>
    </w:p>
    <w:p w14:paraId="7778D0C7" w14:textId="7B93A7C5" w:rsidR="00192196" w:rsidRDefault="00D8139E" w:rsidP="00670376">
      <w:pPr>
        <w:spacing w:before="0" w:after="0"/>
      </w:pPr>
      <w:r>
        <w:t>We welcome your views and strongly encourage you to participate in this consultation</w:t>
      </w:r>
      <w:r w:rsidR="00121ACC">
        <w:t>.</w:t>
      </w:r>
    </w:p>
    <w:p w14:paraId="195934C9" w14:textId="740D4682" w:rsidR="00565D7B" w:rsidRDefault="00565D7B">
      <w:r>
        <w:t xml:space="preserve">   </w:t>
      </w:r>
    </w:p>
    <w:p w14:paraId="6A982F0B" w14:textId="77777777" w:rsidR="00D8139E" w:rsidRDefault="00D8139E"/>
    <w:p w14:paraId="6FF3C25B" w14:textId="77777777" w:rsidR="009F02B1" w:rsidRDefault="009F02B1" w:rsidP="009F02B1">
      <w:pPr>
        <w:pStyle w:val="NoSpacing"/>
      </w:pPr>
    </w:p>
    <w:p w14:paraId="4FD284F8" w14:textId="3512B909" w:rsidR="00121ACC" w:rsidRDefault="00121ACC">
      <w:pPr>
        <w:spacing w:after="0"/>
      </w:pPr>
      <w:r w:rsidRPr="00D962A0">
        <w:t>Gordon Ramsay</w:t>
      </w:r>
      <w:r>
        <w:t xml:space="preserve"> MLA</w:t>
      </w:r>
      <w:r w:rsidR="00291CA5">
        <w:tab/>
      </w:r>
      <w:r w:rsidR="00291CA5">
        <w:tab/>
      </w:r>
      <w:r w:rsidR="00291CA5">
        <w:tab/>
      </w:r>
      <w:r w:rsidR="00291CA5">
        <w:tab/>
      </w:r>
      <w:r w:rsidR="00291CA5">
        <w:tab/>
        <w:t>Shane Rattenbury MLA</w:t>
      </w:r>
    </w:p>
    <w:p w14:paraId="5A909E51" w14:textId="6E722743" w:rsidR="00B37B83" w:rsidRDefault="00121ACC" w:rsidP="00D06815">
      <w:pPr>
        <w:spacing w:after="0"/>
        <w:ind w:left="3969" w:hanging="3969"/>
      </w:pPr>
      <w:r>
        <w:t xml:space="preserve">Minister for </w:t>
      </w:r>
      <w:r w:rsidR="00B37B83">
        <w:t>Business</w:t>
      </w:r>
      <w:r w:rsidR="00D06815">
        <w:t xml:space="preserve"> and</w:t>
      </w:r>
      <w:r w:rsidR="00291CA5">
        <w:tab/>
      </w:r>
      <w:r w:rsidR="00291CA5">
        <w:tab/>
      </w:r>
      <w:r w:rsidR="00B37B83">
        <w:tab/>
      </w:r>
      <w:r w:rsidR="00291CA5">
        <w:t>Minister for Justice, Consumer Affairs</w:t>
      </w:r>
    </w:p>
    <w:p w14:paraId="75741817" w14:textId="62375134" w:rsidR="00D161C2" w:rsidRPr="00291CA5" w:rsidRDefault="00B37B83" w:rsidP="00D06815">
      <w:pPr>
        <w:spacing w:after="0"/>
        <w:ind w:left="3969" w:hanging="3969"/>
      </w:pPr>
      <w:r>
        <w:t>Regulatory Services</w:t>
      </w:r>
      <w:r>
        <w:tab/>
      </w:r>
      <w:r>
        <w:tab/>
      </w:r>
      <w:r>
        <w:tab/>
      </w:r>
      <w:r w:rsidR="00291CA5">
        <w:t xml:space="preserve">and Road Safety </w:t>
      </w:r>
      <w:r w:rsidR="00D161C2">
        <w:br w:type="page"/>
      </w:r>
    </w:p>
    <w:p w14:paraId="1DD74EFB" w14:textId="65020D7E" w:rsidR="00265B03" w:rsidRPr="00600DF2" w:rsidRDefault="00980900" w:rsidP="00980900">
      <w:pPr>
        <w:pStyle w:val="Heading1"/>
        <w:numPr>
          <w:ilvl w:val="0"/>
          <w:numId w:val="0"/>
        </w:numPr>
        <w:ind w:left="360" w:hanging="360"/>
        <w:rPr>
          <w:color w:val="auto"/>
        </w:rPr>
      </w:pPr>
      <w:bookmarkStart w:id="7" w:name="_Toc504046468"/>
      <w:bookmarkStart w:id="8" w:name="_Toc504046470"/>
      <w:bookmarkStart w:id="9" w:name="_Toc504046471"/>
      <w:bookmarkStart w:id="10" w:name="_Toc504046474"/>
      <w:bookmarkStart w:id="11" w:name="_Toc504046484"/>
      <w:bookmarkStart w:id="12" w:name="_Toc504046489"/>
      <w:bookmarkStart w:id="13" w:name="_Toc504046494"/>
      <w:bookmarkStart w:id="14" w:name="_Toc504046495"/>
      <w:bookmarkStart w:id="15" w:name="_Toc504046500"/>
      <w:bookmarkStart w:id="16" w:name="_Toc504046501"/>
      <w:bookmarkStart w:id="17" w:name="_Toc504046504"/>
      <w:bookmarkStart w:id="18" w:name="_Toc504046505"/>
      <w:bookmarkStart w:id="19" w:name="_Toc504046506"/>
      <w:bookmarkStart w:id="20" w:name="_Toc504046507"/>
      <w:bookmarkStart w:id="21" w:name="_Toc504046509"/>
      <w:bookmarkStart w:id="22" w:name="_Toc504046511"/>
      <w:bookmarkStart w:id="23" w:name="_Toc504046513"/>
      <w:bookmarkStart w:id="24" w:name="_Toc504046514"/>
      <w:bookmarkStart w:id="25" w:name="_Toc504046515"/>
      <w:bookmarkStart w:id="26" w:name="_Toc504046519"/>
      <w:bookmarkStart w:id="27" w:name="_Toc504046521"/>
      <w:bookmarkStart w:id="28" w:name="_Toc504046527"/>
      <w:bookmarkStart w:id="29" w:name="_Toc504046531"/>
      <w:bookmarkStart w:id="30" w:name="_Toc504046539"/>
      <w:bookmarkStart w:id="31" w:name="_Toc504046540"/>
      <w:bookmarkStart w:id="32" w:name="_Toc504046543"/>
      <w:bookmarkStart w:id="33" w:name="_Toc504046545"/>
      <w:bookmarkStart w:id="34" w:name="_Toc504046546"/>
      <w:bookmarkStart w:id="35" w:name="_Toc504046547"/>
      <w:bookmarkStart w:id="36" w:name="_Toc504046548"/>
      <w:bookmarkStart w:id="37" w:name="_Toc504046549"/>
      <w:bookmarkStart w:id="38" w:name="_Toc504046550"/>
      <w:bookmarkStart w:id="39" w:name="_Toc504046551"/>
      <w:bookmarkStart w:id="40" w:name="_Toc504046555"/>
      <w:bookmarkStart w:id="41" w:name="_Toc504046556"/>
      <w:bookmarkStart w:id="42" w:name="_Toc504046558"/>
      <w:bookmarkStart w:id="43" w:name="_Toc504046560"/>
      <w:bookmarkStart w:id="44" w:name="_Toc504046563"/>
      <w:bookmarkStart w:id="45" w:name="_Toc504046565"/>
      <w:bookmarkStart w:id="46" w:name="_Toc504046585"/>
      <w:bookmarkStart w:id="47" w:name="_Toc504046586"/>
      <w:bookmarkStart w:id="48" w:name="_Toc504046589"/>
      <w:bookmarkStart w:id="49" w:name="_Toc504046590"/>
      <w:bookmarkStart w:id="50" w:name="_Toc504046591"/>
      <w:bookmarkStart w:id="51" w:name="_Toc504046593"/>
      <w:bookmarkStart w:id="52" w:name="_Toc504046594"/>
      <w:bookmarkStart w:id="53" w:name="_Toc504046595"/>
      <w:bookmarkStart w:id="54" w:name="_Toc504046596"/>
      <w:bookmarkStart w:id="55" w:name="_Toc504046597"/>
      <w:bookmarkStart w:id="56" w:name="_Toc504046598"/>
      <w:bookmarkStart w:id="57" w:name="_Toc504046599"/>
      <w:bookmarkStart w:id="58" w:name="_Toc504046605"/>
      <w:bookmarkStart w:id="59" w:name="_Toc504046609"/>
      <w:bookmarkStart w:id="60" w:name="_Toc504046610"/>
      <w:bookmarkStart w:id="61" w:name="_Toc504046611"/>
      <w:bookmarkStart w:id="62" w:name="_Toc504046614"/>
      <w:bookmarkStart w:id="63" w:name="_Toc504046615"/>
      <w:bookmarkStart w:id="64" w:name="_Toc504046625"/>
      <w:bookmarkStart w:id="65" w:name="_Toc504046626"/>
      <w:bookmarkStart w:id="66" w:name="_Toc504046627"/>
      <w:bookmarkStart w:id="67" w:name="_Toc504046630"/>
      <w:bookmarkStart w:id="68" w:name="_Toc504046633"/>
      <w:bookmarkStart w:id="69" w:name="_Toc504046634"/>
      <w:bookmarkStart w:id="70" w:name="_Toc504046647"/>
      <w:bookmarkStart w:id="71" w:name="_Toc504046649"/>
      <w:bookmarkStart w:id="72" w:name="_Toc504046650"/>
      <w:bookmarkStart w:id="73" w:name="_Toc504046651"/>
      <w:bookmarkStart w:id="74" w:name="_Toc504046652"/>
      <w:bookmarkStart w:id="75" w:name="_Toc504046653"/>
      <w:bookmarkStart w:id="76" w:name="_Toc504046658"/>
      <w:bookmarkStart w:id="77" w:name="_Toc504046661"/>
      <w:bookmarkStart w:id="78" w:name="_Toc504046663"/>
      <w:bookmarkStart w:id="79" w:name="_Toc504046664"/>
      <w:bookmarkStart w:id="80" w:name="_Toc504046665"/>
      <w:bookmarkStart w:id="81" w:name="_Toc504046666"/>
      <w:bookmarkStart w:id="82" w:name="_Toc504046667"/>
      <w:bookmarkStart w:id="83" w:name="_Toc504046669"/>
      <w:bookmarkStart w:id="84" w:name="_Toc504046673"/>
      <w:bookmarkStart w:id="85" w:name="_Toc504046682"/>
      <w:bookmarkStart w:id="86" w:name="_Toc504046691"/>
      <w:bookmarkStart w:id="87" w:name="_Toc504046694"/>
      <w:bookmarkStart w:id="88" w:name="_Toc504046697"/>
      <w:bookmarkStart w:id="89" w:name="_Toc504046703"/>
      <w:bookmarkStart w:id="90" w:name="_Toc504046710"/>
      <w:bookmarkStart w:id="91" w:name="_Toc504046711"/>
      <w:bookmarkStart w:id="92" w:name="_Toc504046712"/>
      <w:bookmarkStart w:id="93" w:name="_Toc504046720"/>
      <w:bookmarkStart w:id="94" w:name="_Toc504046721"/>
      <w:bookmarkStart w:id="95" w:name="_Toc504046723"/>
      <w:bookmarkStart w:id="96" w:name="_Toc504046725"/>
      <w:bookmarkStart w:id="97" w:name="_Toc504046727"/>
      <w:bookmarkStart w:id="98" w:name="_Toc504046731"/>
      <w:bookmarkStart w:id="99" w:name="_Toc504046736"/>
      <w:bookmarkStart w:id="100" w:name="_Toc504046741"/>
      <w:bookmarkStart w:id="101" w:name="_Toc504046750"/>
      <w:bookmarkStart w:id="102" w:name="_Toc504046854"/>
      <w:bookmarkStart w:id="103" w:name="_Toc504046861"/>
      <w:bookmarkStart w:id="104" w:name="_Toc504046968"/>
      <w:bookmarkStart w:id="105" w:name="_Toc504047000"/>
      <w:bookmarkStart w:id="106" w:name="_Toc504047016"/>
      <w:bookmarkStart w:id="107" w:name="_Toc504047021"/>
      <w:bookmarkStart w:id="108" w:name="_Toc504047022"/>
      <w:bookmarkStart w:id="109" w:name="_Toc504047027"/>
      <w:bookmarkStart w:id="110" w:name="_Toc504047033"/>
      <w:bookmarkStart w:id="111" w:name="_Toc504047036"/>
      <w:bookmarkStart w:id="112" w:name="_Toc504047037"/>
      <w:bookmarkStart w:id="113" w:name="_Toc504047038"/>
      <w:bookmarkStart w:id="114" w:name="_Toc504047039"/>
      <w:bookmarkStart w:id="115" w:name="_Toc504047041"/>
      <w:bookmarkStart w:id="116" w:name="_Toc504047052"/>
      <w:bookmarkStart w:id="117" w:name="_Toc504047063"/>
      <w:bookmarkStart w:id="118" w:name="_Toc504047067"/>
      <w:bookmarkStart w:id="119" w:name="_Toc504047068"/>
      <w:bookmarkStart w:id="120" w:name="_Toc504047076"/>
      <w:bookmarkStart w:id="121" w:name="_Toc504047078"/>
      <w:bookmarkStart w:id="122" w:name="_Toc504047079"/>
      <w:bookmarkStart w:id="123" w:name="_Toc504047081"/>
      <w:bookmarkStart w:id="124" w:name="_Toc504047086"/>
      <w:bookmarkStart w:id="125" w:name="_Toc504047094"/>
      <w:bookmarkStart w:id="126" w:name="_Toc504047098"/>
      <w:bookmarkStart w:id="127" w:name="_Toc504047099"/>
      <w:bookmarkStart w:id="128" w:name="_Toc504047104"/>
      <w:bookmarkStart w:id="129" w:name="_Toc504047105"/>
      <w:bookmarkStart w:id="130" w:name="_Toc504047109"/>
      <w:bookmarkStart w:id="131" w:name="_Toc504047110"/>
      <w:bookmarkStart w:id="132" w:name="_Toc504047128"/>
      <w:bookmarkStart w:id="133" w:name="_Toc504047129"/>
      <w:bookmarkStart w:id="134" w:name="_Toc504047130"/>
      <w:bookmarkStart w:id="135" w:name="_Toc504047131"/>
      <w:bookmarkStart w:id="136" w:name="_Toc504047132"/>
      <w:bookmarkStart w:id="137" w:name="_Toc504047133"/>
      <w:bookmarkStart w:id="138" w:name="_Toc504047134"/>
      <w:bookmarkStart w:id="139" w:name="_Toc504047144"/>
      <w:bookmarkStart w:id="140" w:name="_Toc504047145"/>
      <w:bookmarkStart w:id="141" w:name="_Toc504047149"/>
      <w:bookmarkStart w:id="142" w:name="_Toc504047155"/>
      <w:bookmarkStart w:id="143" w:name="_Toc504047174"/>
      <w:bookmarkStart w:id="144" w:name="_Toc504047175"/>
      <w:bookmarkStart w:id="145" w:name="_Toc504047177"/>
      <w:bookmarkStart w:id="146" w:name="_Toc504047178"/>
      <w:bookmarkStart w:id="147" w:name="_Toc504047179"/>
      <w:bookmarkStart w:id="148" w:name="_Toc504047190"/>
      <w:bookmarkStart w:id="149" w:name="_Toc504047191"/>
      <w:bookmarkStart w:id="150" w:name="_Toc504047192"/>
      <w:bookmarkStart w:id="151" w:name="_Toc504047195"/>
      <w:bookmarkStart w:id="152" w:name="_Toc504047199"/>
      <w:bookmarkStart w:id="153" w:name="_Toc504047200"/>
      <w:bookmarkStart w:id="154" w:name="_Toc504047201"/>
      <w:bookmarkStart w:id="155" w:name="_Toc504047209"/>
      <w:bookmarkStart w:id="156" w:name="_Toc504047234"/>
      <w:bookmarkStart w:id="157" w:name="_Toc504047235"/>
      <w:bookmarkStart w:id="158" w:name="_Toc504047236"/>
      <w:bookmarkStart w:id="159" w:name="_Toc504047237"/>
      <w:bookmarkStart w:id="160" w:name="_Toc504047238"/>
      <w:bookmarkStart w:id="161" w:name="_Toc504047239"/>
      <w:bookmarkStart w:id="162" w:name="_Toc504047240"/>
      <w:bookmarkStart w:id="163" w:name="_Toc504047245"/>
      <w:bookmarkStart w:id="164" w:name="_Toc504047246"/>
      <w:bookmarkStart w:id="165" w:name="_Toc504047268"/>
      <w:bookmarkStart w:id="166" w:name="_Toc504047273"/>
      <w:bookmarkStart w:id="167" w:name="_Toc504047278"/>
      <w:bookmarkStart w:id="168" w:name="_Toc504047279"/>
      <w:bookmarkStart w:id="169" w:name="_Toc504047280"/>
      <w:bookmarkStart w:id="170" w:name="_Toc504047281"/>
      <w:bookmarkStart w:id="171" w:name="_Toc504047282"/>
      <w:bookmarkStart w:id="172" w:name="_Toc504047283"/>
      <w:bookmarkStart w:id="173" w:name="_Toc504047286"/>
      <w:bookmarkStart w:id="174" w:name="_Toc504047293"/>
      <w:bookmarkStart w:id="175" w:name="_Toc504047294"/>
      <w:bookmarkStart w:id="176" w:name="_Toc504047298"/>
      <w:bookmarkStart w:id="177" w:name="_Toc504047302"/>
      <w:bookmarkStart w:id="178" w:name="_Toc504047305"/>
      <w:bookmarkStart w:id="179" w:name="_Toc504047307"/>
      <w:bookmarkStart w:id="180" w:name="_Toc504047308"/>
      <w:bookmarkStart w:id="181" w:name="_Toc504047310"/>
      <w:bookmarkStart w:id="182" w:name="_Toc504047311"/>
      <w:bookmarkStart w:id="183" w:name="_Toc504047313"/>
      <w:bookmarkStart w:id="184" w:name="_Toc504047379"/>
      <w:bookmarkStart w:id="185" w:name="_Toc504047380"/>
      <w:bookmarkStart w:id="186" w:name="_Toc504047381"/>
      <w:bookmarkStart w:id="187" w:name="_Toc504047382"/>
      <w:bookmarkStart w:id="188" w:name="_Toc504047384"/>
      <w:bookmarkStart w:id="189" w:name="_Toc504047388"/>
      <w:bookmarkStart w:id="190" w:name="_Toc504047390"/>
      <w:bookmarkStart w:id="191" w:name="_Toc504047394"/>
      <w:bookmarkStart w:id="192" w:name="_Toc504047397"/>
      <w:bookmarkStart w:id="193" w:name="_Toc504047400"/>
      <w:bookmarkStart w:id="194" w:name="_Toc504047401"/>
      <w:bookmarkStart w:id="195" w:name="_Toc504047404"/>
      <w:bookmarkStart w:id="196" w:name="_Toc504047408"/>
      <w:bookmarkStart w:id="197" w:name="_Toc504047410"/>
      <w:bookmarkStart w:id="198" w:name="_Toc504047411"/>
      <w:bookmarkStart w:id="199" w:name="_Toc504047412"/>
      <w:bookmarkStart w:id="200" w:name="_Toc504047415"/>
      <w:bookmarkStart w:id="201" w:name="_Toc504047420"/>
      <w:bookmarkStart w:id="202" w:name="_Toc504047421"/>
      <w:bookmarkStart w:id="203" w:name="_Toc504047426"/>
      <w:bookmarkStart w:id="204" w:name="_Toc504047431"/>
      <w:bookmarkStart w:id="205" w:name="_Toc504047433"/>
      <w:bookmarkStart w:id="206" w:name="_Toc504047435"/>
      <w:bookmarkStart w:id="207" w:name="_Toc504047438"/>
      <w:bookmarkStart w:id="208" w:name="_Toc504047441"/>
      <w:bookmarkStart w:id="209" w:name="_Toc504047442"/>
      <w:bookmarkStart w:id="210" w:name="_Toc504047444"/>
      <w:bookmarkStart w:id="211" w:name="_Toc504047445"/>
      <w:bookmarkStart w:id="212" w:name="_Toc504047446"/>
      <w:bookmarkStart w:id="213" w:name="_Toc504047452"/>
      <w:bookmarkStart w:id="214" w:name="_Toc504047457"/>
      <w:bookmarkStart w:id="215" w:name="_Toc504047460"/>
      <w:bookmarkStart w:id="216" w:name="_Toc504047466"/>
      <w:bookmarkStart w:id="217" w:name="_Toc504047467"/>
      <w:bookmarkStart w:id="218" w:name="_Toc504047469"/>
      <w:bookmarkStart w:id="219" w:name="_Toc504047473"/>
      <w:bookmarkStart w:id="220" w:name="_Toc504047476"/>
      <w:bookmarkStart w:id="221" w:name="_Toc504047480"/>
      <w:bookmarkStart w:id="222" w:name="_Toc504047481"/>
      <w:bookmarkStart w:id="223" w:name="_Toc504047482"/>
      <w:bookmarkStart w:id="224" w:name="_Toc504047483"/>
      <w:bookmarkStart w:id="225" w:name="_Toc504047484"/>
      <w:bookmarkStart w:id="226" w:name="_Toc504047485"/>
      <w:bookmarkStart w:id="227" w:name="_Toc504047486"/>
      <w:bookmarkStart w:id="228" w:name="_Toc504047487"/>
      <w:bookmarkStart w:id="229" w:name="_Toc504047491"/>
      <w:bookmarkStart w:id="230" w:name="_Toc504047511"/>
      <w:bookmarkStart w:id="231" w:name="_Toc504047517"/>
      <w:bookmarkStart w:id="232" w:name="_Toc504047519"/>
      <w:bookmarkStart w:id="233" w:name="_Toc504047521"/>
      <w:bookmarkStart w:id="234" w:name="_Toc504047524"/>
      <w:bookmarkStart w:id="235" w:name="_Toc504047526"/>
      <w:bookmarkStart w:id="236" w:name="_Toc504047527"/>
      <w:bookmarkStart w:id="237" w:name="_Toc504047528"/>
      <w:bookmarkStart w:id="238" w:name="_Toc504047531"/>
      <w:bookmarkStart w:id="239" w:name="_Toc504047542"/>
      <w:bookmarkStart w:id="240" w:name="_Toc504047543"/>
      <w:bookmarkStart w:id="241" w:name="_Toc504047545"/>
      <w:bookmarkStart w:id="242" w:name="_Toc504047547"/>
      <w:bookmarkStart w:id="243" w:name="_Toc504047555"/>
      <w:bookmarkStart w:id="244" w:name="_Toc504047572"/>
      <w:bookmarkStart w:id="245" w:name="_Toc504047581"/>
      <w:bookmarkStart w:id="246" w:name="_Toc504047590"/>
      <w:bookmarkStart w:id="247" w:name="_Toc504047599"/>
      <w:bookmarkStart w:id="248" w:name="_Toc504047608"/>
      <w:bookmarkStart w:id="249" w:name="_Toc504047617"/>
      <w:bookmarkStart w:id="250" w:name="_Toc504047626"/>
      <w:bookmarkStart w:id="251" w:name="_Toc504047642"/>
      <w:bookmarkStart w:id="252" w:name="_Toc504047651"/>
      <w:bookmarkStart w:id="253" w:name="_Toc504047660"/>
      <w:bookmarkStart w:id="254" w:name="_Toc504047669"/>
      <w:bookmarkStart w:id="255" w:name="_Toc504047678"/>
      <w:bookmarkStart w:id="256" w:name="_Toc504047687"/>
      <w:bookmarkStart w:id="257" w:name="_Toc504047704"/>
      <w:bookmarkStart w:id="258" w:name="_Toc504047713"/>
      <w:bookmarkStart w:id="259" w:name="_Toc504047722"/>
      <w:bookmarkStart w:id="260" w:name="_Toc504047723"/>
      <w:bookmarkStart w:id="261" w:name="_Toc504047724"/>
      <w:bookmarkStart w:id="262" w:name="_Toc504047725"/>
      <w:bookmarkStart w:id="263" w:name="_Toc504047726"/>
      <w:bookmarkStart w:id="264" w:name="_Toc504047727"/>
      <w:bookmarkStart w:id="265" w:name="_Toc504047728"/>
      <w:bookmarkStart w:id="266" w:name="_Toc504047729"/>
      <w:bookmarkStart w:id="267" w:name="_Toc504047730"/>
      <w:bookmarkStart w:id="268" w:name="_Toc504047732"/>
      <w:bookmarkStart w:id="269" w:name="_Toc504047733"/>
      <w:bookmarkStart w:id="270" w:name="_Toc504047734"/>
      <w:bookmarkStart w:id="271" w:name="_Toc504047736"/>
      <w:bookmarkStart w:id="272" w:name="_Toc504047737"/>
      <w:bookmarkStart w:id="273" w:name="_Toc504047738"/>
      <w:bookmarkStart w:id="274" w:name="_Toc504047739"/>
      <w:bookmarkStart w:id="275" w:name="_Toc504047740"/>
      <w:bookmarkStart w:id="276" w:name="_Toc504047741"/>
      <w:bookmarkStart w:id="277" w:name="_Toc504047742"/>
      <w:bookmarkStart w:id="278" w:name="_Toc504047743"/>
      <w:bookmarkStart w:id="279" w:name="_Toc504047744"/>
      <w:bookmarkStart w:id="280" w:name="_Toc504047751"/>
      <w:bookmarkStart w:id="281" w:name="_Toc504047780"/>
      <w:bookmarkStart w:id="282" w:name="_Toc504047784"/>
      <w:bookmarkStart w:id="283" w:name="_Toc504047786"/>
      <w:bookmarkStart w:id="284" w:name="_Toc504047787"/>
      <w:bookmarkStart w:id="285" w:name="_Toc503280444"/>
      <w:bookmarkStart w:id="286" w:name="_Toc5248923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600DF2">
        <w:rPr>
          <w:color w:val="auto"/>
        </w:rPr>
        <w:lastRenderedPageBreak/>
        <w:t>The cap on</w:t>
      </w:r>
      <w:r w:rsidR="00252FB3" w:rsidRPr="00600DF2">
        <w:rPr>
          <w:color w:val="auto"/>
        </w:rPr>
        <w:t xml:space="preserve"> </w:t>
      </w:r>
      <w:bookmarkEnd w:id="285"/>
      <w:r w:rsidR="00921F6B" w:rsidRPr="00600DF2">
        <w:rPr>
          <w:color w:val="auto"/>
        </w:rPr>
        <w:t xml:space="preserve">taxi </w:t>
      </w:r>
      <w:r w:rsidRPr="00600DF2">
        <w:rPr>
          <w:color w:val="auto"/>
        </w:rPr>
        <w:t>licences</w:t>
      </w:r>
      <w:bookmarkEnd w:id="286"/>
      <w:r w:rsidR="00265B03" w:rsidRPr="00600DF2">
        <w:rPr>
          <w:color w:val="auto"/>
        </w:rPr>
        <w:t xml:space="preserve"> </w:t>
      </w:r>
    </w:p>
    <w:p w14:paraId="4E16A4FF" w14:textId="77777777" w:rsidR="0087479E" w:rsidRDefault="0087479E" w:rsidP="003C70BF"/>
    <w:p w14:paraId="5AF07A10" w14:textId="036BD7F3" w:rsidR="00B253A1" w:rsidRPr="006A4923" w:rsidRDefault="00B253A1" w:rsidP="006A4923">
      <w:pPr>
        <w:pStyle w:val="Heading2"/>
        <w:numPr>
          <w:ilvl w:val="0"/>
          <w:numId w:val="0"/>
        </w:numPr>
        <w:spacing w:before="0"/>
        <w:rPr>
          <w:b/>
        </w:rPr>
      </w:pPr>
      <w:bookmarkStart w:id="287" w:name="_Toc524892390"/>
      <w:r>
        <w:rPr>
          <w:b/>
          <w:color w:val="auto"/>
        </w:rPr>
        <w:t>Background</w:t>
      </w:r>
      <w:bookmarkEnd w:id="287"/>
    </w:p>
    <w:p w14:paraId="626E6146" w14:textId="06036333" w:rsidR="00116566" w:rsidRDefault="00265B03" w:rsidP="003C70BF">
      <w:r w:rsidRPr="00823BC3">
        <w:t xml:space="preserve">Taxi supply in the ACT is limited </w:t>
      </w:r>
      <w:r w:rsidR="002462E4">
        <w:t>through</w:t>
      </w:r>
      <w:r w:rsidR="002462E4" w:rsidRPr="00823BC3">
        <w:t xml:space="preserve"> </w:t>
      </w:r>
      <w:r w:rsidRPr="00823BC3">
        <w:t xml:space="preserve">a prescribed cap on the number of available licences. </w:t>
      </w:r>
      <w:r w:rsidR="00116566">
        <w:t>From 2011 to 2018, this cap has been 358 licences</w:t>
      </w:r>
      <w:r w:rsidR="00CB3F73">
        <w:t>;</w:t>
      </w:r>
      <w:r w:rsidR="00116566">
        <w:t xml:space="preserve"> however</w:t>
      </w:r>
      <w:r w:rsidR="00CB3F73">
        <w:t>,</w:t>
      </w:r>
      <w:r w:rsidR="00116566">
        <w:t xml:space="preserve"> the ACT Government has recently decided to increase the cap to 500, in recognition of the significant population and visitor growth experienced in the ACT since 2011.</w:t>
      </w:r>
    </w:p>
    <w:p w14:paraId="08A1ED91" w14:textId="56B3D3EF" w:rsidR="00265B03" w:rsidRDefault="00116566" w:rsidP="0051444B">
      <w:pPr>
        <w:spacing w:before="0"/>
      </w:pPr>
      <w:r>
        <w:t xml:space="preserve">The ACT Government recognises that the cap </w:t>
      </w:r>
      <w:r w:rsidR="00EE445B">
        <w:t>has</w:t>
      </w:r>
      <w:r w:rsidR="00EE445B" w:rsidRPr="00823BC3">
        <w:t xml:space="preserve"> </w:t>
      </w:r>
      <w:r w:rsidR="00265B03" w:rsidRPr="00823BC3">
        <w:t>a considerable impact on the operation of the market</w:t>
      </w:r>
      <w:r>
        <w:t>, its participants and consumer responsiveness</w:t>
      </w:r>
      <w:r w:rsidR="0020726C">
        <w:t>.</w:t>
      </w:r>
      <w:r w:rsidR="002A1358">
        <w:t xml:space="preserve"> </w:t>
      </w:r>
      <w:r w:rsidR="0020726C">
        <w:t>R</w:t>
      </w:r>
      <w:r w:rsidR="002A1358">
        <w:t xml:space="preserve">ideshare and hire car vehicle </w:t>
      </w:r>
      <w:r>
        <w:t xml:space="preserve">licence </w:t>
      </w:r>
      <w:r w:rsidR="002A1358">
        <w:t xml:space="preserve">numbers </w:t>
      </w:r>
      <w:r w:rsidR="00EE445B">
        <w:t xml:space="preserve">are not currently </w:t>
      </w:r>
      <w:r w:rsidR="002A1358">
        <w:t>regulated</w:t>
      </w:r>
      <w:r w:rsidR="00265B03" w:rsidRPr="00823BC3">
        <w:t>.</w:t>
      </w:r>
    </w:p>
    <w:p w14:paraId="0111A733" w14:textId="77777777" w:rsidR="0051444B" w:rsidRPr="00823BC3" w:rsidRDefault="0051444B" w:rsidP="0051444B">
      <w:pPr>
        <w:spacing w:before="0"/>
      </w:pPr>
    </w:p>
    <w:p w14:paraId="57A4D4F5" w14:textId="56268869" w:rsidR="00265B03" w:rsidRPr="00600DF2" w:rsidRDefault="00990D6E" w:rsidP="0051444B">
      <w:pPr>
        <w:pStyle w:val="Heading2"/>
        <w:numPr>
          <w:ilvl w:val="0"/>
          <w:numId w:val="0"/>
        </w:numPr>
        <w:spacing w:before="0"/>
        <w:rPr>
          <w:b/>
          <w:color w:val="auto"/>
        </w:rPr>
      </w:pPr>
      <w:bookmarkStart w:id="288" w:name="_Toc524892391"/>
      <w:r w:rsidRPr="00600DF2">
        <w:rPr>
          <w:b/>
          <w:color w:val="auto"/>
        </w:rPr>
        <w:t xml:space="preserve">current licence </w:t>
      </w:r>
      <w:r w:rsidR="00807B5B" w:rsidRPr="00600DF2">
        <w:rPr>
          <w:b/>
          <w:color w:val="auto"/>
        </w:rPr>
        <w:t>Regulation</w:t>
      </w:r>
      <w:bookmarkEnd w:id="288"/>
    </w:p>
    <w:p w14:paraId="72170F9F" w14:textId="72E2E8E9" w:rsidR="009539A0" w:rsidRPr="00600DF2" w:rsidRDefault="009539A0" w:rsidP="0051444B">
      <w:pPr>
        <w:pStyle w:val="Heading4"/>
        <w:numPr>
          <w:ilvl w:val="0"/>
          <w:numId w:val="0"/>
        </w:numPr>
        <w:spacing w:before="0"/>
        <w:rPr>
          <w:b/>
          <w:color w:val="auto"/>
        </w:rPr>
      </w:pPr>
      <w:bookmarkStart w:id="289" w:name="_Toc524892392"/>
      <w:r w:rsidRPr="00600DF2">
        <w:rPr>
          <w:b/>
          <w:color w:val="auto"/>
        </w:rPr>
        <w:t>Taxi licences</w:t>
      </w:r>
      <w:bookmarkEnd w:id="289"/>
    </w:p>
    <w:p w14:paraId="1EFCB773" w14:textId="166F682A" w:rsidR="00BF6237" w:rsidRDefault="00116566" w:rsidP="002A1358">
      <w:r>
        <w:t>While the current</w:t>
      </w:r>
      <w:r w:rsidR="00265B03" w:rsidRPr="00823BC3">
        <w:t xml:space="preserve"> regulated cap of </w:t>
      </w:r>
      <w:r w:rsidR="0062326C">
        <w:t>500</w:t>
      </w:r>
      <w:r w:rsidR="0062326C" w:rsidRPr="00823BC3">
        <w:t xml:space="preserve"> </w:t>
      </w:r>
      <w:r w:rsidR="00265B03" w:rsidRPr="00823BC3">
        <w:t xml:space="preserve">ACT taxi licences </w:t>
      </w:r>
      <w:r>
        <w:t>is a significant increase from the 2011 cap of</w:t>
      </w:r>
      <w:r w:rsidR="00FF491A">
        <w:t xml:space="preserve"> </w:t>
      </w:r>
      <w:r w:rsidR="0062326C">
        <w:t>358</w:t>
      </w:r>
      <w:r>
        <w:t>, the Government does not intend to release more than 40</w:t>
      </w:r>
      <w:r w:rsidR="005C0D83">
        <w:t>8</w:t>
      </w:r>
      <w:r>
        <w:t xml:space="preserve"> licences to the market prior to the </w:t>
      </w:r>
      <w:r w:rsidR="00D84C4B">
        <w:t>early part of 2019</w:t>
      </w:r>
      <w:r>
        <w:t xml:space="preserve"> while the community consultation takes place</w:t>
      </w:r>
      <w:r w:rsidR="00BF6237">
        <w:t>.</w:t>
      </w:r>
      <w:r w:rsidR="00807B5B" w:rsidRPr="00807B5B">
        <w:t xml:space="preserve">  </w:t>
      </w:r>
    </w:p>
    <w:p w14:paraId="698A9344" w14:textId="4AFBC77C" w:rsidR="00265B03" w:rsidRPr="008C2028" w:rsidRDefault="000669CE" w:rsidP="002A1358">
      <w:r>
        <w:t>T</w:t>
      </w:r>
      <w:r w:rsidR="0062326C">
        <w:t>he 4</w:t>
      </w:r>
      <w:r w:rsidR="00D84C4B">
        <w:t>08</w:t>
      </w:r>
      <w:r w:rsidR="0062326C">
        <w:t xml:space="preserve"> taxi licences available in the market</w:t>
      </w:r>
      <w:r w:rsidR="00116566">
        <w:t xml:space="preserve"> will comprise:</w:t>
      </w:r>
    </w:p>
    <w:p w14:paraId="044096DC" w14:textId="3079B2C5" w:rsidR="00265B03" w:rsidRPr="008C2028" w:rsidRDefault="00116566" w:rsidP="006F56E9">
      <w:pPr>
        <w:pStyle w:val="Bullet2"/>
      </w:pPr>
      <w:r>
        <w:rPr>
          <w:u w:val="single"/>
        </w:rPr>
        <w:t xml:space="preserve">by </w:t>
      </w:r>
      <w:r w:rsidR="0014196A" w:rsidRPr="008C2028">
        <w:rPr>
          <w:u w:val="single"/>
        </w:rPr>
        <w:t xml:space="preserve">vehicle </w:t>
      </w:r>
      <w:r w:rsidR="00265B03" w:rsidRPr="008C2028">
        <w:rPr>
          <w:u w:val="single"/>
        </w:rPr>
        <w:t>type</w:t>
      </w:r>
      <w:r w:rsidR="00265B03" w:rsidRPr="008C2028">
        <w:t xml:space="preserve"> – </w:t>
      </w:r>
      <w:r>
        <w:t>3</w:t>
      </w:r>
      <w:r w:rsidR="005C0D83">
        <w:t>77</w:t>
      </w:r>
      <w:r>
        <w:t xml:space="preserve"> available </w:t>
      </w:r>
      <w:r w:rsidR="00265B03" w:rsidRPr="008C2028">
        <w:t>standard taxi</w:t>
      </w:r>
      <w:r>
        <w:t xml:space="preserve"> licences and 31</w:t>
      </w:r>
      <w:r w:rsidR="00265B03" w:rsidRPr="008C2028">
        <w:t xml:space="preserve"> available</w:t>
      </w:r>
      <w:r w:rsidR="001C40D2" w:rsidRPr="008C2028">
        <w:t xml:space="preserve"> </w:t>
      </w:r>
      <w:r w:rsidR="00265B03" w:rsidRPr="008C2028">
        <w:t xml:space="preserve">wheelchair accessible taxi </w:t>
      </w:r>
      <w:r>
        <w:t>licences</w:t>
      </w:r>
      <w:r w:rsidR="00DB6796">
        <w:t>.</w:t>
      </w:r>
      <w:r w:rsidR="00265B03" w:rsidRPr="008C2028">
        <w:t xml:space="preserve"> </w:t>
      </w:r>
    </w:p>
    <w:p w14:paraId="3CE832C4" w14:textId="58408564" w:rsidR="00265B03" w:rsidRPr="008C2028" w:rsidRDefault="00116566" w:rsidP="006F56E9">
      <w:pPr>
        <w:pStyle w:val="Bullet2"/>
      </w:pPr>
      <w:r>
        <w:rPr>
          <w:u w:val="single"/>
        </w:rPr>
        <w:t xml:space="preserve">by </w:t>
      </w:r>
      <w:r w:rsidR="0014196A" w:rsidRPr="008C2028">
        <w:rPr>
          <w:u w:val="single"/>
        </w:rPr>
        <w:t xml:space="preserve">licence </w:t>
      </w:r>
      <w:r w:rsidR="00265B03" w:rsidRPr="008C2028">
        <w:rPr>
          <w:u w:val="single"/>
        </w:rPr>
        <w:t>type</w:t>
      </w:r>
      <w:r w:rsidR="00265B03" w:rsidRPr="008C2028">
        <w:t xml:space="preserve"> – </w:t>
      </w:r>
      <w:r>
        <w:t xml:space="preserve">217 </w:t>
      </w:r>
      <w:r w:rsidR="00265B03" w:rsidRPr="008C2028">
        <w:t xml:space="preserve">perpetual licences (no longer issued), </w:t>
      </w:r>
      <w:r>
        <w:t xml:space="preserve">10 </w:t>
      </w:r>
      <w:r w:rsidR="00313ADC">
        <w:t>G</w:t>
      </w:r>
      <w:r w:rsidR="00265B03" w:rsidRPr="008C2028">
        <w:t>overnment transferable lease</w:t>
      </w:r>
      <w:r>
        <w:t>s</w:t>
      </w:r>
      <w:r w:rsidR="00265B03" w:rsidRPr="008C2028">
        <w:t xml:space="preserve"> (no longer issued) </w:t>
      </w:r>
      <w:r w:rsidR="009539A0" w:rsidRPr="008C2028">
        <w:t xml:space="preserve">and </w:t>
      </w:r>
      <w:r>
        <w:t>1</w:t>
      </w:r>
      <w:r w:rsidR="005C0D83">
        <w:t>81</w:t>
      </w:r>
      <w:r>
        <w:t xml:space="preserve"> </w:t>
      </w:r>
      <w:r w:rsidR="00DD0E95">
        <w:t>G</w:t>
      </w:r>
      <w:r w:rsidR="00265B03" w:rsidRPr="008C2028">
        <w:t>overnment non-transferrable lease</w:t>
      </w:r>
      <w:r>
        <w:t>s</w:t>
      </w:r>
      <w:r w:rsidR="00265B03" w:rsidRPr="008C2028">
        <w:t>.</w:t>
      </w:r>
    </w:p>
    <w:p w14:paraId="32F04F90" w14:textId="664F105D" w:rsidR="00265B03" w:rsidRPr="00823BC3" w:rsidRDefault="009539A0" w:rsidP="002A1358">
      <w:r w:rsidRPr="00C07E5B">
        <w:t>Under cross-border arrangements</w:t>
      </w:r>
      <w:r w:rsidR="00DD0E95">
        <w:t>,</w:t>
      </w:r>
      <w:r w:rsidRPr="00C07E5B">
        <w:t xml:space="preserve"> a limited number of </w:t>
      </w:r>
      <w:r w:rsidR="00265B03" w:rsidRPr="009539A0">
        <w:t>NSW</w:t>
      </w:r>
      <w:r w:rsidRPr="00C07E5B">
        <w:t xml:space="preserve"> </w:t>
      </w:r>
      <w:r w:rsidR="00265B03" w:rsidRPr="009539A0">
        <w:t xml:space="preserve">taxis </w:t>
      </w:r>
      <w:r w:rsidRPr="00C07E5B">
        <w:t xml:space="preserve">can also provide services within the ACT (these are </w:t>
      </w:r>
      <w:r w:rsidR="00116566">
        <w:t xml:space="preserve">currently </w:t>
      </w:r>
      <w:r w:rsidRPr="00C07E5B">
        <w:t>restricted to those permitted as at 31 July 2016</w:t>
      </w:r>
      <w:r w:rsidR="00265B03" w:rsidRPr="009539A0">
        <w:t>).</w:t>
      </w:r>
    </w:p>
    <w:p w14:paraId="3962EB71" w14:textId="22EF244C" w:rsidR="009539A0" w:rsidRPr="00600DF2" w:rsidRDefault="009539A0" w:rsidP="00C07E5B">
      <w:pPr>
        <w:pStyle w:val="Heading4"/>
        <w:numPr>
          <w:ilvl w:val="0"/>
          <w:numId w:val="0"/>
        </w:numPr>
        <w:rPr>
          <w:b/>
          <w:color w:val="auto"/>
        </w:rPr>
      </w:pPr>
      <w:bookmarkStart w:id="290" w:name="_Toc524892393"/>
      <w:r w:rsidRPr="00600DF2">
        <w:rPr>
          <w:b/>
          <w:color w:val="auto"/>
        </w:rPr>
        <w:t>Hire cars and rideshare</w:t>
      </w:r>
      <w:bookmarkEnd w:id="290"/>
    </w:p>
    <w:p w14:paraId="6ECF4E18" w14:textId="1F5F07F0" w:rsidR="00265B03" w:rsidRPr="00823BC3" w:rsidRDefault="00265B03" w:rsidP="002A1358">
      <w:r w:rsidRPr="00823BC3">
        <w:t xml:space="preserve">Hire cars and rideshare are not subject to any </w:t>
      </w:r>
      <w:r w:rsidR="0020726C">
        <w:t xml:space="preserve">regulatory </w:t>
      </w:r>
      <w:r w:rsidRPr="00823BC3">
        <w:t>limitations on permitted supply.</w:t>
      </w:r>
      <w:r w:rsidR="00EE445B">
        <w:t xml:space="preserve"> </w:t>
      </w:r>
      <w:r w:rsidRPr="00823BC3">
        <w:t>Hire car supply in the ACT was deregulated in 2005</w:t>
      </w:r>
      <w:r w:rsidR="0020726C">
        <w:t>.</w:t>
      </w:r>
      <w:r w:rsidRPr="00823BC3">
        <w:t xml:space="preserve"> </w:t>
      </w:r>
    </w:p>
    <w:p w14:paraId="2259D0D9" w14:textId="05B8827A" w:rsidR="00111CE9" w:rsidRDefault="00265B03" w:rsidP="0051444B">
      <w:pPr>
        <w:spacing w:before="0"/>
      </w:pPr>
      <w:r w:rsidRPr="00823BC3">
        <w:t>Rideshare service</w:t>
      </w:r>
      <w:r w:rsidR="00BF6237">
        <w:t xml:space="preserve"> number</w:t>
      </w:r>
      <w:r w:rsidRPr="00823BC3">
        <w:t xml:space="preserve">s were not regulated as part of the 2015 reforms which permitted rideshare </w:t>
      </w:r>
      <w:r w:rsidR="0020726C">
        <w:t xml:space="preserve">to operate </w:t>
      </w:r>
      <w:r w:rsidRPr="00823BC3">
        <w:t>in the ACT.</w:t>
      </w:r>
      <w:bookmarkStart w:id="291" w:name="_Toc518393391"/>
    </w:p>
    <w:p w14:paraId="0A4292F0" w14:textId="77777777" w:rsidR="0051444B" w:rsidRDefault="0051444B" w:rsidP="0051444B">
      <w:pPr>
        <w:spacing w:before="0"/>
        <w:rPr>
          <w:rFonts w:ascii="Arial" w:hAnsi="Arial" w:cs="Arial"/>
          <w:color w:val="111111"/>
          <w:sz w:val="18"/>
          <w:szCs w:val="18"/>
        </w:rPr>
      </w:pPr>
    </w:p>
    <w:p w14:paraId="70AF5359" w14:textId="12722DB5" w:rsidR="009539A0" w:rsidRPr="00600DF2" w:rsidRDefault="00CA113A" w:rsidP="0051444B">
      <w:pPr>
        <w:pStyle w:val="Heading2"/>
        <w:numPr>
          <w:ilvl w:val="0"/>
          <w:numId w:val="0"/>
        </w:numPr>
        <w:spacing w:before="0"/>
        <w:rPr>
          <w:b/>
          <w:color w:val="auto"/>
        </w:rPr>
      </w:pPr>
      <w:bookmarkStart w:id="292" w:name="_Toc518375109"/>
      <w:bookmarkStart w:id="293" w:name="_Toc518393114"/>
      <w:bookmarkStart w:id="294" w:name="_Toc518393392"/>
      <w:bookmarkStart w:id="295" w:name="_Toc524892394"/>
      <w:bookmarkEnd w:id="291"/>
      <w:bookmarkEnd w:id="292"/>
      <w:bookmarkEnd w:id="293"/>
      <w:bookmarkEnd w:id="294"/>
      <w:r w:rsidRPr="00600DF2">
        <w:rPr>
          <w:b/>
          <w:color w:val="auto"/>
        </w:rPr>
        <w:t xml:space="preserve">taxi </w:t>
      </w:r>
      <w:r w:rsidR="00921F6B" w:rsidRPr="00600DF2">
        <w:rPr>
          <w:b/>
          <w:color w:val="auto"/>
        </w:rPr>
        <w:t>Market</w:t>
      </w:r>
      <w:r w:rsidR="00990D6E" w:rsidRPr="00600DF2">
        <w:rPr>
          <w:b/>
          <w:color w:val="auto"/>
        </w:rPr>
        <w:t xml:space="preserve"> operations</w:t>
      </w:r>
      <w:bookmarkEnd w:id="295"/>
    </w:p>
    <w:p w14:paraId="31137C31" w14:textId="7A7E4D4E" w:rsidR="00265B03" w:rsidRPr="00600DF2" w:rsidRDefault="000B29A7" w:rsidP="0051444B">
      <w:pPr>
        <w:pStyle w:val="Heading4"/>
        <w:numPr>
          <w:ilvl w:val="0"/>
          <w:numId w:val="0"/>
        </w:numPr>
        <w:spacing w:before="0"/>
        <w:rPr>
          <w:b/>
          <w:color w:val="auto"/>
        </w:rPr>
      </w:pPr>
      <w:bookmarkStart w:id="296" w:name="_Toc524892395"/>
      <w:r w:rsidRPr="00600DF2">
        <w:rPr>
          <w:b/>
          <w:color w:val="auto"/>
        </w:rPr>
        <w:t xml:space="preserve">What </w:t>
      </w:r>
      <w:r w:rsidR="001E161C" w:rsidRPr="00600DF2">
        <w:rPr>
          <w:b/>
          <w:color w:val="auto"/>
        </w:rPr>
        <w:t xml:space="preserve">does </w:t>
      </w:r>
      <w:r w:rsidRPr="00600DF2">
        <w:rPr>
          <w:b/>
          <w:color w:val="auto"/>
        </w:rPr>
        <w:t xml:space="preserve">a </w:t>
      </w:r>
      <w:r w:rsidR="00CA113A" w:rsidRPr="00600DF2">
        <w:rPr>
          <w:b/>
          <w:color w:val="auto"/>
        </w:rPr>
        <w:t>licence cap</w:t>
      </w:r>
      <w:r w:rsidR="001E161C" w:rsidRPr="00600DF2">
        <w:rPr>
          <w:b/>
          <w:color w:val="auto"/>
        </w:rPr>
        <w:t xml:space="preserve"> do</w:t>
      </w:r>
      <w:r w:rsidRPr="00600DF2">
        <w:rPr>
          <w:b/>
          <w:color w:val="auto"/>
        </w:rPr>
        <w:t>?</w:t>
      </w:r>
      <w:bookmarkEnd w:id="296"/>
    </w:p>
    <w:p w14:paraId="0C3D4462" w14:textId="0FD640A7" w:rsidR="00ED13D6" w:rsidRDefault="00ED13D6" w:rsidP="00736354">
      <w:r>
        <w:t>A cap on the number of taxi licences means that only a certain number of taxis can provide services within the ACT</w:t>
      </w:r>
      <w:r w:rsidR="0020726C">
        <w:t xml:space="preserve">, regardless of </w:t>
      </w:r>
      <w:r w:rsidR="00CA113A">
        <w:t xml:space="preserve">consumer </w:t>
      </w:r>
      <w:r w:rsidR="0020726C">
        <w:t>demand</w:t>
      </w:r>
      <w:r>
        <w:t xml:space="preserve">.  </w:t>
      </w:r>
    </w:p>
    <w:p w14:paraId="42999B18" w14:textId="0233AEE8" w:rsidR="00F577E7" w:rsidRDefault="00ED13D6" w:rsidP="00736354">
      <w:r>
        <w:t xml:space="preserve">If </w:t>
      </w:r>
      <w:r w:rsidR="0024360E">
        <w:t xml:space="preserve">the </w:t>
      </w:r>
      <w:r>
        <w:t>level of</w:t>
      </w:r>
      <w:r w:rsidR="00F577E7">
        <w:t xml:space="preserve"> </w:t>
      </w:r>
      <w:r w:rsidR="0024360E">
        <w:t xml:space="preserve">taxi </w:t>
      </w:r>
      <w:r>
        <w:t>supply is greater than customer</w:t>
      </w:r>
      <w:r w:rsidR="00DD0E95">
        <w:t>,</w:t>
      </w:r>
      <w:r>
        <w:t xml:space="preserve"> demand then the</w:t>
      </w:r>
      <w:r w:rsidR="0020726C">
        <w:t xml:space="preserve"> financial</w:t>
      </w:r>
      <w:r>
        <w:t xml:space="preserve"> returns </w:t>
      </w:r>
      <w:r w:rsidR="00F577E7">
        <w:t>to service providers may be below tha</w:t>
      </w:r>
      <w:r w:rsidR="0024360E">
        <w:t>t</w:t>
      </w:r>
      <w:r w:rsidR="00F577E7">
        <w:t xml:space="preserve"> needed to remain viable over the long term.  In such circumstances</w:t>
      </w:r>
      <w:r w:rsidR="001E161C">
        <w:t xml:space="preserve"> there is the potential for</w:t>
      </w:r>
      <w:r w:rsidR="00F577E7">
        <w:t xml:space="preserve"> a market </w:t>
      </w:r>
      <w:r w:rsidR="001E161C">
        <w:t>to</w:t>
      </w:r>
      <w:r w:rsidR="00F577E7">
        <w:t xml:space="preserve"> self-adjust.  Service providers can decide to leave the market until the</w:t>
      </w:r>
      <w:r w:rsidR="0020726C">
        <w:t xml:space="preserve"> financial</w:t>
      </w:r>
      <w:r w:rsidR="00F577E7">
        <w:t xml:space="preserve"> returns available reach a level that balances supply and demand.</w:t>
      </w:r>
    </w:p>
    <w:p w14:paraId="326AF65A" w14:textId="3D40C473" w:rsidR="001E161C" w:rsidRDefault="00F577E7" w:rsidP="00736354">
      <w:r>
        <w:t xml:space="preserve">If the level of </w:t>
      </w:r>
      <w:r w:rsidR="00CA113A">
        <w:t xml:space="preserve">taxi </w:t>
      </w:r>
      <w:r>
        <w:t xml:space="preserve">supply is </w:t>
      </w:r>
      <w:r w:rsidR="0020726C">
        <w:t xml:space="preserve">less than </w:t>
      </w:r>
      <w:r>
        <w:t>customer demand</w:t>
      </w:r>
      <w:r w:rsidR="00DD0E95">
        <w:t>,</w:t>
      </w:r>
      <w:r>
        <w:t xml:space="preserve"> then services can be subject to higher costs or reduced availability.  In this case</w:t>
      </w:r>
      <w:r w:rsidR="00DD0E95">
        <w:t>,</w:t>
      </w:r>
      <w:r>
        <w:t xml:space="preserve"> the market cannot self-adjust.   </w:t>
      </w:r>
    </w:p>
    <w:p w14:paraId="74289FDC" w14:textId="7DFDB824" w:rsidR="001E161C" w:rsidRPr="00600DF2" w:rsidRDefault="001E161C" w:rsidP="00C07E5B">
      <w:pPr>
        <w:pStyle w:val="Heading4"/>
        <w:numPr>
          <w:ilvl w:val="0"/>
          <w:numId w:val="0"/>
        </w:numPr>
        <w:rPr>
          <w:b/>
          <w:color w:val="auto"/>
        </w:rPr>
      </w:pPr>
      <w:bookmarkStart w:id="297" w:name="_Toc524892396"/>
      <w:r w:rsidRPr="00600DF2">
        <w:rPr>
          <w:b/>
          <w:color w:val="auto"/>
        </w:rPr>
        <w:lastRenderedPageBreak/>
        <w:t xml:space="preserve">Why would you apply </w:t>
      </w:r>
      <w:r w:rsidR="008303F4" w:rsidRPr="00600DF2">
        <w:rPr>
          <w:b/>
          <w:color w:val="auto"/>
        </w:rPr>
        <w:t xml:space="preserve">a </w:t>
      </w:r>
      <w:r w:rsidR="00CA113A" w:rsidRPr="00600DF2">
        <w:rPr>
          <w:b/>
          <w:color w:val="auto"/>
        </w:rPr>
        <w:t>cap on licences</w:t>
      </w:r>
      <w:r w:rsidRPr="00600DF2">
        <w:rPr>
          <w:b/>
          <w:color w:val="auto"/>
        </w:rPr>
        <w:t>?</w:t>
      </w:r>
      <w:bookmarkEnd w:id="297"/>
    </w:p>
    <w:p w14:paraId="1FA40459" w14:textId="2A441B75" w:rsidR="007C62CF" w:rsidRDefault="00F81EDA">
      <w:r>
        <w:t xml:space="preserve">Restrictions on taxi licence numbers have applied in the ACT since early </w:t>
      </w:r>
      <w:r w:rsidR="00D84C4B">
        <w:t xml:space="preserve">in the </w:t>
      </w:r>
      <w:r>
        <w:t xml:space="preserve">last </w:t>
      </w:r>
      <w:r w:rsidR="008468AD">
        <w:t>century</w:t>
      </w:r>
      <w:r>
        <w:t>.</w:t>
      </w:r>
      <w:r w:rsidR="008468AD">
        <w:t xml:space="preserve">  </w:t>
      </w:r>
      <w:r w:rsidR="00D06815">
        <w:t>The Productivity Commission</w:t>
      </w:r>
      <w:r w:rsidR="00D06815">
        <w:rPr>
          <w:rStyle w:val="EndnoteReference"/>
        </w:rPr>
        <w:endnoteReference w:id="1"/>
      </w:r>
      <w:r w:rsidR="00675552">
        <w:t xml:space="preserve"> </w:t>
      </w:r>
      <w:r w:rsidR="00D06815">
        <w:t>has suggested</w:t>
      </w:r>
      <w:r w:rsidR="002F57B1">
        <w:t xml:space="preserve"> that </w:t>
      </w:r>
      <w:r w:rsidR="00D06815">
        <w:t>safety is enhanced and fares constrained through such restrictions, arising from:</w:t>
      </w:r>
    </w:p>
    <w:p w14:paraId="5589ACF6" w14:textId="78BD4C50" w:rsidR="007C62CF" w:rsidRDefault="007C62CF" w:rsidP="000E5664">
      <w:pPr>
        <w:pStyle w:val="ListParagraph"/>
        <w:numPr>
          <w:ilvl w:val="0"/>
          <w:numId w:val="10"/>
        </w:numPr>
      </w:pPr>
      <w:r>
        <w:t>limiting the number of taxis allow</w:t>
      </w:r>
      <w:r w:rsidR="002F57B1">
        <w:t>s</w:t>
      </w:r>
      <w:r>
        <w:t xml:space="preserve"> taxi providers to get an income sufficient to ensure that vehicles meet the prescribed safety standards;</w:t>
      </w:r>
      <w:r w:rsidR="00DD0E95">
        <w:t xml:space="preserve"> and</w:t>
      </w:r>
    </w:p>
    <w:p w14:paraId="3E689CD8" w14:textId="15A6C08B" w:rsidR="007C62CF" w:rsidRDefault="007C62CF" w:rsidP="000E5664">
      <w:pPr>
        <w:pStyle w:val="ListParagraph"/>
        <w:numPr>
          <w:ilvl w:val="0"/>
          <w:numId w:val="10"/>
        </w:numPr>
      </w:pPr>
      <w:r>
        <w:t>if taxis had no incentive to reduce prices, open entry could lead to more taxis in the market and, as a result, prices would rise (rather than fall) as each taxi attempts to cover its costs from the same pool of customers.</w:t>
      </w:r>
    </w:p>
    <w:p w14:paraId="191B8295" w14:textId="6EDDCE76" w:rsidR="007C62CF" w:rsidRDefault="007C62CF" w:rsidP="00736354">
      <w:r>
        <w:t>It is clear that safety issues should be addressed regardless of taxi supply through a well</w:t>
      </w:r>
      <w:r>
        <w:noBreakHyphen/>
        <w:t>targeted safety regulation and enforcement regime. In the ACT, there are regulated vehicle safety requirements and inspections of taxis, as with other public passenger vehicles.  These requirements are enforced by Access Canberra.</w:t>
      </w:r>
    </w:p>
    <w:p w14:paraId="09D3EA7B" w14:textId="4E46647A" w:rsidR="007C62CF" w:rsidRDefault="007C62CF" w:rsidP="00736354">
      <w:r>
        <w:t>In the ACT there has been a substantial increase in on-demand transport services with the introduction of rideshare. If passengers are unhappy with the price of a taxi, they now have an alternative service model.</w:t>
      </w:r>
      <w:r w:rsidRPr="00FA712F">
        <w:t xml:space="preserve"> </w:t>
      </w:r>
      <w:r>
        <w:t xml:space="preserve">Regulation of </w:t>
      </w:r>
      <w:r w:rsidR="00F175C1">
        <w:t xml:space="preserve">booked </w:t>
      </w:r>
      <w:r>
        <w:t xml:space="preserve">taxi </w:t>
      </w:r>
      <w:r w:rsidR="00F175C1">
        <w:t>fares</w:t>
      </w:r>
      <w:r>
        <w:t xml:space="preserve"> is discussed in Section 3.</w:t>
      </w:r>
    </w:p>
    <w:p w14:paraId="24CDCC68" w14:textId="7D37D1A5" w:rsidR="007C62CF" w:rsidRPr="00600DF2" w:rsidRDefault="007C62CF" w:rsidP="00C07E5B">
      <w:pPr>
        <w:pStyle w:val="Heading4"/>
        <w:numPr>
          <w:ilvl w:val="0"/>
          <w:numId w:val="0"/>
        </w:numPr>
        <w:rPr>
          <w:b/>
          <w:color w:val="auto"/>
        </w:rPr>
      </w:pPr>
      <w:bookmarkStart w:id="298" w:name="_Toc524892397"/>
      <w:r w:rsidRPr="00600DF2">
        <w:rPr>
          <w:b/>
          <w:color w:val="auto"/>
        </w:rPr>
        <w:t>What has been the impact of the licence cap in the ACT?</w:t>
      </w:r>
      <w:bookmarkEnd w:id="298"/>
    </w:p>
    <w:p w14:paraId="5390431C" w14:textId="7D896D77" w:rsidR="007C62CF" w:rsidRPr="00823BC3" w:rsidRDefault="007C62CF" w:rsidP="00736354">
      <w:r>
        <w:t>In the ACT t</w:t>
      </w:r>
      <w:r w:rsidRPr="00823BC3">
        <w:t xml:space="preserve">he implications of </w:t>
      </w:r>
      <w:r>
        <w:t>a licence cap</w:t>
      </w:r>
      <w:r w:rsidRPr="00823BC3">
        <w:t xml:space="preserve"> </w:t>
      </w:r>
      <w:r>
        <w:t>have been assessed as largely negative</w:t>
      </w:r>
      <w:r w:rsidRPr="00823BC3">
        <w:t xml:space="preserve">. </w:t>
      </w:r>
      <w:r>
        <w:t>T</w:t>
      </w:r>
      <w:r w:rsidRPr="00823BC3">
        <w:t>he 2002</w:t>
      </w:r>
      <w:r>
        <w:t xml:space="preserve"> ACT Independent Competition and Regulatory Commission (ICRC) report</w:t>
      </w:r>
      <w:r w:rsidRPr="00823BC3">
        <w:t xml:space="preserve"> noted that regulation of the number of taxi licences </w:t>
      </w:r>
      <w:r>
        <w:t>was</w:t>
      </w:r>
      <w:r w:rsidRPr="00823BC3">
        <w:t xml:space="preserve"> an artificial barrier </w:t>
      </w:r>
      <w:r>
        <w:t xml:space="preserve">to competition </w:t>
      </w:r>
      <w:r w:rsidRPr="00823BC3">
        <w:t xml:space="preserve">and that it (and pricing regulation) </w:t>
      </w:r>
      <w:r>
        <w:t>had resulted</w:t>
      </w:r>
      <w:r w:rsidRPr="00823BC3">
        <w:t xml:space="preserve"> in reduced service levels, inflated fares and monopoly profits which licence holders capitalised on</w:t>
      </w:r>
      <w:r>
        <w:t xml:space="preserve">. </w:t>
      </w:r>
      <w:r w:rsidRPr="00823BC3">
        <w:t>Further</w:t>
      </w:r>
      <w:r>
        <w:t>,</w:t>
      </w:r>
      <w:r w:rsidRPr="00823BC3">
        <w:t xml:space="preserve"> there are costs </w:t>
      </w:r>
      <w:r>
        <w:t xml:space="preserve">that </w:t>
      </w:r>
      <w:r w:rsidRPr="00823BC3">
        <w:t>the community is incurring as operator leasing costs need to be recouped.</w:t>
      </w:r>
      <w:r>
        <w:t xml:space="preserve"> The recent evaluation of 2015 industry reforms highlighted a continuation of these negative outcomes. </w:t>
      </w:r>
    </w:p>
    <w:p w14:paraId="5B0FA400" w14:textId="0CA77DC5" w:rsidR="007C62CF" w:rsidRDefault="007C62CF" w:rsidP="00FA712F">
      <w:r>
        <w:rPr>
          <w:lang w:eastAsia="x-none"/>
        </w:rPr>
        <w:t xml:space="preserve">The benefits to various stakeholders of a licence cap have, over time, included </w:t>
      </w:r>
      <w:r>
        <w:t>underpinning financial</w:t>
      </w:r>
      <w:r w:rsidRPr="00823BC3">
        <w:t xml:space="preserve"> returns </w:t>
      </w:r>
      <w:r>
        <w:t>to</w:t>
      </w:r>
      <w:r w:rsidRPr="00823BC3">
        <w:t xml:space="preserve"> taxi industry participants including booking services, perpetual licence holders, operators and drivers.  </w:t>
      </w:r>
    </w:p>
    <w:p w14:paraId="142785A8" w14:textId="33C58A82" w:rsidR="007C62CF" w:rsidRDefault="007C62CF" w:rsidP="00FA712F">
      <w:r>
        <w:t xml:space="preserve">During the 2017 evaluation of taxi reforms, taxi </w:t>
      </w:r>
      <w:r w:rsidRPr="00823BC3">
        <w:t xml:space="preserve">operators and drivers queried the </w:t>
      </w:r>
      <w:r>
        <w:t xml:space="preserve">benefit of </w:t>
      </w:r>
      <w:r w:rsidRPr="00823BC3">
        <w:t xml:space="preserve">regulatory arrangements going forward. With the introduction of rideshare, taxi operators and drivers </w:t>
      </w:r>
      <w:r>
        <w:t>have suggested</w:t>
      </w:r>
      <w:r w:rsidRPr="00823BC3">
        <w:t xml:space="preserve"> </w:t>
      </w:r>
      <w:r>
        <w:t>that such support was no longer there for them.</w:t>
      </w:r>
      <w:r w:rsidRPr="00B7018C">
        <w:rPr>
          <w:lang w:eastAsia="x-none"/>
        </w:rPr>
        <w:t xml:space="preserve"> </w:t>
      </w:r>
      <w:r>
        <w:rPr>
          <w:lang w:eastAsia="x-none"/>
        </w:rPr>
        <w:t>Taxi o</w:t>
      </w:r>
      <w:r w:rsidRPr="00823BC3">
        <w:rPr>
          <w:lang w:eastAsia="x-none"/>
        </w:rPr>
        <w:t xml:space="preserve">perators have </w:t>
      </w:r>
      <w:r>
        <w:rPr>
          <w:lang w:eastAsia="x-none"/>
        </w:rPr>
        <w:t xml:space="preserve">also </w:t>
      </w:r>
      <w:r w:rsidRPr="00823BC3">
        <w:rPr>
          <w:lang w:eastAsia="x-none"/>
        </w:rPr>
        <w:t xml:space="preserve">cited limits on supply as </w:t>
      </w:r>
      <w:r>
        <w:rPr>
          <w:lang w:eastAsia="x-none"/>
        </w:rPr>
        <w:t>affecting</w:t>
      </w:r>
      <w:r w:rsidRPr="00823BC3">
        <w:rPr>
          <w:lang w:eastAsia="x-none"/>
        </w:rPr>
        <w:t xml:space="preserve"> their ability to affiliate with alternate </w:t>
      </w:r>
      <w:r>
        <w:rPr>
          <w:lang w:eastAsia="x-none"/>
        </w:rPr>
        <w:t>transport booking services (</w:t>
      </w:r>
      <w:r w:rsidRPr="00823BC3">
        <w:rPr>
          <w:lang w:eastAsia="x-none"/>
        </w:rPr>
        <w:t>TBS</w:t>
      </w:r>
      <w:r>
        <w:rPr>
          <w:lang w:eastAsia="x-none"/>
        </w:rPr>
        <w:t>s)</w:t>
      </w:r>
      <w:r w:rsidRPr="00823BC3">
        <w:rPr>
          <w:lang w:eastAsia="x-none"/>
        </w:rPr>
        <w:t>.</w:t>
      </w:r>
    </w:p>
    <w:p w14:paraId="24C11920" w14:textId="3514AF89" w:rsidR="007C62CF" w:rsidRPr="00823BC3" w:rsidRDefault="007C62CF" w:rsidP="00B7018C">
      <w:pPr>
        <w:pStyle w:val="BodyText"/>
      </w:pPr>
      <w:r>
        <w:rPr>
          <w:lang w:eastAsia="x-none"/>
        </w:rPr>
        <w:t>T</w:t>
      </w:r>
      <w:r>
        <w:t>axi licence lease fees and TBS fees</w:t>
      </w:r>
      <w:r w:rsidRPr="00823BC3" w:rsidDel="00A16701">
        <w:t xml:space="preserve"> </w:t>
      </w:r>
      <w:r w:rsidRPr="00823BC3">
        <w:t>are two of the major costs cited by taxi operators a</w:t>
      </w:r>
      <w:r>
        <w:t>s</w:t>
      </w:r>
      <w:r w:rsidRPr="00823BC3">
        <w:t xml:space="preserve"> requiring urgent attention to promote a level playing field with rideshare</w:t>
      </w:r>
      <w:r>
        <w:t xml:space="preserve">.  While lease fees for taxi licences from </w:t>
      </w:r>
      <w:r w:rsidR="00DD0E95">
        <w:t>G</w:t>
      </w:r>
      <w:r>
        <w:t>overnment have been reduced to $5,000 per year, lease fees for perpetual taxi licences remain at around $20,000 per year.</w:t>
      </w:r>
    </w:p>
    <w:p w14:paraId="606B64CF" w14:textId="33E0AA70" w:rsidR="007C62CF" w:rsidRDefault="007C62CF" w:rsidP="00265B03">
      <w:pPr>
        <w:pStyle w:val="BodyText"/>
        <w:spacing w:after="200"/>
        <w:rPr>
          <w:lang w:eastAsia="x-none"/>
        </w:rPr>
      </w:pPr>
      <w:r>
        <w:rPr>
          <w:lang w:eastAsia="x-none"/>
        </w:rPr>
        <w:t>In 2002, t</w:t>
      </w:r>
      <w:r w:rsidRPr="00823BC3">
        <w:rPr>
          <w:lang w:eastAsia="x-none"/>
        </w:rPr>
        <w:t xml:space="preserve">he ICRC </w:t>
      </w:r>
      <w:r>
        <w:rPr>
          <w:lang w:eastAsia="x-none"/>
        </w:rPr>
        <w:t xml:space="preserve">also </w:t>
      </w:r>
      <w:r w:rsidRPr="00823BC3">
        <w:rPr>
          <w:lang w:eastAsia="x-none"/>
        </w:rPr>
        <w:t>considered the potential critical mass required by a taxi network to adequately cover the ACT – that figure was in the order of 60</w:t>
      </w:r>
      <w:r>
        <w:rPr>
          <w:lang w:eastAsia="x-none"/>
        </w:rPr>
        <w:t xml:space="preserve"> to 70</w:t>
      </w:r>
      <w:r w:rsidRPr="00823BC3">
        <w:rPr>
          <w:lang w:eastAsia="x-none"/>
        </w:rPr>
        <w:t xml:space="preserve"> taxis. </w:t>
      </w:r>
      <w:r>
        <w:rPr>
          <w:lang w:eastAsia="x-none"/>
        </w:rPr>
        <w:t>This is still relevant as a consideration given the growth in the market since that time.  For s</w:t>
      </w:r>
      <w:r w:rsidRPr="00823BC3">
        <w:rPr>
          <w:lang w:eastAsia="x-none"/>
        </w:rPr>
        <w:t>maller TBS</w:t>
      </w:r>
      <w:r>
        <w:rPr>
          <w:lang w:eastAsia="x-none"/>
        </w:rPr>
        <w:t>s this means that their ability to provide effective customer service across the whole of the ACT could be hampered as they are not readily</w:t>
      </w:r>
      <w:r w:rsidRPr="00823BC3">
        <w:rPr>
          <w:lang w:eastAsia="x-none"/>
        </w:rPr>
        <w:t xml:space="preserve"> able to </w:t>
      </w:r>
      <w:r>
        <w:rPr>
          <w:lang w:eastAsia="x-none"/>
        </w:rPr>
        <w:t>build a fleet that can service the</w:t>
      </w:r>
      <w:r w:rsidRPr="00823BC3">
        <w:rPr>
          <w:lang w:eastAsia="x-none"/>
        </w:rPr>
        <w:t xml:space="preserve"> market.  </w:t>
      </w:r>
    </w:p>
    <w:p w14:paraId="3E9F8159" w14:textId="759EFAAD" w:rsidR="007C62CF" w:rsidRDefault="007C62CF" w:rsidP="0051444B">
      <w:pPr>
        <w:spacing w:after="0"/>
      </w:pPr>
      <w:r w:rsidRPr="0020726C">
        <w:t xml:space="preserve">There have been unconfirmed reports of the subleasing of non-transferrable </w:t>
      </w:r>
      <w:r>
        <w:t xml:space="preserve">taxi </w:t>
      </w:r>
      <w:r w:rsidRPr="0020726C">
        <w:t xml:space="preserve">licences leased from </w:t>
      </w:r>
      <w:r w:rsidR="00DD0E95">
        <w:t>G</w:t>
      </w:r>
      <w:r w:rsidRPr="0020726C">
        <w:t xml:space="preserve">overnment as parties try </w:t>
      </w:r>
      <w:r w:rsidRPr="009B2F6D">
        <w:t xml:space="preserve">to access supply within existing limits. Apart from being a matter </w:t>
      </w:r>
      <w:r w:rsidRPr="009B2F6D">
        <w:lastRenderedPageBreak/>
        <w:t>for compliance investigation, the supply limits could be viewed as not being in line with demand for taxi licences.</w:t>
      </w:r>
    </w:p>
    <w:p w14:paraId="3012BBB3" w14:textId="77777777" w:rsidR="0051444B" w:rsidRDefault="0051444B" w:rsidP="0051444B">
      <w:pPr>
        <w:spacing w:after="0"/>
      </w:pPr>
    </w:p>
    <w:p w14:paraId="26805677" w14:textId="22BA7F6E" w:rsidR="007C62CF" w:rsidRPr="00600DF2" w:rsidRDefault="007C62CF" w:rsidP="0051444B">
      <w:pPr>
        <w:pStyle w:val="Heading4"/>
        <w:numPr>
          <w:ilvl w:val="0"/>
          <w:numId w:val="0"/>
        </w:numPr>
        <w:pBdr>
          <w:top w:val="single" w:sz="4" w:space="1" w:color="auto"/>
          <w:left w:val="single" w:sz="4" w:space="4" w:color="auto"/>
          <w:bottom w:val="single" w:sz="4" w:space="1" w:color="auto"/>
          <w:right w:val="single" w:sz="4" w:space="4" w:color="auto"/>
        </w:pBdr>
        <w:shd w:val="clear" w:color="auto" w:fill="D6E3BC" w:themeFill="accent3" w:themeFillTint="66"/>
        <w:spacing w:before="0" w:after="0"/>
        <w:rPr>
          <w:b/>
          <w:color w:val="auto"/>
        </w:rPr>
      </w:pPr>
      <w:bookmarkStart w:id="299" w:name="_Toc524892398"/>
      <w:r w:rsidRPr="00600DF2">
        <w:rPr>
          <w:b/>
          <w:color w:val="auto"/>
        </w:rPr>
        <w:t>Wheelchair accessible taxis (WATs)</w:t>
      </w:r>
      <w:bookmarkEnd w:id="299"/>
    </w:p>
    <w:p w14:paraId="32B940AE" w14:textId="6F03ABDE"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spacing w:before="0" w:after="0" w:line="276" w:lineRule="auto"/>
      </w:pPr>
      <w:r>
        <w:t>There is a regulated cap on the number of WAT vehicle licences, as part of the broader maximum limit for ACT taxi licences supply. Currently, 31 WAT licences are available under the regulated cap, with the last increase determined in June 2017.</w:t>
      </w:r>
      <w:r>
        <w:rPr>
          <w:rStyle w:val="EndnoteReference"/>
        </w:rPr>
        <w:endnoteReference w:id="2"/>
      </w:r>
      <w:r>
        <w:t xml:space="preserve">  All of these are leased from the </w:t>
      </w:r>
      <w:r w:rsidR="00DD0E95">
        <w:t>G</w:t>
      </w:r>
      <w:r>
        <w:t>overnment.</w:t>
      </w:r>
    </w:p>
    <w:p w14:paraId="1F9DB683" w14:textId="7F68FA9E"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spacing w:before="0" w:after="0" w:line="276" w:lineRule="auto"/>
      </w:pPr>
      <w:r>
        <w:t>Demand for WAT services has increased since the introduction of a centralised booking service and is expected to continue to grow.</w:t>
      </w:r>
      <w:r w:rsidRPr="00D950C9">
        <w:t xml:space="preserve"> </w:t>
      </w:r>
      <w:r w:rsidR="001C6588">
        <w:t>The e</w:t>
      </w:r>
      <w:r>
        <w:t xml:space="preserve">valuation </w:t>
      </w:r>
      <w:r w:rsidR="001C6588">
        <w:t>report suggested</w:t>
      </w:r>
      <w:r>
        <w:t xml:space="preserve"> that WAT services were not seeing growth in new service providers and competition to benefit passengers needing wheelchair access. This may change over time if new services develop in the broader market, but there is no evidence at this time. </w:t>
      </w:r>
    </w:p>
    <w:p w14:paraId="686A16FF" w14:textId="03072D52"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spacing w:before="0" w:after="0" w:line="276" w:lineRule="auto"/>
        <w:rPr>
          <w:rFonts w:ascii="Arial" w:eastAsia="Times New Roman" w:hAnsi="Arial"/>
          <w:bCs/>
          <w:caps/>
          <w:color w:val="482D8C"/>
          <w:spacing w:val="-20"/>
          <w:kern w:val="36"/>
          <w:sz w:val="44"/>
          <w:szCs w:val="48"/>
        </w:rPr>
      </w:pPr>
      <w:r>
        <w:t>Standard hirings</w:t>
      </w:r>
      <w:r w:rsidR="00DD0E95">
        <w:t>,</w:t>
      </w:r>
      <w:r>
        <w:t xml:space="preserve"> however</w:t>
      </w:r>
      <w:r w:rsidR="00DD0E95">
        <w:t>,</w:t>
      </w:r>
      <w:r>
        <w:t xml:space="preserve"> remain a large component of work undertaken by the average WAT vehicle.</w:t>
      </w:r>
    </w:p>
    <w:p w14:paraId="1F098160" w14:textId="77777777" w:rsidR="00F75DBD" w:rsidRDefault="00F75DBD" w:rsidP="00315DBE">
      <w:pPr>
        <w:pStyle w:val="Heading5"/>
        <w:rPr>
          <w:b/>
          <w:color w:val="auto"/>
        </w:rPr>
      </w:pPr>
    </w:p>
    <w:p w14:paraId="17467AA9" w14:textId="77777777" w:rsidR="00315DBE" w:rsidRPr="00600DF2" w:rsidRDefault="00315DBE" w:rsidP="00315DBE">
      <w:pPr>
        <w:pStyle w:val="Heading5"/>
        <w:rPr>
          <w:b/>
          <w:color w:val="auto"/>
        </w:rPr>
      </w:pPr>
      <w:r w:rsidRPr="00600DF2">
        <w:rPr>
          <w:b/>
          <w:color w:val="auto"/>
        </w:rPr>
        <w:t>Economic modelling</w:t>
      </w:r>
    </w:p>
    <w:p w14:paraId="05DC5B7F" w14:textId="7AE54893" w:rsidR="00315DBE" w:rsidRDefault="00315DBE" w:rsidP="00315DBE">
      <w:r>
        <w:t xml:space="preserve">During the evaluation of 2015 industry reforms, the </w:t>
      </w:r>
      <w:r w:rsidRPr="00823BC3">
        <w:t>C</w:t>
      </w:r>
      <w:r>
        <w:t xml:space="preserve">entre for </w:t>
      </w:r>
      <w:r w:rsidRPr="00823BC3">
        <w:t>I</w:t>
      </w:r>
      <w:r>
        <w:t xml:space="preserve">nternational </w:t>
      </w:r>
      <w:r w:rsidRPr="00823BC3">
        <w:t>E</w:t>
      </w:r>
      <w:r>
        <w:t>conomics (CIE)</w:t>
      </w:r>
      <w:r w:rsidRPr="00823BC3">
        <w:t xml:space="preserve"> suggest</w:t>
      </w:r>
      <w:r>
        <w:t>ed</w:t>
      </w:r>
      <w:r w:rsidRPr="00823BC3">
        <w:t xml:space="preserve"> </w:t>
      </w:r>
      <w:r>
        <w:t xml:space="preserve">that </w:t>
      </w:r>
      <w:r w:rsidRPr="00823BC3">
        <w:t>remov</w:t>
      </w:r>
      <w:r>
        <w:t>al of</w:t>
      </w:r>
      <w:r w:rsidRPr="00823BC3">
        <w:t xml:space="preserve"> restr</w:t>
      </w:r>
      <w:r w:rsidR="007E2999">
        <w:t xml:space="preserve">ictions on supply of </w:t>
      </w:r>
      <w:r w:rsidR="00DD0E95">
        <w:t>G</w:t>
      </w:r>
      <w:r w:rsidR="007E2999">
        <w:t>overnment-issued</w:t>
      </w:r>
      <w:r w:rsidR="004E49FA">
        <w:t xml:space="preserve"> taxi </w:t>
      </w:r>
      <w:r>
        <w:t>licences</w:t>
      </w:r>
      <w:r w:rsidRPr="00823BC3">
        <w:t xml:space="preserve"> would push licence lease</w:t>
      </w:r>
      <w:r>
        <w:t xml:space="preserve"> price</w:t>
      </w:r>
      <w:r w:rsidRPr="00823BC3">
        <w:t xml:space="preserve">s down and lead to </w:t>
      </w:r>
      <w:r>
        <w:t xml:space="preserve">greater </w:t>
      </w:r>
      <w:r w:rsidRPr="00823BC3">
        <w:t xml:space="preserve">entry into the taxi market. </w:t>
      </w:r>
      <w:r>
        <w:t xml:space="preserve"> </w:t>
      </w:r>
    </w:p>
    <w:p w14:paraId="6C4D0E4F" w14:textId="711D4924" w:rsidR="00C50173" w:rsidRPr="00823BC3" w:rsidRDefault="00315DBE" w:rsidP="00C07E5B">
      <w:pPr>
        <w:spacing w:after="240"/>
      </w:pPr>
      <w:r w:rsidRPr="00823BC3">
        <w:t xml:space="preserve">CIE modelling for </w:t>
      </w:r>
      <w:r>
        <w:t>the 2015</w:t>
      </w:r>
      <w:r w:rsidRPr="00823BC3">
        <w:t xml:space="preserve"> </w:t>
      </w:r>
      <w:r>
        <w:t>industry r</w:t>
      </w:r>
      <w:r w:rsidRPr="00823BC3">
        <w:t xml:space="preserve">eforms had forecast a </w:t>
      </w:r>
      <w:r>
        <w:t xml:space="preserve">long term </w:t>
      </w:r>
      <w:r w:rsidRPr="00823BC3">
        <w:t xml:space="preserve">decrease in network charges by around $9,000 per taxi due to competition. The modelling </w:t>
      </w:r>
      <w:r>
        <w:t>suggested</w:t>
      </w:r>
      <w:r w:rsidRPr="00823BC3">
        <w:t xml:space="preserve"> the potential to accommodate a greater number of taxis if costs could be reduced, with potentially positive implications for consumer service. Updated CIE modelling has confirmed the decrease has not been as expected and </w:t>
      </w:r>
      <w:r>
        <w:t>the costs of operating a taxi service have not fallen as much as anticipated</w:t>
      </w:r>
      <w:r w:rsidRPr="00823BC3">
        <w:t>.</w:t>
      </w:r>
    </w:p>
    <w:p w14:paraId="1AD4714A" w14:textId="24084508" w:rsidR="007C62CF" w:rsidRPr="00600DF2" w:rsidRDefault="007C62CF" w:rsidP="00C07E5B">
      <w:pPr>
        <w:pStyle w:val="Heading5"/>
        <w:rPr>
          <w:b/>
          <w:color w:val="auto"/>
        </w:rPr>
      </w:pPr>
      <w:r w:rsidRPr="00600DF2">
        <w:rPr>
          <w:b/>
          <w:color w:val="auto"/>
        </w:rPr>
        <w:t>Stakeholders</w:t>
      </w:r>
    </w:p>
    <w:p w14:paraId="1711C25D" w14:textId="25675E1B" w:rsidR="00246A9A" w:rsidRPr="00246A9A" w:rsidRDefault="00246A9A" w:rsidP="00246A9A">
      <w:pPr>
        <w:pBdr>
          <w:top w:val="single" w:sz="4" w:space="1" w:color="auto"/>
          <w:left w:val="single" w:sz="4" w:space="4" w:color="auto"/>
          <w:bottom w:val="single" w:sz="4" w:space="1" w:color="auto"/>
          <w:right w:val="single" w:sz="4" w:space="4" w:color="auto"/>
        </w:pBdr>
        <w:shd w:val="clear" w:color="auto" w:fill="D6E3BC" w:themeFill="accent3" w:themeFillTint="66"/>
        <w:rPr>
          <w:b/>
          <w:i/>
        </w:rPr>
      </w:pPr>
      <w:r w:rsidRPr="00246A9A">
        <w:rPr>
          <w:b/>
          <w:i/>
        </w:rPr>
        <w:t>Who is affected by taxi reform?</w:t>
      </w:r>
    </w:p>
    <w:p w14:paraId="35450A72" w14:textId="603840AD"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pPr>
      <w:r w:rsidRPr="00246A9A">
        <w:rPr>
          <w:b/>
        </w:rPr>
        <w:t>Consumers</w:t>
      </w:r>
      <w:r>
        <w:t xml:space="preserve"> – passengers, including people with disabilities, using taxi, hire car or rideshare services (ACT population and visitors)</w:t>
      </w:r>
    </w:p>
    <w:p w14:paraId="34AE821E" w14:textId="491E2304"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pPr>
      <w:r w:rsidRPr="00246A9A">
        <w:rPr>
          <w:b/>
        </w:rPr>
        <w:t>Transport booking services (TBSs)</w:t>
      </w:r>
      <w:r>
        <w:t xml:space="preserve"> – TBSs provide booking requests from passengers to drivers (11 accredited for taxis in the ACT, as at 1 July 2018)</w:t>
      </w:r>
    </w:p>
    <w:p w14:paraId="25C29669" w14:textId="44EC11E1"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pPr>
      <w:r w:rsidRPr="00246A9A">
        <w:rPr>
          <w:b/>
        </w:rPr>
        <w:t>Taxi operators</w:t>
      </w:r>
      <w:r>
        <w:t xml:space="preserve"> – people who supply taxi vehicles and either lease or own taxi licences (around 170 are licensed in the ACT)</w:t>
      </w:r>
    </w:p>
    <w:p w14:paraId="351107FF" w14:textId="4BDF36A1"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pPr>
      <w:r w:rsidRPr="00246A9A">
        <w:rPr>
          <w:b/>
        </w:rPr>
        <w:t>Taxi drivers</w:t>
      </w:r>
      <w:r>
        <w:t xml:space="preserve"> – people who drive taxi vehicles (around 2,000 are licensed in the ACT)</w:t>
      </w:r>
    </w:p>
    <w:p w14:paraId="696C90E9" w14:textId="4873A17D"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pPr>
      <w:r w:rsidRPr="00246A9A">
        <w:rPr>
          <w:b/>
        </w:rPr>
        <w:t>Perpetual taxi licence holders</w:t>
      </w:r>
      <w:r>
        <w:t xml:space="preserve"> – parties who earn income from leasing or operating taxi licences (around 168 parties, of which all but five lease their licence holdings)</w:t>
      </w:r>
    </w:p>
    <w:p w14:paraId="4AE51E4E" w14:textId="17070DFB" w:rsidR="007C62CF" w:rsidRDefault="007C62CF" w:rsidP="00246A9A">
      <w:pPr>
        <w:pBdr>
          <w:top w:val="single" w:sz="4" w:space="1" w:color="auto"/>
          <w:left w:val="single" w:sz="4" w:space="4" w:color="auto"/>
          <w:bottom w:val="single" w:sz="4" w:space="1" w:color="auto"/>
          <w:right w:val="single" w:sz="4" w:space="4" w:color="auto"/>
        </w:pBdr>
        <w:shd w:val="clear" w:color="auto" w:fill="D6E3BC" w:themeFill="accent3" w:themeFillTint="66"/>
      </w:pPr>
      <w:r w:rsidRPr="00246A9A">
        <w:rPr>
          <w:b/>
        </w:rPr>
        <w:t xml:space="preserve">ACT Government </w:t>
      </w:r>
      <w:r>
        <w:t>– regulates the market and leases taxi licences</w:t>
      </w:r>
    </w:p>
    <w:p w14:paraId="5EEE8F47" w14:textId="77777777" w:rsidR="007C62CF" w:rsidRDefault="007C62CF" w:rsidP="00246A9A">
      <w:pPr>
        <w:spacing w:after="0"/>
      </w:pPr>
    </w:p>
    <w:p w14:paraId="0C0C1BDF" w14:textId="243234C9" w:rsidR="007C62CF" w:rsidRDefault="007C62CF" w:rsidP="00246A9A">
      <w:pPr>
        <w:spacing w:before="0"/>
      </w:pPr>
      <w:r>
        <w:t xml:space="preserve">For </w:t>
      </w:r>
      <w:r w:rsidRPr="00C07E5B">
        <w:rPr>
          <w:b/>
        </w:rPr>
        <w:t>consumers</w:t>
      </w:r>
      <w:r>
        <w:t xml:space="preserve">, uncapping supply </w:t>
      </w:r>
      <w:r w:rsidRPr="00823BC3">
        <w:t xml:space="preserve">could </w:t>
      </w:r>
      <w:r>
        <w:t>result</w:t>
      </w:r>
      <w:r w:rsidRPr="00823BC3">
        <w:t xml:space="preserve"> in</w:t>
      </w:r>
      <w:r>
        <w:t xml:space="preserve"> </w:t>
      </w:r>
      <w:r w:rsidRPr="00823BC3">
        <w:t xml:space="preserve">benefits if the reduction in </w:t>
      </w:r>
      <w:r>
        <w:t>licence</w:t>
      </w:r>
      <w:r w:rsidRPr="00823BC3">
        <w:t xml:space="preserve"> lease costs was passed on through lower prices for taxis. </w:t>
      </w:r>
      <w:r>
        <w:t>Even</w:t>
      </w:r>
      <w:r w:rsidRPr="00823BC3">
        <w:t xml:space="preserve"> if </w:t>
      </w:r>
      <w:r>
        <w:t xml:space="preserve">these benefits were </w:t>
      </w:r>
      <w:r w:rsidRPr="00823BC3">
        <w:t>not passed through</w:t>
      </w:r>
      <w:r w:rsidR="00A91033">
        <w:t>,</w:t>
      </w:r>
      <w:r w:rsidRPr="00823BC3">
        <w:t xml:space="preserve"> it could support greater availability of services to consumers.</w:t>
      </w:r>
    </w:p>
    <w:p w14:paraId="20A00FC0" w14:textId="351FBED0" w:rsidR="007C62CF" w:rsidRDefault="007C62CF" w:rsidP="002A1358">
      <w:r>
        <w:lastRenderedPageBreak/>
        <w:t xml:space="preserve">For </w:t>
      </w:r>
      <w:r w:rsidRPr="00C07E5B">
        <w:rPr>
          <w:b/>
        </w:rPr>
        <w:t>taxi licence operators and drivers</w:t>
      </w:r>
      <w:r w:rsidR="00A91033" w:rsidRPr="00A91033">
        <w:t>,</w:t>
      </w:r>
      <w:r w:rsidRPr="00823BC3">
        <w:t xml:space="preserve"> </w:t>
      </w:r>
      <w:r w:rsidR="00D84C4B">
        <w:t xml:space="preserve">uncapping </w:t>
      </w:r>
      <w:r>
        <w:t>supply</w:t>
      </w:r>
      <w:r w:rsidRPr="00823BC3">
        <w:t xml:space="preserve"> would reduce the </w:t>
      </w:r>
      <w:r>
        <w:t xml:space="preserve">current </w:t>
      </w:r>
      <w:r w:rsidRPr="00823BC3">
        <w:t>negative</w:t>
      </w:r>
      <w:r>
        <w:t>s</w:t>
      </w:r>
      <w:r w:rsidRPr="00823BC3">
        <w:t xml:space="preserve"> </w:t>
      </w:r>
      <w:r>
        <w:t xml:space="preserve">from limiting taxi supply discussed earlier, supporting </w:t>
      </w:r>
      <w:r w:rsidRPr="00823BC3">
        <w:t>lower licence lease costs</w:t>
      </w:r>
      <w:r>
        <w:t xml:space="preserve"> and potentially TBS fees</w:t>
      </w:r>
      <w:r w:rsidRPr="00823BC3">
        <w:t>.</w:t>
      </w:r>
      <w:r>
        <w:t xml:space="preserve">   However, they would also face a potential increase in competition for market from new taxi operators and drivers.  </w:t>
      </w:r>
      <w:r w:rsidR="00A91033">
        <w:t>T</w:t>
      </w:r>
      <w:r>
        <w:t xml:space="preserve">here would </w:t>
      </w:r>
      <w:r w:rsidR="00A91033">
        <w:t xml:space="preserve">also </w:t>
      </w:r>
      <w:r>
        <w:t>be greater opportunity for taxi drivers to operate their own vehicles, rather than drive for someone else operating a taxi licence.</w:t>
      </w:r>
    </w:p>
    <w:p w14:paraId="1F5D24D6" w14:textId="27BDF7AA" w:rsidR="007C62CF" w:rsidRDefault="007C62CF" w:rsidP="002A1358">
      <w:r>
        <w:t xml:space="preserve">The above benefits would be at the expense of holders of </w:t>
      </w:r>
      <w:r w:rsidRPr="00C07E5B">
        <w:rPr>
          <w:b/>
        </w:rPr>
        <w:t>perpetual taxi licences</w:t>
      </w:r>
      <w:r>
        <w:t xml:space="preserve"> (higher priced</w:t>
      </w:r>
      <w:r>
        <w:rPr>
          <w:rStyle w:val="EndnoteReference"/>
        </w:rPr>
        <w:endnoteReference w:id="3"/>
      </w:r>
      <w:r>
        <w:t>)</w:t>
      </w:r>
      <w:r w:rsidR="000669CE">
        <w:t xml:space="preserve"> and</w:t>
      </w:r>
      <w:r>
        <w:t xml:space="preserve"> </w:t>
      </w:r>
      <w:r w:rsidRPr="00C07E5B">
        <w:rPr>
          <w:b/>
        </w:rPr>
        <w:t>TBSs</w:t>
      </w:r>
      <w:r>
        <w:t xml:space="preserve">, while some TBSs would benefit from having access to new operators and drivers to expand their services. </w:t>
      </w:r>
    </w:p>
    <w:p w14:paraId="5E32B212" w14:textId="4572CBCE" w:rsidR="007C62CF" w:rsidRPr="00600DF2" w:rsidRDefault="007C62CF" w:rsidP="00C07E5B">
      <w:pPr>
        <w:pStyle w:val="Heading5"/>
        <w:rPr>
          <w:b/>
          <w:color w:val="auto"/>
        </w:rPr>
      </w:pPr>
      <w:r w:rsidRPr="00600DF2">
        <w:rPr>
          <w:b/>
          <w:color w:val="auto"/>
        </w:rPr>
        <w:t>Other services – Rideshare and hire cars</w:t>
      </w:r>
    </w:p>
    <w:p w14:paraId="4C66AA46" w14:textId="1DE80975" w:rsidR="007C62CF" w:rsidRDefault="007C62CF">
      <w:r>
        <w:t>Community surveys suggest that</w:t>
      </w:r>
      <w:r w:rsidR="00A91033">
        <w:t>, overall,</w:t>
      </w:r>
      <w:r>
        <w:t xml:space="preserve"> passengers are satisfied with the quality and price of rideshare and hire services </w:t>
      </w:r>
      <w:r w:rsidRPr="008C2028">
        <w:t xml:space="preserve">– see evaluation </w:t>
      </w:r>
      <w:r w:rsidRPr="00C4474E">
        <w:rPr>
          <w:i/>
        </w:rPr>
        <w:t xml:space="preserve">Summary Results of Community </w:t>
      </w:r>
      <w:r w:rsidR="006A4923">
        <w:rPr>
          <w:i/>
        </w:rPr>
        <w:t>Engagement</w:t>
      </w:r>
      <w:r w:rsidRPr="008C2028">
        <w:t>.</w:t>
      </w:r>
      <w:r>
        <w:t xml:space="preserve"> </w:t>
      </w:r>
      <w:r w:rsidRPr="00252EAE">
        <w:t xml:space="preserve"> </w:t>
      </w:r>
      <w:r>
        <w:t>Rideshare and hire car numbers are not limited.  Taxi services compete with these services.</w:t>
      </w:r>
    </w:p>
    <w:p w14:paraId="63CAB9CC" w14:textId="77777777" w:rsidR="007C62CF" w:rsidRPr="00600DF2" w:rsidRDefault="007C62CF" w:rsidP="00C07E5B">
      <w:pPr>
        <w:pStyle w:val="Heading5"/>
        <w:rPr>
          <w:b/>
          <w:color w:val="auto"/>
        </w:rPr>
      </w:pPr>
      <w:r w:rsidRPr="00600DF2">
        <w:rPr>
          <w:b/>
          <w:color w:val="auto"/>
        </w:rPr>
        <w:t>Other Australian jurisdictions</w:t>
      </w:r>
    </w:p>
    <w:p w14:paraId="1CD2C50B" w14:textId="69BF8373" w:rsidR="007C62CF" w:rsidRDefault="007C62CF" w:rsidP="002A1358">
      <w:r w:rsidRPr="00C07E5B">
        <w:t>Other Australian state and territory approaches to taxi supply regulation are varied.</w:t>
      </w:r>
      <w:r w:rsidRPr="00C07E5B">
        <w:rPr>
          <w:rStyle w:val="EndnoteReference"/>
        </w:rPr>
        <w:endnoteReference w:id="4"/>
      </w:r>
      <w:r w:rsidRPr="00C07E5B">
        <w:t xml:space="preserve">  Victoria and Western Australia are or have moved to deregulate.  Other jurisdictions regulate taxi supply</w:t>
      </w:r>
      <w:r w:rsidR="00A91033">
        <w:t>,</w:t>
      </w:r>
      <w:r w:rsidRPr="00C07E5B">
        <w:t xml:space="preserve"> </w:t>
      </w:r>
      <w:r w:rsidR="00A91033">
        <w:t>although</w:t>
      </w:r>
      <w:r w:rsidR="00A91033" w:rsidRPr="00C07E5B">
        <w:t xml:space="preserve"> </w:t>
      </w:r>
      <w:r w:rsidRPr="00C07E5B">
        <w:t>some</w:t>
      </w:r>
      <w:r w:rsidR="00A91033">
        <w:t>,</w:t>
      </w:r>
      <w:r w:rsidRPr="00C07E5B">
        <w:t xml:space="preserve"> such as NSW and Tasmania</w:t>
      </w:r>
      <w:r w:rsidR="00A91033">
        <w:t>,</w:t>
      </w:r>
      <w:r w:rsidRPr="00C07E5B">
        <w:t xml:space="preserve"> do not regulate WATs.</w:t>
      </w:r>
    </w:p>
    <w:p w14:paraId="52783990" w14:textId="77777777" w:rsidR="00315DBE" w:rsidRPr="00600DF2" w:rsidRDefault="00315DBE" w:rsidP="00315DBE">
      <w:pPr>
        <w:pStyle w:val="Heading4"/>
        <w:numPr>
          <w:ilvl w:val="0"/>
          <w:numId w:val="0"/>
        </w:numPr>
        <w:rPr>
          <w:b/>
          <w:color w:val="auto"/>
        </w:rPr>
      </w:pPr>
      <w:bookmarkStart w:id="300" w:name="_Toc524892399"/>
      <w:r w:rsidRPr="00600DF2">
        <w:rPr>
          <w:b/>
          <w:color w:val="auto"/>
        </w:rPr>
        <w:t xml:space="preserve">What is the </w:t>
      </w:r>
      <w:r>
        <w:rPr>
          <w:b/>
          <w:color w:val="auto"/>
        </w:rPr>
        <w:t>“</w:t>
      </w:r>
      <w:r w:rsidRPr="00600DF2">
        <w:rPr>
          <w:b/>
          <w:color w:val="auto"/>
        </w:rPr>
        <w:t>right</w:t>
      </w:r>
      <w:r>
        <w:rPr>
          <w:b/>
          <w:color w:val="auto"/>
        </w:rPr>
        <w:t>”</w:t>
      </w:r>
      <w:r w:rsidRPr="00600DF2">
        <w:rPr>
          <w:b/>
          <w:color w:val="auto"/>
        </w:rPr>
        <w:t xml:space="preserve"> level of taxi supply licences?</w:t>
      </w:r>
      <w:bookmarkEnd w:id="300"/>
    </w:p>
    <w:p w14:paraId="69453834" w14:textId="7322CA96" w:rsidR="00315DBE" w:rsidRDefault="00315DBE" w:rsidP="00315DBE">
      <w:pPr>
        <w:pStyle w:val="BodyText"/>
        <w:spacing w:after="200"/>
        <w:rPr>
          <w:lang w:eastAsia="x-none"/>
        </w:rPr>
      </w:pPr>
      <w:r>
        <w:rPr>
          <w:lang w:eastAsia="x-none"/>
        </w:rPr>
        <w:t>During the evaluation</w:t>
      </w:r>
      <w:r w:rsidR="00A91033">
        <w:rPr>
          <w:lang w:eastAsia="x-none"/>
        </w:rPr>
        <w:t>,</w:t>
      </w:r>
      <w:r>
        <w:rPr>
          <w:lang w:eastAsia="x-none"/>
        </w:rPr>
        <w:t xml:space="preserve"> some stakeholders argued that the </w:t>
      </w:r>
      <w:r w:rsidRPr="00823BC3">
        <w:rPr>
          <w:lang w:eastAsia="x-none"/>
        </w:rPr>
        <w:t xml:space="preserve">regulated </w:t>
      </w:r>
      <w:r>
        <w:rPr>
          <w:lang w:eastAsia="x-none"/>
        </w:rPr>
        <w:t>limit</w:t>
      </w:r>
      <w:r w:rsidRPr="00823BC3">
        <w:rPr>
          <w:lang w:eastAsia="x-none"/>
        </w:rPr>
        <w:t xml:space="preserve"> of 358 taxi licences</w:t>
      </w:r>
      <w:r>
        <w:rPr>
          <w:lang w:eastAsia="x-none"/>
        </w:rPr>
        <w:t xml:space="preserve"> was </w:t>
      </w:r>
      <w:r w:rsidRPr="00823BC3">
        <w:rPr>
          <w:lang w:eastAsia="x-none"/>
        </w:rPr>
        <w:t xml:space="preserve">too high, given the surrender </w:t>
      </w:r>
      <w:r>
        <w:rPr>
          <w:lang w:eastAsia="x-none"/>
        </w:rPr>
        <w:t xml:space="preserve">from use </w:t>
      </w:r>
      <w:r w:rsidRPr="00823BC3">
        <w:rPr>
          <w:lang w:eastAsia="x-none"/>
        </w:rPr>
        <w:t>of licences between 2011 and 2015</w:t>
      </w:r>
      <w:r>
        <w:rPr>
          <w:lang w:eastAsia="x-none"/>
        </w:rPr>
        <w:t xml:space="preserve"> </w:t>
      </w:r>
      <w:r w:rsidRPr="00823BC3">
        <w:rPr>
          <w:lang w:eastAsia="x-none"/>
        </w:rPr>
        <w:t>and the introduction of rideshare.</w:t>
      </w:r>
      <w:r>
        <w:rPr>
          <w:lang w:eastAsia="x-none"/>
        </w:rPr>
        <w:t xml:space="preserve">  However, the substantial growth of rideshare has shown that there has been an unmet demand for </w:t>
      </w:r>
      <w:r w:rsidR="004E49FA">
        <w:rPr>
          <w:lang w:eastAsia="x-none"/>
        </w:rPr>
        <w:t>on-demand transport</w:t>
      </w:r>
      <w:r>
        <w:rPr>
          <w:lang w:eastAsia="x-none"/>
        </w:rPr>
        <w:t xml:space="preserve"> services.  Further, there </w:t>
      </w:r>
      <w:r w:rsidR="004E49FA">
        <w:rPr>
          <w:lang w:eastAsia="x-none"/>
        </w:rPr>
        <w:t>is</w:t>
      </w:r>
      <w:r>
        <w:rPr>
          <w:lang w:eastAsia="x-none"/>
        </w:rPr>
        <w:t xml:space="preserve"> a substantial waiting list for </w:t>
      </w:r>
      <w:r w:rsidR="00A91033">
        <w:rPr>
          <w:lang w:eastAsia="x-none"/>
        </w:rPr>
        <w:t>G</w:t>
      </w:r>
      <w:r w:rsidR="004E49FA">
        <w:rPr>
          <w:lang w:eastAsia="x-none"/>
        </w:rPr>
        <w:t>overnment-issued</w:t>
      </w:r>
      <w:r>
        <w:rPr>
          <w:lang w:eastAsia="x-none"/>
        </w:rPr>
        <w:t xml:space="preserve"> taxi licences (</w:t>
      </w:r>
      <w:r w:rsidR="004E49FA">
        <w:rPr>
          <w:lang w:eastAsia="x-none"/>
        </w:rPr>
        <w:t xml:space="preserve">currently </w:t>
      </w:r>
      <w:r>
        <w:rPr>
          <w:lang w:eastAsia="x-none"/>
        </w:rPr>
        <w:t>around 250 applicants).</w:t>
      </w:r>
    </w:p>
    <w:p w14:paraId="1F8A1C80" w14:textId="03662F59" w:rsidR="00315DBE" w:rsidRPr="008C2028" w:rsidRDefault="00315DBE" w:rsidP="00315DBE">
      <w:pPr>
        <w:pStyle w:val="BodyText"/>
        <w:spacing w:after="200"/>
        <w:rPr>
          <w:lang w:eastAsia="x-none"/>
        </w:rPr>
      </w:pPr>
      <w:r w:rsidRPr="008C2028">
        <w:rPr>
          <w:lang w:eastAsia="x-none"/>
        </w:rPr>
        <w:t xml:space="preserve">The Government </w:t>
      </w:r>
      <w:r w:rsidR="004E49FA">
        <w:rPr>
          <w:lang w:eastAsia="x-none"/>
        </w:rPr>
        <w:t>recently</w:t>
      </w:r>
      <w:r w:rsidRPr="008C2028">
        <w:rPr>
          <w:lang w:eastAsia="x-none"/>
        </w:rPr>
        <w:t xml:space="preserve"> announced a further increase in the </w:t>
      </w:r>
      <w:r>
        <w:rPr>
          <w:lang w:eastAsia="x-none"/>
        </w:rPr>
        <w:t xml:space="preserve">regulated </w:t>
      </w:r>
      <w:r w:rsidR="004E49FA">
        <w:rPr>
          <w:lang w:eastAsia="x-none"/>
        </w:rPr>
        <w:t>cap on</w:t>
      </w:r>
      <w:r>
        <w:rPr>
          <w:lang w:eastAsia="x-none"/>
        </w:rPr>
        <w:t xml:space="preserve"> taxi licences, </w:t>
      </w:r>
      <w:r w:rsidRPr="008C2028">
        <w:rPr>
          <w:lang w:eastAsia="x-none"/>
        </w:rPr>
        <w:t xml:space="preserve">and </w:t>
      </w:r>
      <w:r>
        <w:rPr>
          <w:lang w:eastAsia="x-none"/>
        </w:rPr>
        <w:t xml:space="preserve">a </w:t>
      </w:r>
      <w:r w:rsidRPr="008C2028">
        <w:rPr>
          <w:lang w:eastAsia="x-none"/>
        </w:rPr>
        <w:t xml:space="preserve">release of </w:t>
      </w:r>
      <w:r>
        <w:rPr>
          <w:lang w:eastAsia="x-none"/>
        </w:rPr>
        <w:t xml:space="preserve">additional </w:t>
      </w:r>
      <w:r w:rsidRPr="008C2028">
        <w:rPr>
          <w:lang w:eastAsia="x-none"/>
        </w:rPr>
        <w:t>licences to increase the number of taxis available</w:t>
      </w:r>
      <w:r>
        <w:rPr>
          <w:lang w:eastAsia="x-none"/>
        </w:rPr>
        <w:t xml:space="preserve"> in the market</w:t>
      </w:r>
      <w:r w:rsidRPr="008C2028">
        <w:rPr>
          <w:lang w:eastAsia="x-none"/>
        </w:rPr>
        <w:t xml:space="preserve">.  This has been done to recognise increases in population, tourism and overall market demand.  </w:t>
      </w:r>
    </w:p>
    <w:p w14:paraId="53E66C57" w14:textId="02331B8A" w:rsidR="00315DBE" w:rsidRDefault="00315DBE" w:rsidP="00315DBE">
      <w:pPr>
        <w:pStyle w:val="BodyText"/>
        <w:spacing w:after="200"/>
        <w:rPr>
          <w:lang w:eastAsia="x-none"/>
        </w:rPr>
      </w:pPr>
      <w:r w:rsidRPr="00823BC3">
        <w:rPr>
          <w:lang w:eastAsia="x-none"/>
        </w:rPr>
        <w:t xml:space="preserve">The process of </w:t>
      </w:r>
      <w:r>
        <w:rPr>
          <w:lang w:eastAsia="x-none"/>
        </w:rPr>
        <w:t xml:space="preserve">a </w:t>
      </w:r>
      <w:r w:rsidR="00A91033">
        <w:rPr>
          <w:lang w:eastAsia="x-none"/>
        </w:rPr>
        <w:t>G</w:t>
      </w:r>
      <w:r>
        <w:rPr>
          <w:lang w:eastAsia="x-none"/>
        </w:rPr>
        <w:t xml:space="preserve">overnment </w:t>
      </w:r>
      <w:r w:rsidRPr="00823BC3">
        <w:rPr>
          <w:lang w:eastAsia="x-none"/>
        </w:rPr>
        <w:t xml:space="preserve">setting supply </w:t>
      </w:r>
      <w:r>
        <w:rPr>
          <w:lang w:eastAsia="x-none"/>
        </w:rPr>
        <w:t>limits to match demand</w:t>
      </w:r>
      <w:r w:rsidRPr="00823BC3">
        <w:rPr>
          <w:lang w:eastAsia="x-none"/>
        </w:rPr>
        <w:t xml:space="preserve"> is </w:t>
      </w:r>
      <w:r>
        <w:rPr>
          <w:lang w:eastAsia="x-none"/>
        </w:rPr>
        <w:t xml:space="preserve">not easy or straightforward.  The decision to remove any potential limit to the availability of taxi licences is not an easy decision, either.  Ready </w:t>
      </w:r>
      <w:r w:rsidRPr="00823BC3">
        <w:rPr>
          <w:lang w:eastAsia="x-none"/>
        </w:rPr>
        <w:t xml:space="preserve">access to </w:t>
      </w:r>
      <w:r>
        <w:rPr>
          <w:lang w:eastAsia="x-none"/>
        </w:rPr>
        <w:t xml:space="preserve">relevant </w:t>
      </w:r>
      <w:r w:rsidRPr="00823BC3">
        <w:rPr>
          <w:lang w:eastAsia="x-none"/>
        </w:rPr>
        <w:t xml:space="preserve">information and evidence to support decisions is </w:t>
      </w:r>
      <w:r>
        <w:rPr>
          <w:lang w:eastAsia="x-none"/>
        </w:rPr>
        <w:t>affected because services are provided by private commercial parties.  Moreover, different stakeholders have different ideas and information to base arguments on what is the ‘right level’ of taxi supply.</w:t>
      </w:r>
    </w:p>
    <w:p w14:paraId="49D7193A" w14:textId="7DB42511" w:rsidR="00315DBE" w:rsidRDefault="00315DBE" w:rsidP="00315DBE">
      <w:pPr>
        <w:pStyle w:val="BodyText"/>
        <w:spacing w:after="200"/>
        <w:rPr>
          <w:lang w:eastAsia="x-none"/>
        </w:rPr>
      </w:pPr>
      <w:r>
        <w:rPr>
          <w:lang w:eastAsia="x-none"/>
        </w:rPr>
        <w:t xml:space="preserve">The </w:t>
      </w:r>
      <w:r w:rsidR="00A91033">
        <w:rPr>
          <w:lang w:eastAsia="x-none"/>
        </w:rPr>
        <w:t>G</w:t>
      </w:r>
      <w:r>
        <w:rPr>
          <w:lang w:eastAsia="x-none"/>
        </w:rPr>
        <w:t>overnment could use one or several of the following factors as a basis for increasing or removing the cap on taxi supply.</w:t>
      </w:r>
      <w:r w:rsidR="004E49FA">
        <w:rPr>
          <w:lang w:eastAsia="x-none"/>
        </w:rPr>
        <w:t xml:space="preserve">  Whatever method is chosen</w:t>
      </w:r>
      <w:r w:rsidR="00A91033">
        <w:rPr>
          <w:lang w:eastAsia="x-none"/>
        </w:rPr>
        <w:t>, it</w:t>
      </w:r>
      <w:r w:rsidR="004E49FA">
        <w:rPr>
          <w:lang w:eastAsia="x-none"/>
        </w:rPr>
        <w:t xml:space="preserve"> needs to be assessed in the context of future potential fluctuations in population, workforce, tourists and other economic factors.</w:t>
      </w:r>
    </w:p>
    <w:p w14:paraId="5BEF94D2" w14:textId="50CC91AA" w:rsidR="00315DBE" w:rsidRDefault="00315DBE" w:rsidP="00315DBE">
      <w:pPr>
        <w:pStyle w:val="BodyText"/>
        <w:spacing w:after="200"/>
        <w:rPr>
          <w:lang w:eastAsia="x-none"/>
        </w:rPr>
      </w:pPr>
      <w:r w:rsidRPr="00F51869">
        <w:rPr>
          <w:b/>
          <w:u w:val="single"/>
          <w:lang w:eastAsia="x-none"/>
        </w:rPr>
        <w:t>Population growth or visitor growth to Canberra</w:t>
      </w:r>
      <w:r w:rsidRPr="00F51869">
        <w:rPr>
          <w:b/>
          <w:lang w:eastAsia="x-none"/>
        </w:rPr>
        <w:t>.</w:t>
      </w:r>
      <w:r>
        <w:rPr>
          <w:lang w:eastAsia="x-none"/>
        </w:rPr>
        <w:t xml:space="preserve"> Often, population trends are one of the most stable representations for the size and direction of an economy and by extension, demand levels within an economy.  However, population volumes, especially in smaller economies where there are few</w:t>
      </w:r>
      <w:r w:rsidR="00EC3548">
        <w:rPr>
          <w:lang w:eastAsia="x-none"/>
        </w:rPr>
        <w:t>er</w:t>
      </w:r>
      <w:r>
        <w:rPr>
          <w:lang w:eastAsia="x-none"/>
        </w:rPr>
        <w:t xml:space="preserve"> industries or economic sectors, can undergo unexpected and negative change. Similarly, visitor numbers may indicate a long term trend of tourism-industry success.  </w:t>
      </w:r>
      <w:r w:rsidR="00EC3548">
        <w:rPr>
          <w:lang w:eastAsia="x-none"/>
        </w:rPr>
        <w:t>[</w:t>
      </w:r>
      <w:r>
        <w:rPr>
          <w:lang w:eastAsia="x-none"/>
        </w:rPr>
        <w:t>However, in a jurisdiction where major ad hoc or scheduled events occur, visitor volumes could change su</w:t>
      </w:r>
      <w:r w:rsidR="00EC3548">
        <w:rPr>
          <w:lang w:eastAsia="x-none"/>
        </w:rPr>
        <w:t>bstantially from year to year.]</w:t>
      </w:r>
    </w:p>
    <w:p w14:paraId="0929E800" w14:textId="4315913D" w:rsidR="00315DBE" w:rsidRDefault="00315DBE" w:rsidP="00315DBE">
      <w:pPr>
        <w:pStyle w:val="BodyText"/>
        <w:spacing w:after="200"/>
        <w:rPr>
          <w:lang w:eastAsia="x-none"/>
        </w:rPr>
      </w:pPr>
      <w:r w:rsidRPr="00F51869">
        <w:rPr>
          <w:b/>
          <w:u w:val="single"/>
          <w:lang w:eastAsia="x-none"/>
        </w:rPr>
        <w:lastRenderedPageBreak/>
        <w:t>Indications of demand</w:t>
      </w:r>
      <w:r w:rsidRPr="00F51869">
        <w:rPr>
          <w:b/>
          <w:lang w:eastAsia="x-none"/>
        </w:rPr>
        <w:t>.</w:t>
      </w:r>
      <w:r>
        <w:rPr>
          <w:lang w:eastAsia="x-none"/>
        </w:rPr>
        <w:t xml:space="preserve">  Reliable, long-term data that reveals consumer demand for on-demand transport services at competitive prices would provide a strong basis for considering supply on services. In the on-demand transport industry in the ACT, highly reliable dema</w:t>
      </w:r>
      <w:r w:rsidR="00EC3548">
        <w:rPr>
          <w:lang w:eastAsia="x-none"/>
        </w:rPr>
        <w:t>nd data is difficult to obtain</w:t>
      </w:r>
      <w:r>
        <w:rPr>
          <w:lang w:eastAsia="x-none"/>
        </w:rPr>
        <w:t xml:space="preserve"> </w:t>
      </w:r>
      <w:r w:rsidR="00807084">
        <w:rPr>
          <w:lang w:eastAsia="x-none"/>
        </w:rPr>
        <w:t>and use for the purposes of predicting future demand</w:t>
      </w:r>
      <w:r>
        <w:rPr>
          <w:lang w:eastAsia="x-none"/>
        </w:rPr>
        <w:t>. As examples, the industry can provide data on the volume of booked trips</w:t>
      </w:r>
      <w:r w:rsidR="00EC3548">
        <w:rPr>
          <w:lang w:eastAsia="x-none"/>
        </w:rPr>
        <w:t>, as a level of evidence</w:t>
      </w:r>
      <w:r>
        <w:rPr>
          <w:lang w:eastAsia="x-none"/>
        </w:rPr>
        <w:t xml:space="preserve">.  However, data on volumes of rank-and-hail trips are less complete </w:t>
      </w:r>
      <w:r w:rsidR="00EC3548">
        <w:rPr>
          <w:lang w:eastAsia="x-none"/>
        </w:rPr>
        <w:t>or</w:t>
      </w:r>
      <w:r>
        <w:rPr>
          <w:lang w:eastAsia="x-none"/>
        </w:rPr>
        <w:t xml:space="preserve"> reliable. In another example, hire car services are not required to report trip volumes unless they are associated with Transport Booking Services. In all, while trip data may suggest a certain level of demand, it may fail to reflect larger actual demand, w</w:t>
      </w:r>
      <w:r w:rsidR="00EC3548">
        <w:rPr>
          <w:lang w:eastAsia="x-none"/>
        </w:rPr>
        <w:t>h</w:t>
      </w:r>
      <w:r>
        <w:rPr>
          <w:lang w:eastAsia="x-none"/>
        </w:rPr>
        <w:t xml:space="preserve">ere prices, or types of services, or supply levels </w:t>
      </w:r>
      <w:r w:rsidR="006F6668">
        <w:rPr>
          <w:lang w:eastAsia="x-none"/>
        </w:rPr>
        <w:t xml:space="preserve">are </w:t>
      </w:r>
      <w:r>
        <w:rPr>
          <w:lang w:eastAsia="x-none"/>
        </w:rPr>
        <w:t>otherwise any different.</w:t>
      </w:r>
    </w:p>
    <w:p w14:paraId="27B60525" w14:textId="030F6F6A" w:rsidR="00315DBE" w:rsidRDefault="00315DBE" w:rsidP="00315DBE">
      <w:pPr>
        <w:pStyle w:val="BodyText"/>
        <w:spacing w:after="200"/>
        <w:rPr>
          <w:lang w:eastAsia="x-none"/>
        </w:rPr>
      </w:pPr>
      <w:r w:rsidRPr="00F51869">
        <w:rPr>
          <w:b/>
          <w:u w:val="single"/>
          <w:lang w:eastAsia="x-none"/>
        </w:rPr>
        <w:t>Consumer metrics</w:t>
      </w:r>
      <w:r w:rsidRPr="00F51869">
        <w:rPr>
          <w:b/>
          <w:lang w:eastAsia="x-none"/>
        </w:rPr>
        <w:t>.</w:t>
      </w:r>
      <w:r>
        <w:rPr>
          <w:lang w:eastAsia="x-none"/>
        </w:rPr>
        <w:t xml:space="preserve"> The actions of specific consumers can inform some industries of relevant demand levels.  One such metric that could be valuable is passenger levels at the Canberra Airport. Airport passengers are particularly intensive users of on-demand transport.  The Canberra Airport has a strong understanding of passenger flows and their intra-day and weekly flow to and from the Airport.  Airport data, therefore, </w:t>
      </w:r>
      <w:r w:rsidR="00EC3548">
        <w:rPr>
          <w:lang w:eastAsia="x-none"/>
        </w:rPr>
        <w:t xml:space="preserve">may give an indication of </w:t>
      </w:r>
      <w:r>
        <w:rPr>
          <w:lang w:eastAsia="x-none"/>
        </w:rPr>
        <w:t>how many on-demand transport vehicles are required for passengers, and when.  However, this data presents a challenge when considering the broader supply of taxis for the entire Canberra market.  Airport demand fluctuates significantly, and therefore attempting to adjust the broad taxi supply around Airport demand could lead to an excess supply for the entire jurisdiction when Airport demand is low.</w:t>
      </w:r>
    </w:p>
    <w:p w14:paraId="0CF01850" w14:textId="3C84D619" w:rsidR="00315DBE" w:rsidRDefault="00315DBE" w:rsidP="00315DBE">
      <w:pPr>
        <w:pStyle w:val="BodyText"/>
        <w:spacing w:after="200"/>
        <w:rPr>
          <w:b/>
          <w:u w:val="single"/>
          <w:lang w:eastAsia="x-none"/>
        </w:rPr>
      </w:pPr>
      <w:r w:rsidRPr="006A4923">
        <w:rPr>
          <w:b/>
          <w:u w:val="single"/>
          <w:lang w:eastAsia="x-none"/>
        </w:rPr>
        <w:t>Industry metrics – demand for licences</w:t>
      </w:r>
      <w:r w:rsidRPr="006A4923">
        <w:rPr>
          <w:b/>
          <w:lang w:eastAsia="x-none"/>
        </w:rPr>
        <w:t>.</w:t>
      </w:r>
      <w:r w:rsidRPr="006A4923">
        <w:rPr>
          <w:lang w:eastAsia="x-none"/>
        </w:rPr>
        <w:t xml:space="preserve"> The volume of individuals who have formally expressed an interest in obtaining a taxi licence could give an indication of </w:t>
      </w:r>
      <w:r w:rsidR="00807084">
        <w:rPr>
          <w:lang w:eastAsia="x-none"/>
        </w:rPr>
        <w:t>industry</w:t>
      </w:r>
      <w:r w:rsidRPr="006A4923">
        <w:rPr>
          <w:lang w:eastAsia="x-none"/>
        </w:rPr>
        <w:t xml:space="preserve"> demand.  These individuals </w:t>
      </w:r>
      <w:r w:rsidR="00EC3548">
        <w:rPr>
          <w:lang w:eastAsia="x-none"/>
        </w:rPr>
        <w:t>may</w:t>
      </w:r>
      <w:r w:rsidRPr="006A4923">
        <w:rPr>
          <w:lang w:eastAsia="x-none"/>
        </w:rPr>
        <w:t xml:space="preserve"> have studied the market and discussed joining the industry with experts.  In the ACT, potential taxi owners can join a wait list for a taxi licence, which is managed by Access Canberra. </w:t>
      </w:r>
      <w:r w:rsidR="00EC3548">
        <w:rPr>
          <w:lang w:eastAsia="x-none"/>
        </w:rPr>
        <w:t xml:space="preserve"> As of August 2018, around 25</w:t>
      </w:r>
      <w:r w:rsidRPr="006A4923">
        <w:rPr>
          <w:lang w:eastAsia="x-none"/>
        </w:rPr>
        <w:t xml:space="preserve">0 individuals are members of that list.  </w:t>
      </w:r>
    </w:p>
    <w:p w14:paraId="71E16D8E" w14:textId="3998553B" w:rsidR="00315DBE" w:rsidRDefault="00315DBE" w:rsidP="00315DBE">
      <w:pPr>
        <w:pStyle w:val="BodyText"/>
        <w:spacing w:after="200"/>
        <w:rPr>
          <w:lang w:eastAsia="x-none"/>
        </w:rPr>
      </w:pPr>
      <w:r w:rsidRPr="00F51869">
        <w:rPr>
          <w:b/>
          <w:u w:val="single"/>
          <w:lang w:eastAsia="x-none"/>
        </w:rPr>
        <w:t>Financial modelling</w:t>
      </w:r>
      <w:r w:rsidRPr="00F51869">
        <w:rPr>
          <w:b/>
          <w:lang w:eastAsia="x-none"/>
        </w:rPr>
        <w:t>.</w:t>
      </w:r>
      <w:r>
        <w:rPr>
          <w:lang w:eastAsia="x-none"/>
        </w:rPr>
        <w:t xml:space="preserve"> Modelling can provide a </w:t>
      </w:r>
      <w:r w:rsidR="00807084">
        <w:rPr>
          <w:lang w:eastAsia="x-none"/>
        </w:rPr>
        <w:t>useful</w:t>
      </w:r>
      <w:r>
        <w:rPr>
          <w:lang w:eastAsia="x-none"/>
        </w:rPr>
        <w:t xml:space="preserve"> method for organisations to predict demand for products and services, and a means of pricing and determining supply.  Modelling can incorporate a large number of factors and data to help determine these outputs.  Economic modelling was, in fact, used by the evaluation to predict demand and benefits to the community for a changing on-demand transport industry.  However, a shortcoming of some models </w:t>
      </w:r>
      <w:r w:rsidR="00EC3548">
        <w:rPr>
          <w:lang w:eastAsia="x-none"/>
        </w:rPr>
        <w:t xml:space="preserve">is </w:t>
      </w:r>
      <w:r>
        <w:rPr>
          <w:lang w:eastAsia="x-none"/>
        </w:rPr>
        <w:t xml:space="preserve">the quality of their output depends in part on the quality of data used as an input.  For example, unreliable data on demand at a fixed point in time could make it difficult to reliably model potential future demand.  A further challenge </w:t>
      </w:r>
      <w:r w:rsidR="00EC3548">
        <w:rPr>
          <w:lang w:eastAsia="x-none"/>
        </w:rPr>
        <w:t>may be accommodating</w:t>
      </w:r>
      <w:r>
        <w:rPr>
          <w:lang w:eastAsia="x-none"/>
        </w:rPr>
        <w:t xml:space="preserve"> large and unexpected changes in demand. </w:t>
      </w:r>
    </w:p>
    <w:p w14:paraId="7034DF23" w14:textId="59BC7F98" w:rsidR="00315DBE" w:rsidRDefault="00315DBE" w:rsidP="00315DBE">
      <w:pPr>
        <w:pStyle w:val="BodyText"/>
        <w:spacing w:after="200"/>
        <w:rPr>
          <w:lang w:eastAsia="x-none"/>
        </w:rPr>
      </w:pPr>
      <w:r w:rsidRPr="00F51869">
        <w:rPr>
          <w:b/>
          <w:u w:val="single"/>
          <w:lang w:eastAsia="x-none"/>
        </w:rPr>
        <w:t>Basket of factors</w:t>
      </w:r>
      <w:r w:rsidRPr="00F51869">
        <w:rPr>
          <w:b/>
          <w:lang w:eastAsia="x-none"/>
        </w:rPr>
        <w:t>.</w:t>
      </w:r>
      <w:r>
        <w:rPr>
          <w:lang w:eastAsia="x-none"/>
        </w:rPr>
        <w:t xml:space="preserve"> No one set of data may be entirely reliable as a basis for setting or removing a regulated cap on licences.  Instead, another approach </w:t>
      </w:r>
      <w:r w:rsidR="00807084">
        <w:rPr>
          <w:lang w:eastAsia="x-none"/>
        </w:rPr>
        <w:t xml:space="preserve">could be </w:t>
      </w:r>
      <w:r>
        <w:rPr>
          <w:lang w:eastAsia="x-none"/>
        </w:rPr>
        <w:t xml:space="preserve">to weigh a set </w:t>
      </w:r>
      <w:r w:rsidR="00807084">
        <w:rPr>
          <w:lang w:eastAsia="x-none"/>
        </w:rPr>
        <w:t xml:space="preserve">(or ‘basket’) </w:t>
      </w:r>
      <w:r>
        <w:rPr>
          <w:lang w:eastAsia="x-none"/>
        </w:rPr>
        <w:t>of factors.  For example, a ‘basket’ of data, such as population growth, visitor growth and Airport passenger growth could be combined, on a weighted basis, to present a basis for changing the regulated cap.</w:t>
      </w:r>
    </w:p>
    <w:p w14:paraId="3C68B4AD" w14:textId="5C5D1695" w:rsidR="00315DBE" w:rsidRDefault="00315DBE" w:rsidP="006A4923">
      <w:pPr>
        <w:pStyle w:val="BodyText"/>
        <w:spacing w:after="200"/>
        <w:rPr>
          <w:lang w:eastAsia="x-none"/>
        </w:rPr>
      </w:pPr>
      <w:r w:rsidRPr="00F51869">
        <w:rPr>
          <w:b/>
          <w:u w:val="single"/>
          <w:lang w:eastAsia="x-none"/>
        </w:rPr>
        <w:t>Other factors</w:t>
      </w:r>
      <w:r w:rsidRPr="00F51869">
        <w:rPr>
          <w:b/>
          <w:lang w:eastAsia="x-none"/>
        </w:rPr>
        <w:t>.</w:t>
      </w:r>
      <w:r>
        <w:rPr>
          <w:lang w:eastAsia="x-none"/>
        </w:rPr>
        <w:t xml:space="preserve"> Other factors might </w:t>
      </w:r>
      <w:r w:rsidR="004E49FA">
        <w:rPr>
          <w:lang w:eastAsia="x-none"/>
        </w:rPr>
        <w:t xml:space="preserve">also </w:t>
      </w:r>
      <w:r>
        <w:rPr>
          <w:lang w:eastAsia="x-none"/>
        </w:rPr>
        <w:t xml:space="preserve">be </w:t>
      </w:r>
      <w:r w:rsidR="004E49FA">
        <w:rPr>
          <w:lang w:eastAsia="x-none"/>
        </w:rPr>
        <w:t>considered</w:t>
      </w:r>
      <w:r>
        <w:rPr>
          <w:lang w:eastAsia="x-none"/>
        </w:rPr>
        <w:t xml:space="preserve"> as a basis for adjusting or removing the regulated cap.  </w:t>
      </w:r>
      <w:r w:rsidR="004E49FA">
        <w:rPr>
          <w:lang w:eastAsia="x-none"/>
        </w:rPr>
        <w:t>Such factors may include seasonal fluctuations in demand, sitting periods for the Commonwealth Parliament or other events which may have a significant impact on the demand or supply of on-demand transport services</w:t>
      </w:r>
      <w:r>
        <w:rPr>
          <w:lang w:eastAsia="x-none"/>
        </w:rPr>
        <w:t>.</w:t>
      </w:r>
    </w:p>
    <w:p w14:paraId="3A994844" w14:textId="2F77C5C8" w:rsidR="00315DBE" w:rsidRPr="006A4923" w:rsidRDefault="00315DBE" w:rsidP="006A4923">
      <w:pPr>
        <w:pStyle w:val="Heading4"/>
        <w:numPr>
          <w:ilvl w:val="0"/>
          <w:numId w:val="0"/>
        </w:numPr>
        <w:rPr>
          <w:b/>
        </w:rPr>
      </w:pPr>
      <w:bookmarkStart w:id="301" w:name="_Toc524892400"/>
      <w:r>
        <w:rPr>
          <w:b/>
          <w:color w:val="auto"/>
        </w:rPr>
        <w:t xml:space="preserve">On what basis should the </w:t>
      </w:r>
      <w:r w:rsidR="001B69CD">
        <w:rPr>
          <w:b/>
          <w:color w:val="auto"/>
        </w:rPr>
        <w:t>G</w:t>
      </w:r>
      <w:r>
        <w:rPr>
          <w:b/>
          <w:color w:val="auto"/>
        </w:rPr>
        <w:t>overnment adjust WAT supply</w:t>
      </w:r>
      <w:r w:rsidRPr="00600DF2">
        <w:rPr>
          <w:b/>
          <w:color w:val="auto"/>
        </w:rPr>
        <w:t>?</w:t>
      </w:r>
      <w:bookmarkEnd w:id="301"/>
      <w:r w:rsidRPr="00600DF2">
        <w:rPr>
          <w:b/>
          <w:color w:val="auto"/>
        </w:rPr>
        <w:t xml:space="preserve">   </w:t>
      </w:r>
    </w:p>
    <w:p w14:paraId="25762E59" w14:textId="48DA71F2" w:rsidR="00315DBE" w:rsidRDefault="00315DBE" w:rsidP="006A4923">
      <w:pPr>
        <w:pStyle w:val="BodyText"/>
        <w:spacing w:after="200"/>
        <w:rPr>
          <w:lang w:eastAsia="x-none"/>
        </w:rPr>
      </w:pPr>
      <w:r>
        <w:rPr>
          <w:lang w:eastAsia="x-none"/>
        </w:rPr>
        <w:t>WAT services play a critical role in connecting people</w:t>
      </w:r>
      <w:r w:rsidR="001B69CD">
        <w:rPr>
          <w:lang w:eastAsia="x-none"/>
        </w:rPr>
        <w:t xml:space="preserve"> with a disability</w:t>
      </w:r>
      <w:r w:rsidR="00A9259D">
        <w:rPr>
          <w:lang w:eastAsia="x-none"/>
        </w:rPr>
        <w:t xml:space="preserve"> </w:t>
      </w:r>
      <w:r w:rsidR="001B69CD">
        <w:rPr>
          <w:lang w:eastAsia="x-none"/>
        </w:rPr>
        <w:t>to</w:t>
      </w:r>
      <w:r>
        <w:rPr>
          <w:lang w:eastAsia="x-none"/>
        </w:rPr>
        <w:t xml:space="preserve"> health services, </w:t>
      </w:r>
      <w:r w:rsidR="001B69CD">
        <w:rPr>
          <w:lang w:eastAsia="x-none"/>
        </w:rPr>
        <w:t>employment</w:t>
      </w:r>
      <w:r>
        <w:rPr>
          <w:lang w:eastAsia="x-none"/>
        </w:rPr>
        <w:t xml:space="preserve">, amenities, family and social networks.  </w:t>
      </w:r>
      <w:r w:rsidR="001B69CD">
        <w:rPr>
          <w:lang w:eastAsia="x-none"/>
        </w:rPr>
        <w:t xml:space="preserve">It is an important measure of an inclusive </w:t>
      </w:r>
      <w:r w:rsidR="001B69CD">
        <w:rPr>
          <w:lang w:eastAsia="x-none"/>
        </w:rPr>
        <w:lastRenderedPageBreak/>
        <w:t>community that the transport services which underpin this access are provided in a manner which enables demand to be met.</w:t>
      </w:r>
    </w:p>
    <w:p w14:paraId="3EE232E8" w14:textId="0A3A4747" w:rsidR="00315DBE" w:rsidRDefault="00315DBE" w:rsidP="006A4923">
      <w:pPr>
        <w:pStyle w:val="BodyText"/>
        <w:spacing w:after="200"/>
        <w:rPr>
          <w:lang w:eastAsia="x-none"/>
        </w:rPr>
      </w:pPr>
      <w:r>
        <w:rPr>
          <w:lang w:eastAsia="x-none"/>
        </w:rPr>
        <w:t>Finding the right basis to change or remove the regulated cap on WAT licence supply is a</w:t>
      </w:r>
      <w:r w:rsidR="00E951F5">
        <w:rPr>
          <w:lang w:eastAsia="x-none"/>
        </w:rPr>
        <w:t>lso a challenge.  Some data</w:t>
      </w:r>
      <w:r>
        <w:rPr>
          <w:lang w:eastAsia="x-none"/>
        </w:rPr>
        <w:t xml:space="preserve"> such as trip volumes</w:t>
      </w:r>
      <w:r w:rsidR="00E951F5">
        <w:rPr>
          <w:lang w:eastAsia="x-none"/>
        </w:rPr>
        <w:t xml:space="preserve">, </w:t>
      </w:r>
      <w:r w:rsidR="001B69CD">
        <w:rPr>
          <w:lang w:eastAsia="x-none"/>
        </w:rPr>
        <w:t>provided through booking services</w:t>
      </w:r>
      <w:r>
        <w:rPr>
          <w:lang w:eastAsia="x-none"/>
        </w:rPr>
        <w:t xml:space="preserve"> may </w:t>
      </w:r>
      <w:r w:rsidR="00E951F5">
        <w:rPr>
          <w:lang w:eastAsia="x-none"/>
        </w:rPr>
        <w:t xml:space="preserve">suggest broad demand.  However, this data may underestimate true demand for WAT services if potential users are unable to indicate their </w:t>
      </w:r>
      <w:r w:rsidR="001B69CD">
        <w:rPr>
          <w:lang w:eastAsia="x-none"/>
        </w:rPr>
        <w:t>preference</w:t>
      </w:r>
      <w:r w:rsidR="00E951F5">
        <w:rPr>
          <w:lang w:eastAsia="x-none"/>
        </w:rPr>
        <w:t xml:space="preserve"> for WAT services.  </w:t>
      </w:r>
      <w:r w:rsidR="001B69CD">
        <w:rPr>
          <w:lang w:eastAsia="x-none"/>
        </w:rPr>
        <w:t>In addition</w:t>
      </w:r>
      <w:r w:rsidR="00E951F5">
        <w:rPr>
          <w:lang w:eastAsia="x-none"/>
        </w:rPr>
        <w:t xml:space="preserve">, </w:t>
      </w:r>
      <w:r w:rsidR="001716AD">
        <w:rPr>
          <w:lang w:eastAsia="x-none"/>
        </w:rPr>
        <w:t xml:space="preserve">the growth in membership in the Taxi Subsidy Scheme could also indicate </w:t>
      </w:r>
      <w:r w:rsidR="001B69CD">
        <w:rPr>
          <w:lang w:eastAsia="x-none"/>
        </w:rPr>
        <w:t xml:space="preserve">growing </w:t>
      </w:r>
      <w:r w:rsidR="001716AD">
        <w:rPr>
          <w:lang w:eastAsia="x-none"/>
        </w:rPr>
        <w:t>demand.  However, a number of TSS members make little or no use of WAT service</w:t>
      </w:r>
      <w:r w:rsidR="00403449">
        <w:rPr>
          <w:lang w:eastAsia="x-none"/>
        </w:rPr>
        <w:t>s</w:t>
      </w:r>
      <w:r w:rsidR="001716AD">
        <w:rPr>
          <w:lang w:eastAsia="x-none"/>
        </w:rPr>
        <w:t>, making this data over time unreliable.</w:t>
      </w:r>
    </w:p>
    <w:p w14:paraId="25D31D49" w14:textId="7E3A27C3" w:rsidR="001C7FD3" w:rsidRDefault="001C7FD3" w:rsidP="006A4923">
      <w:pPr>
        <w:pStyle w:val="BodyText"/>
        <w:spacing w:after="200"/>
        <w:rPr>
          <w:lang w:eastAsia="x-none"/>
        </w:rPr>
      </w:pPr>
      <w:r>
        <w:rPr>
          <w:lang w:eastAsia="x-none"/>
        </w:rPr>
        <w:t>There may be other factors which the Government could take into account in relation to assessing the level of WAT supply, such as the views of people with a disability, their families, carers, service providers and advocacy organisations, gathered through surveys, or a more detailed assessment of the factors which drive demand for WAT services.</w:t>
      </w:r>
    </w:p>
    <w:p w14:paraId="1169CED2" w14:textId="77777777" w:rsidR="00CC7F22" w:rsidRDefault="00CC7F22" w:rsidP="00CC7F22">
      <w:pPr>
        <w:spacing w:after="0"/>
      </w:pPr>
    </w:p>
    <w:p w14:paraId="1AE6AFE6" w14:textId="06F50E45" w:rsidR="007C62CF" w:rsidRPr="00600DF2" w:rsidRDefault="007C62CF" w:rsidP="00CC7F22">
      <w:pPr>
        <w:pStyle w:val="Heading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rPr>
          <w:b/>
          <w:color w:val="auto"/>
        </w:rPr>
      </w:pPr>
      <w:bookmarkStart w:id="302" w:name="_Toc524892401"/>
      <w:r w:rsidRPr="00600DF2">
        <w:rPr>
          <w:b/>
          <w:color w:val="auto"/>
        </w:rPr>
        <w:t>What’s your view?</w:t>
      </w:r>
      <w:bookmarkEnd w:id="302"/>
    </w:p>
    <w:p w14:paraId="1EF6BCD5" w14:textId="78CD2796" w:rsidR="007C62CF" w:rsidRDefault="006173BB" w:rsidP="00CC7F22">
      <w:pPr>
        <w:pStyle w:val="BodyTex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rPr>
          <w:lang w:eastAsia="x-none"/>
        </w:rPr>
      </w:pPr>
      <w:r>
        <w:rPr>
          <w:lang w:eastAsia="x-none"/>
        </w:rPr>
        <w:t xml:space="preserve"> What factors should the </w:t>
      </w:r>
      <w:r w:rsidR="00403449">
        <w:rPr>
          <w:lang w:eastAsia="x-none"/>
        </w:rPr>
        <w:t>G</w:t>
      </w:r>
      <w:r>
        <w:rPr>
          <w:lang w:eastAsia="x-none"/>
        </w:rPr>
        <w:t xml:space="preserve">overnment consider when thinking about </w:t>
      </w:r>
      <w:r w:rsidR="00315DBE">
        <w:rPr>
          <w:lang w:eastAsia="x-none"/>
        </w:rPr>
        <w:t>increas</w:t>
      </w:r>
      <w:r>
        <w:rPr>
          <w:lang w:eastAsia="x-none"/>
        </w:rPr>
        <w:t>ing</w:t>
      </w:r>
      <w:r w:rsidR="00315DBE">
        <w:rPr>
          <w:lang w:eastAsia="x-none"/>
        </w:rPr>
        <w:t xml:space="preserve"> or remov</w:t>
      </w:r>
      <w:r>
        <w:rPr>
          <w:lang w:eastAsia="x-none"/>
        </w:rPr>
        <w:t>ing</w:t>
      </w:r>
      <w:r w:rsidR="00315DBE">
        <w:rPr>
          <w:lang w:eastAsia="x-none"/>
        </w:rPr>
        <w:t xml:space="preserve"> the regulated cap on </w:t>
      </w:r>
      <w:r w:rsidR="001716AD">
        <w:rPr>
          <w:lang w:eastAsia="x-none"/>
        </w:rPr>
        <w:t>standard-</w:t>
      </w:r>
      <w:r w:rsidR="00315DBE">
        <w:rPr>
          <w:lang w:eastAsia="x-none"/>
        </w:rPr>
        <w:t>taxi supply</w:t>
      </w:r>
      <w:r w:rsidR="007C62CF">
        <w:rPr>
          <w:lang w:eastAsia="x-none"/>
        </w:rPr>
        <w:t>?</w:t>
      </w:r>
    </w:p>
    <w:p w14:paraId="0A93D717" w14:textId="0FFEABEB" w:rsidR="006173BB" w:rsidRDefault="006173BB" w:rsidP="006173BB">
      <w:pPr>
        <w:pStyle w:val="BodyTex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rPr>
          <w:lang w:eastAsia="x-none"/>
        </w:rPr>
      </w:pPr>
    </w:p>
    <w:p w14:paraId="6D3AF9F3" w14:textId="7174B08C" w:rsidR="006173BB" w:rsidRDefault="006173BB" w:rsidP="006173BB">
      <w:pPr>
        <w:pStyle w:val="BodyTex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rPr>
          <w:lang w:eastAsia="x-none"/>
        </w:rPr>
      </w:pPr>
      <w:r>
        <w:rPr>
          <w:lang w:eastAsia="x-none"/>
        </w:rPr>
        <w:t xml:space="preserve"> What factors should the </w:t>
      </w:r>
      <w:r w:rsidR="00403449">
        <w:rPr>
          <w:lang w:eastAsia="x-none"/>
        </w:rPr>
        <w:t>G</w:t>
      </w:r>
      <w:r>
        <w:rPr>
          <w:lang w:eastAsia="x-none"/>
        </w:rPr>
        <w:t>overnment consider when thinking about increasing or removing the regulated cap on WAT supply?</w:t>
      </w:r>
    </w:p>
    <w:p w14:paraId="7AB70CA5" w14:textId="42011D79" w:rsidR="007C62CF" w:rsidRDefault="007C62CF" w:rsidP="00CC7F22">
      <w:pPr>
        <w:pStyle w:val="BodyText"/>
        <w:pBdr>
          <w:top w:val="single" w:sz="4" w:space="1" w:color="auto"/>
          <w:left w:val="single" w:sz="4" w:space="4" w:color="auto"/>
          <w:bottom w:val="single" w:sz="4" w:space="1" w:color="auto"/>
          <w:right w:val="single" w:sz="4" w:space="4" w:color="auto"/>
        </w:pBdr>
        <w:shd w:val="clear" w:color="auto" w:fill="CCC0D9" w:themeFill="accent4" w:themeFillTint="66"/>
        <w:tabs>
          <w:tab w:val="left" w:pos="6240"/>
        </w:tabs>
        <w:spacing w:before="0" w:after="0" w:line="276" w:lineRule="auto"/>
        <w:rPr>
          <w:lang w:eastAsia="x-none"/>
        </w:rPr>
      </w:pPr>
    </w:p>
    <w:p w14:paraId="46828BCB" w14:textId="77777777" w:rsidR="00F75DBD" w:rsidRDefault="00F75DBD">
      <w:pPr>
        <w:spacing w:before="0" w:after="0"/>
        <w:rPr>
          <w:rFonts w:ascii="Arial" w:eastAsia="Times New Roman" w:hAnsi="Arial"/>
          <w:bCs/>
          <w:caps/>
          <w:color w:val="FFFFFF"/>
          <w:spacing w:val="-20"/>
          <w:kern w:val="36"/>
          <w:sz w:val="44"/>
          <w:szCs w:val="48"/>
          <w:lang w:eastAsia="x-none"/>
        </w:rPr>
      </w:pPr>
      <w:r>
        <w:rPr>
          <w:lang w:eastAsia="x-none"/>
        </w:rPr>
        <w:br w:type="page"/>
      </w:r>
    </w:p>
    <w:p w14:paraId="19D27750" w14:textId="3DD2F99E" w:rsidR="007C62CF" w:rsidRPr="00600DF2" w:rsidRDefault="007C62CF" w:rsidP="00980900">
      <w:pPr>
        <w:pStyle w:val="Heading1reverse"/>
        <w:rPr>
          <w:color w:val="auto"/>
        </w:rPr>
      </w:pPr>
      <w:bookmarkStart w:id="303" w:name="_Toc524892402"/>
      <w:r w:rsidRPr="00600DF2">
        <w:rPr>
          <w:color w:val="auto"/>
        </w:rPr>
        <w:lastRenderedPageBreak/>
        <w:t xml:space="preserve">Possible environment conditions on future </w:t>
      </w:r>
      <w:r w:rsidR="004E61FD">
        <w:rPr>
          <w:color w:val="auto"/>
        </w:rPr>
        <w:t>On-demand transport</w:t>
      </w:r>
      <w:r w:rsidR="0003621B" w:rsidRPr="00600DF2">
        <w:rPr>
          <w:color w:val="auto"/>
        </w:rPr>
        <w:t xml:space="preserve"> </w:t>
      </w:r>
      <w:r w:rsidRPr="00600DF2">
        <w:rPr>
          <w:color w:val="auto"/>
        </w:rPr>
        <w:t>licences</w:t>
      </w:r>
      <w:bookmarkEnd w:id="303"/>
      <w:r w:rsidRPr="00600DF2">
        <w:rPr>
          <w:color w:val="auto"/>
        </w:rPr>
        <w:t xml:space="preserve"> </w:t>
      </w:r>
    </w:p>
    <w:p w14:paraId="2A26556E" w14:textId="0C94FC8D" w:rsidR="007C62CF" w:rsidRPr="00516B13" w:rsidRDefault="00516B13" w:rsidP="00516B13">
      <w:pPr>
        <w:spacing w:before="0"/>
        <w:rPr>
          <w:b/>
        </w:rPr>
      </w:pPr>
      <w:r w:rsidRPr="00516B13">
        <w:rPr>
          <w:b/>
        </w:rPr>
        <w:t>Fuel type/efficiency</w:t>
      </w:r>
    </w:p>
    <w:p w14:paraId="535C1CAA" w14:textId="2D71B7F7" w:rsidR="007C62CF" w:rsidRDefault="007C62CF" w:rsidP="0003621B">
      <w:pPr>
        <w:spacing w:before="0"/>
      </w:pPr>
      <w:r>
        <w:t xml:space="preserve">As part of </w:t>
      </w:r>
      <w:r w:rsidR="006F6668">
        <w:t xml:space="preserve">the </w:t>
      </w:r>
      <w:r>
        <w:t>evaluation of 2015 industry reforms environmental impacts were investigated, including th</w:t>
      </w:r>
      <w:r w:rsidR="0003621B">
        <w:t>ose relating to th</w:t>
      </w:r>
      <w:r>
        <w:t>e types of vehicles providing on-demand transport</w:t>
      </w:r>
      <w:r w:rsidR="0003621B">
        <w:t xml:space="preserve"> services</w:t>
      </w:r>
      <w:r>
        <w:t>.  Taxis utilising hybrid power plants were suggested to be the more energy efficient part of the ACT’s on-demand transport fleet.</w:t>
      </w:r>
    </w:p>
    <w:p w14:paraId="699D0CBE" w14:textId="06CBB7B5" w:rsidR="007C62CF" w:rsidRDefault="007C62CF" w:rsidP="00B50E45">
      <w:r>
        <w:t>Fleets of on-demand transport vehicles may continue to rise in the ACT with certain geographical concentrations, in particular if the cap on taxi licences is removed.  Increasing the number of vehicles on the roads would generally be expected to increase emissions, given the use of fossil fuels, even in hybrid vehicles.</w:t>
      </w:r>
    </w:p>
    <w:p w14:paraId="73A2DF9A" w14:textId="24A5E0B9" w:rsidR="007C62CF" w:rsidRDefault="007C62CF" w:rsidP="00B50E45">
      <w:r>
        <w:t>Further, while d</w:t>
      </w:r>
      <w:r w:rsidR="00665C45">
        <w:t xml:space="preserve">ata </w:t>
      </w:r>
      <w:r w:rsidR="00C2577D">
        <w:t xml:space="preserve">is </w:t>
      </w:r>
      <w:r w:rsidR="00665C45">
        <w:t>not readily available for</w:t>
      </w:r>
      <w:r>
        <w:t xml:space="preserve"> the ACT, there is anecdotal </w:t>
      </w:r>
      <w:r w:rsidR="00665C45">
        <w:t xml:space="preserve">information </w:t>
      </w:r>
      <w:r w:rsidR="00C2577D">
        <w:t xml:space="preserve">that </w:t>
      </w:r>
      <w:r w:rsidR="00665C45">
        <w:t>suggests</w:t>
      </w:r>
      <w:r>
        <w:t xml:space="preserve"> that rideshare activity has increased vehicle emissions in other jurisdictions, as these </w:t>
      </w:r>
      <w:r w:rsidR="00665C45">
        <w:t>vehicles assume a dual, private/</w:t>
      </w:r>
      <w:r>
        <w:t xml:space="preserve">rideshare role.  </w:t>
      </w:r>
    </w:p>
    <w:p w14:paraId="285619A5" w14:textId="0AAAE869" w:rsidR="007C62CF" w:rsidRDefault="007C62CF" w:rsidP="00B50E45">
      <w:r>
        <w:t xml:space="preserve">To </w:t>
      </w:r>
      <w:r w:rsidR="00665C45">
        <w:t>mitigate</w:t>
      </w:r>
      <w:r>
        <w:t xml:space="preserve"> potential environmental impacts, one option </w:t>
      </w:r>
      <w:r w:rsidR="00665C45">
        <w:t>could be</w:t>
      </w:r>
      <w:r>
        <w:t xml:space="preserve"> to require vehicles joining the fleet in the future to have certain fuel efficiency</w:t>
      </w:r>
      <w:r w:rsidR="00665C45">
        <w:t xml:space="preserve"> measures</w:t>
      </w:r>
      <w:r>
        <w:t>, or have hybrid or all-electric power plants</w:t>
      </w:r>
      <w:r>
        <w:rPr>
          <w:lang w:eastAsia="x-none"/>
        </w:rPr>
        <w:t>.</w:t>
      </w:r>
      <w:r>
        <w:t xml:space="preserve">  Such requirements could </w:t>
      </w:r>
      <w:r w:rsidR="00665C45">
        <w:t xml:space="preserve">be applied </w:t>
      </w:r>
      <w:r>
        <w:t xml:space="preserve">to </w:t>
      </w:r>
      <w:r w:rsidR="00665C45">
        <w:t xml:space="preserve">future </w:t>
      </w:r>
      <w:r>
        <w:t>taxi</w:t>
      </w:r>
      <w:r w:rsidR="00665C45">
        <w:t xml:space="preserve"> licence</w:t>
      </w:r>
      <w:r>
        <w:t xml:space="preserve">s only, or </w:t>
      </w:r>
      <w:r w:rsidR="00665C45">
        <w:t>to all future</w:t>
      </w:r>
      <w:r>
        <w:t xml:space="preserve"> on-demand </w:t>
      </w:r>
      <w:r w:rsidR="00665C45">
        <w:t>licences</w:t>
      </w:r>
      <w:r>
        <w:t xml:space="preserve">, </w:t>
      </w:r>
      <w:r w:rsidR="00665C45">
        <w:t>including</w:t>
      </w:r>
      <w:r>
        <w:t xml:space="preserve"> rideshare and hire cars.</w:t>
      </w:r>
    </w:p>
    <w:p w14:paraId="0D428B45" w14:textId="1950674D" w:rsidR="007C62CF" w:rsidRDefault="007C62CF" w:rsidP="00B50E45">
      <w:r>
        <w:t xml:space="preserve">Any </w:t>
      </w:r>
      <w:r w:rsidR="000B4D21">
        <w:t xml:space="preserve">such </w:t>
      </w:r>
      <w:r>
        <w:t xml:space="preserve">environmental </w:t>
      </w:r>
      <w:r w:rsidR="000B4D21">
        <w:t>conditions</w:t>
      </w:r>
      <w:r>
        <w:t xml:space="preserve"> for vehicles may </w:t>
      </w:r>
      <w:r w:rsidR="000B4D21">
        <w:t>im</w:t>
      </w:r>
      <w:r>
        <w:t xml:space="preserve">pose additional costs </w:t>
      </w:r>
      <w:r w:rsidR="000B4D21">
        <w:t>for on-demand</w:t>
      </w:r>
      <w:r>
        <w:t xml:space="preserve"> transport providers.  Those service providers may then seek to pass on costs to consumers.</w:t>
      </w:r>
    </w:p>
    <w:p w14:paraId="4CD296CF" w14:textId="0FE24864" w:rsidR="007C62CF" w:rsidRPr="007C62CF" w:rsidRDefault="000B4D21" w:rsidP="00B50E45">
      <w:pPr>
        <w:rPr>
          <w:b/>
        </w:rPr>
      </w:pPr>
      <w:r>
        <w:rPr>
          <w:b/>
        </w:rPr>
        <w:t>A</w:t>
      </w:r>
      <w:r w:rsidR="007C62CF" w:rsidRPr="007C62CF">
        <w:rPr>
          <w:b/>
        </w:rPr>
        <w:t>ge of standard</w:t>
      </w:r>
      <w:r w:rsidR="007C62CF">
        <w:rPr>
          <w:b/>
        </w:rPr>
        <w:t>-</w:t>
      </w:r>
      <w:r w:rsidR="007C62CF" w:rsidRPr="007C62CF">
        <w:rPr>
          <w:b/>
        </w:rPr>
        <w:t xml:space="preserve">taxi </w:t>
      </w:r>
      <w:r w:rsidR="007C62CF">
        <w:rPr>
          <w:b/>
        </w:rPr>
        <w:t xml:space="preserve">and rideshare </w:t>
      </w:r>
      <w:r w:rsidR="007C62CF" w:rsidRPr="007C62CF">
        <w:rPr>
          <w:b/>
        </w:rPr>
        <w:t>vehicles</w:t>
      </w:r>
    </w:p>
    <w:p w14:paraId="1E5738BE" w14:textId="1BD1A845" w:rsidR="00516B13" w:rsidRDefault="007C62CF" w:rsidP="002A1358">
      <w:r>
        <w:t>In the ACT vehicle age limits apply to taxis, although not hire cars or rideshare vehicles.  A standard taxi cannot be registered if, in its first registration as a taxi, the vehicle is more than six years old; or if the vehicle has been used as a taxi for more than six years; or the vehicle is older than eight years.  Some standard-taxi operators suggested to the Evaluation that the age of the vehicle be raised to 10 years as a way to help operators lower their capital costs.  Another taxi operator suggested that operators may not necessarily retain vehicles to a greater age, once they weigh the cost of maintenance with higher purchase prices for newer vehicles.  In the ACT, all on-demand transport vehicles are of comparable ages.  Rideshare averages the newest fleet</w:t>
      </w:r>
      <w:r w:rsidR="002C1AEC">
        <w:t>,</w:t>
      </w:r>
      <w:r>
        <w:t xml:space="preserve"> at 5.56 years, compared to taxis at 6.18 yea</w:t>
      </w:r>
      <w:r w:rsidR="00516B13">
        <w:t>rs and hire cars</w:t>
      </w:r>
      <w:r w:rsidR="002C1AEC">
        <w:t>,</w:t>
      </w:r>
      <w:r w:rsidR="00516B13">
        <w:t xml:space="preserve"> at 6.82 years.</w:t>
      </w:r>
    </w:p>
    <w:p w14:paraId="132881A8" w14:textId="77777777" w:rsidR="00516B13" w:rsidRDefault="00516B13" w:rsidP="00516B13">
      <w:pPr>
        <w:spacing w:after="0"/>
      </w:pPr>
    </w:p>
    <w:p w14:paraId="1402B917" w14:textId="77777777" w:rsidR="00516B13" w:rsidRPr="00600DF2" w:rsidRDefault="00516B13" w:rsidP="00516B13">
      <w:pPr>
        <w:pStyle w:val="Heading2"/>
        <w:numPr>
          <w:ilvl w:val="0"/>
          <w:numId w:val="0"/>
        </w:numPr>
        <w:pBdr>
          <w:top w:val="single" w:sz="4" w:space="1" w:color="auto"/>
          <w:left w:val="single" w:sz="4" w:space="1" w:color="auto"/>
          <w:bottom w:val="single" w:sz="4" w:space="1" w:color="auto"/>
          <w:right w:val="single" w:sz="4" w:space="1" w:color="auto"/>
        </w:pBdr>
        <w:shd w:val="clear" w:color="auto" w:fill="CCC0D9" w:themeFill="accent4" w:themeFillTint="66"/>
        <w:spacing w:before="0" w:after="0" w:line="276" w:lineRule="auto"/>
        <w:rPr>
          <w:b/>
          <w:color w:val="auto"/>
        </w:rPr>
      </w:pPr>
      <w:bookmarkStart w:id="304" w:name="_Toc524892403"/>
      <w:r w:rsidRPr="00600DF2">
        <w:rPr>
          <w:b/>
          <w:color w:val="auto"/>
        </w:rPr>
        <w:t>What’s your view?</w:t>
      </w:r>
      <w:bookmarkEnd w:id="304"/>
    </w:p>
    <w:p w14:paraId="15FFE7CC" w14:textId="34CAE018" w:rsidR="00516B13" w:rsidRDefault="00516B13" w:rsidP="00516B13">
      <w:pPr>
        <w:pStyle w:val="BodyText"/>
        <w:pBdr>
          <w:top w:val="single" w:sz="4" w:space="1" w:color="auto"/>
          <w:left w:val="single" w:sz="4" w:space="1" w:color="auto"/>
          <w:bottom w:val="single" w:sz="4" w:space="1" w:color="auto"/>
          <w:right w:val="single" w:sz="4" w:space="1" w:color="auto"/>
        </w:pBdr>
        <w:shd w:val="clear" w:color="auto" w:fill="CCC0D9" w:themeFill="accent4" w:themeFillTint="66"/>
        <w:spacing w:after="0"/>
        <w:rPr>
          <w:lang w:eastAsia="x-none"/>
        </w:rPr>
      </w:pPr>
      <w:r>
        <w:rPr>
          <w:lang w:eastAsia="x-none"/>
        </w:rPr>
        <w:t>Should any environmental conditions, such as fuel type or efficiency, be applied to future on</w:t>
      </w:r>
      <w:r>
        <w:rPr>
          <w:lang w:eastAsia="x-none"/>
        </w:rPr>
        <w:noBreakHyphen/>
        <w:t>demand transport vehicles?</w:t>
      </w:r>
    </w:p>
    <w:p w14:paraId="156C3F6D" w14:textId="59A2B765" w:rsidR="00516B13" w:rsidRDefault="00516B13" w:rsidP="00516B13">
      <w:pPr>
        <w:pStyle w:val="BodyText"/>
        <w:pBdr>
          <w:top w:val="single" w:sz="4" w:space="1" w:color="auto"/>
          <w:left w:val="single" w:sz="4" w:space="1" w:color="auto"/>
          <w:bottom w:val="single" w:sz="4" w:space="1" w:color="auto"/>
          <w:right w:val="single" w:sz="4" w:space="1" w:color="auto"/>
        </w:pBdr>
        <w:shd w:val="clear" w:color="auto" w:fill="CCC0D9" w:themeFill="accent4" w:themeFillTint="66"/>
        <w:spacing w:after="0"/>
        <w:rPr>
          <w:lang w:eastAsia="x-none"/>
        </w:rPr>
      </w:pPr>
      <w:r>
        <w:rPr>
          <w:lang w:eastAsia="x-none"/>
        </w:rPr>
        <w:t>Should the maximum age of standard taxis on registration be raised?  Should there be a maximum age of a rideshare vehicle on registration?</w:t>
      </w:r>
    </w:p>
    <w:p w14:paraId="74C9E28E" w14:textId="0AF824C8" w:rsidR="00516B13" w:rsidRDefault="00516B13" w:rsidP="00516B13">
      <w:pPr>
        <w:pStyle w:val="BodyText"/>
        <w:pBdr>
          <w:top w:val="single" w:sz="4" w:space="1" w:color="auto"/>
          <w:left w:val="single" w:sz="4" w:space="1" w:color="auto"/>
          <w:bottom w:val="single" w:sz="4" w:space="1" w:color="auto"/>
          <w:right w:val="single" w:sz="4" w:space="1" w:color="auto"/>
        </w:pBdr>
        <w:shd w:val="clear" w:color="auto" w:fill="CCC0D9" w:themeFill="accent4" w:themeFillTint="66"/>
        <w:spacing w:after="0"/>
        <w:rPr>
          <w:lang w:eastAsia="x-none"/>
        </w:rPr>
      </w:pPr>
      <w:r>
        <w:rPr>
          <w:lang w:eastAsia="x-none"/>
        </w:rPr>
        <w:t>If environmental conditions are applied, should those vehicles be included or excluded from within any regulated cap on vehicle numbers?  (For example, no regulatory cap on vehicle licences for taxis meeting environmental requirements.)</w:t>
      </w:r>
    </w:p>
    <w:p w14:paraId="00055701" w14:textId="7194815A" w:rsidR="00516B13" w:rsidRDefault="00516B13" w:rsidP="00516B13">
      <w:pPr>
        <w:pStyle w:val="BodyText"/>
        <w:pBdr>
          <w:top w:val="single" w:sz="4" w:space="1" w:color="auto"/>
          <w:left w:val="single" w:sz="4" w:space="1" w:color="auto"/>
          <w:bottom w:val="single" w:sz="4" w:space="1" w:color="auto"/>
          <w:right w:val="single" w:sz="4" w:space="1" w:color="auto"/>
        </w:pBdr>
        <w:shd w:val="clear" w:color="auto" w:fill="CCC0D9" w:themeFill="accent4" w:themeFillTint="66"/>
        <w:spacing w:after="0"/>
        <w:rPr>
          <w:lang w:eastAsia="x-none"/>
        </w:rPr>
      </w:pPr>
      <w:r>
        <w:rPr>
          <w:lang w:eastAsia="x-none"/>
        </w:rPr>
        <w:t>Would consumers be willing to accept a fare increase to facilitate environmental benefits?</w:t>
      </w:r>
    </w:p>
    <w:p w14:paraId="46DCE4DD" w14:textId="21C70E36" w:rsidR="007C62CF" w:rsidRDefault="007C62CF" w:rsidP="00877176">
      <w:pPr>
        <w:pStyle w:val="BodyText"/>
        <w:pBdr>
          <w:top w:val="single" w:sz="4" w:space="1" w:color="auto"/>
          <w:left w:val="single" w:sz="4" w:space="1" w:color="auto"/>
          <w:bottom w:val="single" w:sz="4" w:space="1" w:color="auto"/>
          <w:right w:val="single" w:sz="4" w:space="1" w:color="auto"/>
        </w:pBdr>
        <w:spacing w:before="0" w:after="0" w:line="276" w:lineRule="auto"/>
        <w:rPr>
          <w:lang w:eastAsia="x-none"/>
        </w:rPr>
      </w:pPr>
      <w:r>
        <w:br w:type="page"/>
      </w:r>
    </w:p>
    <w:p w14:paraId="361F0FB3" w14:textId="51781E2D" w:rsidR="007C62CF" w:rsidRPr="00600DF2" w:rsidRDefault="007C62CF" w:rsidP="000E5664">
      <w:pPr>
        <w:pStyle w:val="Heading1"/>
        <w:numPr>
          <w:ilvl w:val="0"/>
          <w:numId w:val="0"/>
        </w:numPr>
        <w:spacing w:after="0"/>
        <w:rPr>
          <w:color w:val="auto"/>
        </w:rPr>
      </w:pPr>
      <w:bookmarkStart w:id="305" w:name="_Toc505336867"/>
      <w:bookmarkStart w:id="306" w:name="_Toc518375113"/>
      <w:bookmarkStart w:id="307" w:name="_Toc518393118"/>
      <w:bookmarkStart w:id="308" w:name="_Toc518393401"/>
      <w:bookmarkStart w:id="309" w:name="_Toc518375114"/>
      <w:bookmarkStart w:id="310" w:name="_Toc518393119"/>
      <w:bookmarkStart w:id="311" w:name="_Toc518393402"/>
      <w:bookmarkStart w:id="312" w:name="_Toc518375125"/>
      <w:bookmarkStart w:id="313" w:name="_Toc518393130"/>
      <w:bookmarkStart w:id="314" w:name="_Toc518393413"/>
      <w:bookmarkStart w:id="315" w:name="_Toc518375129"/>
      <w:bookmarkStart w:id="316" w:name="_Toc518393134"/>
      <w:bookmarkStart w:id="317" w:name="_Toc518393417"/>
      <w:bookmarkStart w:id="318" w:name="_Toc518375130"/>
      <w:bookmarkStart w:id="319" w:name="_Toc518393135"/>
      <w:bookmarkStart w:id="320" w:name="_Toc518393418"/>
      <w:bookmarkStart w:id="321" w:name="_Toc518375167"/>
      <w:bookmarkStart w:id="322" w:name="_Toc518393172"/>
      <w:bookmarkStart w:id="323" w:name="_Toc518393455"/>
      <w:bookmarkStart w:id="324" w:name="_Toc518375168"/>
      <w:bookmarkStart w:id="325" w:name="_Toc518393173"/>
      <w:bookmarkStart w:id="326" w:name="_Toc518393456"/>
      <w:bookmarkStart w:id="327" w:name="_Toc518375169"/>
      <w:bookmarkStart w:id="328" w:name="_Toc518393174"/>
      <w:bookmarkStart w:id="329" w:name="_Toc518393457"/>
      <w:bookmarkStart w:id="330" w:name="_Toc518375172"/>
      <w:bookmarkStart w:id="331" w:name="_Toc518393177"/>
      <w:bookmarkStart w:id="332" w:name="_Toc518393460"/>
      <w:bookmarkStart w:id="333" w:name="_Toc518375173"/>
      <w:bookmarkStart w:id="334" w:name="_Toc518393178"/>
      <w:bookmarkStart w:id="335" w:name="_Toc518393461"/>
      <w:bookmarkStart w:id="336" w:name="_Toc518375178"/>
      <w:bookmarkStart w:id="337" w:name="_Toc518393183"/>
      <w:bookmarkStart w:id="338" w:name="_Toc518393466"/>
      <w:bookmarkStart w:id="339" w:name="_Toc518375180"/>
      <w:bookmarkStart w:id="340" w:name="_Toc518393185"/>
      <w:bookmarkStart w:id="341" w:name="_Toc518393468"/>
      <w:bookmarkStart w:id="342" w:name="_Toc518375183"/>
      <w:bookmarkStart w:id="343" w:name="_Toc518393188"/>
      <w:bookmarkStart w:id="344" w:name="_Toc518393471"/>
      <w:bookmarkStart w:id="345" w:name="_Toc518375184"/>
      <w:bookmarkStart w:id="346" w:name="_Toc518393189"/>
      <w:bookmarkStart w:id="347" w:name="_Toc518393472"/>
      <w:bookmarkStart w:id="348" w:name="_Toc518375185"/>
      <w:bookmarkStart w:id="349" w:name="_Toc518393190"/>
      <w:bookmarkStart w:id="350" w:name="_Toc518393473"/>
      <w:bookmarkStart w:id="351" w:name="_Toc518375186"/>
      <w:bookmarkStart w:id="352" w:name="_Toc518393191"/>
      <w:bookmarkStart w:id="353" w:name="_Toc518393474"/>
      <w:bookmarkStart w:id="354" w:name="_Toc504047800"/>
      <w:bookmarkStart w:id="355" w:name="_Toc503280446"/>
      <w:bookmarkStart w:id="356" w:name="_Toc5248924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00DF2">
        <w:rPr>
          <w:color w:val="auto"/>
        </w:rPr>
        <w:lastRenderedPageBreak/>
        <w:t>Maximum fares</w:t>
      </w:r>
      <w:bookmarkEnd w:id="355"/>
      <w:r w:rsidRPr="00600DF2">
        <w:rPr>
          <w:color w:val="auto"/>
        </w:rPr>
        <w:t xml:space="preserve"> for booked taxi services</w:t>
      </w:r>
      <w:bookmarkEnd w:id="356"/>
    </w:p>
    <w:p w14:paraId="318457E6" w14:textId="63AD3410" w:rsidR="007C62CF" w:rsidRDefault="007C62CF" w:rsidP="000E5664">
      <w:pPr>
        <w:spacing w:before="0" w:after="0"/>
      </w:pPr>
    </w:p>
    <w:p w14:paraId="08AF45EC" w14:textId="0D798009" w:rsidR="007C62CF" w:rsidRDefault="007C62CF">
      <w:r w:rsidRPr="00823BC3">
        <w:t xml:space="preserve">Fare levels offer </w:t>
      </w:r>
      <w:r>
        <w:t>a readily</w:t>
      </w:r>
      <w:r w:rsidRPr="00823BC3">
        <w:t xml:space="preserve"> identifiable </w:t>
      </w:r>
      <w:r>
        <w:t>measure of outcomes</w:t>
      </w:r>
      <w:r w:rsidRPr="00823BC3">
        <w:t xml:space="preserve"> for consumers using on</w:t>
      </w:r>
      <w:r>
        <w:noBreakHyphen/>
      </w:r>
      <w:r w:rsidRPr="00823BC3">
        <w:t xml:space="preserve">demand transport.  </w:t>
      </w:r>
    </w:p>
    <w:p w14:paraId="01632A3A" w14:textId="79F317A4" w:rsidR="007C62CF" w:rsidRPr="00814D5C" w:rsidRDefault="007C62CF" w:rsidP="00814D5C">
      <w:pPr>
        <w:pStyle w:val="Heading2"/>
        <w:numPr>
          <w:ilvl w:val="0"/>
          <w:numId w:val="0"/>
        </w:numPr>
        <w:spacing w:after="0"/>
        <w:rPr>
          <w:b/>
        </w:rPr>
      </w:pPr>
      <w:bookmarkStart w:id="357" w:name="_Toc519239538"/>
      <w:bookmarkStart w:id="358" w:name="_Toc505336874"/>
      <w:bookmarkStart w:id="359" w:name="_Toc524892405"/>
      <w:bookmarkEnd w:id="357"/>
      <w:bookmarkEnd w:id="358"/>
      <w:r w:rsidRPr="00600DF2">
        <w:rPr>
          <w:b/>
          <w:color w:val="auto"/>
        </w:rPr>
        <w:t>Regulation</w:t>
      </w:r>
      <w:bookmarkEnd w:id="359"/>
      <w:r w:rsidRPr="00600DF2">
        <w:rPr>
          <w:b/>
          <w:color w:val="auto"/>
        </w:rPr>
        <w:t xml:space="preserve"> </w:t>
      </w:r>
      <w:r w:rsidRPr="00814D5C">
        <w:rPr>
          <w:b/>
        </w:rPr>
        <w:t xml:space="preserve"> </w:t>
      </w:r>
    </w:p>
    <w:p w14:paraId="5457B36F" w14:textId="526280D2" w:rsidR="007C62CF" w:rsidRDefault="007C62CF">
      <w:r w:rsidRPr="00823BC3">
        <w:t xml:space="preserve">Taxi fares </w:t>
      </w:r>
      <w:r>
        <w:t xml:space="preserve">in the ACT </w:t>
      </w:r>
      <w:r w:rsidRPr="00823BC3">
        <w:t>are subject to regulated maximum pricing.</w:t>
      </w:r>
      <w:r w:rsidRPr="00A37410">
        <w:rPr>
          <w:vertAlign w:val="superscript"/>
        </w:rPr>
        <w:endnoteReference w:id="5"/>
      </w:r>
      <w:r w:rsidRPr="00A37410">
        <w:rPr>
          <w:vertAlign w:val="superscript"/>
        </w:rPr>
        <w:t xml:space="preserve"> </w:t>
      </w:r>
      <w:r w:rsidRPr="00823BC3">
        <w:t xml:space="preserve"> </w:t>
      </w:r>
      <w:r>
        <w:t>The maximum amounts are determined through ‘fare reviews’ using a cost-centred formula</w:t>
      </w:r>
      <w:r w:rsidR="00C2577D">
        <w:t>:</w:t>
      </w:r>
      <w:r>
        <w:t xml:space="preserve"> the Taxi Cost Composite Index (TCCI).</w:t>
      </w:r>
    </w:p>
    <w:p w14:paraId="1A711460" w14:textId="77777777" w:rsidR="00814D5C" w:rsidRPr="00823BC3" w:rsidRDefault="00814D5C" w:rsidP="00814D5C">
      <w:pPr>
        <w:spacing w:after="0"/>
      </w:pPr>
    </w:p>
    <w:p w14:paraId="5A5EDD74" w14:textId="6F2730A4" w:rsidR="007C62CF" w:rsidRPr="00823BC3" w:rsidRDefault="007C62CF" w:rsidP="003A5ACD">
      <w:pPr>
        <w:spacing w:before="0" w:after="240"/>
      </w:pPr>
      <w:r w:rsidRPr="00823BC3">
        <w:t>Fares for hire cars and rideshare are</w:t>
      </w:r>
      <w:r w:rsidR="00C2577D">
        <w:t>,</w:t>
      </w:r>
      <w:r w:rsidRPr="00823BC3">
        <w:t xml:space="preserve"> </w:t>
      </w:r>
      <w:r>
        <w:t>for the most part</w:t>
      </w:r>
      <w:r w:rsidR="00C2577D">
        <w:t>,</w:t>
      </w:r>
      <w:r>
        <w:t xml:space="preserve"> </w:t>
      </w:r>
      <w:r w:rsidRPr="00823BC3">
        <w:t xml:space="preserve">not regulated. </w:t>
      </w:r>
      <w:r>
        <w:t xml:space="preserve"> </w:t>
      </w:r>
      <w:r w:rsidRPr="00823BC3">
        <w:t>However, some fare components are regulated to ensure consumer accessibility for services and prevention of price gouging – such as jump-the-queue pricing</w:t>
      </w:r>
      <w:r>
        <w:t>,</w:t>
      </w:r>
      <w:r w:rsidRPr="00823BC3">
        <w:t xml:space="preserve"> upfront tipping, and surge pricing during emergencies.  </w:t>
      </w:r>
      <w:r>
        <w:t>Consumers are assisted by requirements for fare estimates to be provided at the time of booking a trip.</w:t>
      </w:r>
    </w:p>
    <w:p w14:paraId="372C365A" w14:textId="22472E6A" w:rsidR="007C62CF" w:rsidRPr="00600DF2" w:rsidRDefault="007C62CF" w:rsidP="00C07E5B">
      <w:pPr>
        <w:pStyle w:val="Heading4"/>
        <w:numPr>
          <w:ilvl w:val="0"/>
          <w:numId w:val="0"/>
        </w:numPr>
        <w:ind w:left="426" w:hanging="426"/>
        <w:rPr>
          <w:b/>
          <w:color w:val="auto"/>
        </w:rPr>
      </w:pPr>
      <w:bookmarkStart w:id="360" w:name="_Toc524892406"/>
      <w:r w:rsidRPr="00600DF2">
        <w:rPr>
          <w:b/>
          <w:color w:val="auto"/>
        </w:rPr>
        <w:t>Fare review</w:t>
      </w:r>
      <w:bookmarkEnd w:id="360"/>
    </w:p>
    <w:p w14:paraId="362DDF55" w14:textId="2C83E165" w:rsidR="007C62CF" w:rsidRPr="00823BC3" w:rsidRDefault="007C62CF">
      <w:r w:rsidRPr="00823BC3">
        <w:t xml:space="preserve">In </w:t>
      </w:r>
      <w:r>
        <w:t>2017</w:t>
      </w:r>
      <w:r w:rsidRPr="00823BC3">
        <w:t>,</w:t>
      </w:r>
      <w:r>
        <w:t xml:space="preserve"> the</w:t>
      </w:r>
      <w:r w:rsidRPr="00823BC3">
        <w:t xml:space="preserve"> Justice and Community Safety Directorate (JACS</w:t>
      </w:r>
      <w:r>
        <w:t>D</w:t>
      </w:r>
      <w:r w:rsidRPr="00823BC3">
        <w:t xml:space="preserve">) commissioned PSI Asia Pacific Pty Ltd </w:t>
      </w:r>
      <w:r>
        <w:t xml:space="preserve">(PSI) </w:t>
      </w:r>
      <w:r w:rsidRPr="00823BC3">
        <w:t>to undertake a taxi fare review. The review did not recommend a change in current maximum fare levels</w:t>
      </w:r>
      <w:r>
        <w:t xml:space="preserve"> based on the application of the TCCI</w:t>
      </w:r>
      <w:r w:rsidRPr="00823BC3">
        <w:t xml:space="preserve">. </w:t>
      </w:r>
    </w:p>
    <w:p w14:paraId="04D2A263" w14:textId="1229A28E" w:rsidR="007C62CF" w:rsidRDefault="007C62CF" w:rsidP="003A5ACD">
      <w:pPr>
        <w:spacing w:after="0"/>
      </w:pPr>
      <w:r>
        <w:t>Having no change</w:t>
      </w:r>
      <w:r w:rsidRPr="00823BC3">
        <w:t xml:space="preserve"> </w:t>
      </w:r>
      <w:r>
        <w:t xml:space="preserve">in </w:t>
      </w:r>
      <w:r w:rsidRPr="00823BC3">
        <w:t xml:space="preserve">maximum taxi fares represents a decrease in real costs to consumers over time. </w:t>
      </w:r>
      <w:r w:rsidR="003A5ACD">
        <w:t xml:space="preserve"> </w:t>
      </w:r>
      <w:r>
        <w:t>During the evaluation, t</w:t>
      </w:r>
      <w:r w:rsidRPr="00823BC3">
        <w:t xml:space="preserve">he CIE </w:t>
      </w:r>
      <w:r>
        <w:t xml:space="preserve">did suggest </w:t>
      </w:r>
      <w:r w:rsidRPr="00823BC3">
        <w:t xml:space="preserve">a decrease in fares to recognise reduced costs for industry suppliers as part of the </w:t>
      </w:r>
      <w:r>
        <w:t>r</w:t>
      </w:r>
      <w:r w:rsidRPr="00823BC3">
        <w:t>eforms</w:t>
      </w:r>
      <w:r>
        <w:t xml:space="preserve"> based on its modelling</w:t>
      </w:r>
      <w:r w:rsidRPr="00823BC3">
        <w:t xml:space="preserve">. </w:t>
      </w:r>
    </w:p>
    <w:p w14:paraId="624DE22C" w14:textId="77777777" w:rsidR="003A5ACD" w:rsidRDefault="003A5ACD" w:rsidP="003A5ACD">
      <w:pPr>
        <w:spacing w:after="0"/>
      </w:pPr>
    </w:p>
    <w:p w14:paraId="15AE4C69" w14:textId="5AC87F31" w:rsidR="007C62CF" w:rsidRPr="00600DF2" w:rsidRDefault="007C62CF" w:rsidP="00814D5C">
      <w:pPr>
        <w:pStyle w:val="Heading2"/>
        <w:numPr>
          <w:ilvl w:val="0"/>
          <w:numId w:val="0"/>
        </w:numPr>
        <w:spacing w:before="0"/>
        <w:rPr>
          <w:b/>
          <w:color w:val="auto"/>
        </w:rPr>
      </w:pPr>
      <w:bookmarkStart w:id="361" w:name="_Toc519239541"/>
      <w:bookmarkStart w:id="362" w:name="_Toc524892407"/>
      <w:bookmarkEnd w:id="361"/>
      <w:r w:rsidRPr="00600DF2">
        <w:rPr>
          <w:b/>
          <w:color w:val="auto"/>
        </w:rPr>
        <w:t>Market</w:t>
      </w:r>
      <w:bookmarkEnd w:id="362"/>
    </w:p>
    <w:p w14:paraId="116F698A" w14:textId="311F1210" w:rsidR="007C62CF" w:rsidRPr="00600DF2" w:rsidRDefault="007C62CF" w:rsidP="00814D5C">
      <w:pPr>
        <w:pStyle w:val="Heading4"/>
        <w:numPr>
          <w:ilvl w:val="0"/>
          <w:numId w:val="0"/>
        </w:numPr>
        <w:spacing w:before="0"/>
        <w:rPr>
          <w:b/>
          <w:color w:val="auto"/>
        </w:rPr>
      </w:pPr>
      <w:bookmarkStart w:id="363" w:name="_Toc524892408"/>
      <w:r w:rsidRPr="00600DF2">
        <w:rPr>
          <w:b/>
          <w:color w:val="auto"/>
        </w:rPr>
        <w:t>What does a maximum fare limit do?</w:t>
      </w:r>
      <w:bookmarkEnd w:id="363"/>
    </w:p>
    <w:p w14:paraId="7A307C57" w14:textId="0E51D431" w:rsidR="007C62CF" w:rsidRDefault="007C62CF" w:rsidP="006F56E9">
      <w:pPr>
        <w:spacing w:after="240"/>
      </w:pPr>
      <w:r>
        <w:t>It means that taxis can only charge fares up to the regulated prices.  For example, a taxi could offer discounts or have a regular fare price below the maximum.</w:t>
      </w:r>
    </w:p>
    <w:p w14:paraId="6D1C78AF" w14:textId="4D82050E" w:rsidR="007C62CF" w:rsidRDefault="00337324" w:rsidP="006F56E9">
      <w:pPr>
        <w:spacing w:after="240"/>
        <w:rPr>
          <w:rFonts w:ascii="Arial" w:hAnsi="Arial"/>
          <w:bCs/>
          <w:color w:val="482D8C"/>
          <w:szCs w:val="28"/>
        </w:rPr>
      </w:pPr>
      <w:r>
        <w:t xml:space="preserve">Depending on market conditions, </w:t>
      </w:r>
      <w:r w:rsidR="007C62CF">
        <w:t xml:space="preserve">consumers </w:t>
      </w:r>
      <w:r>
        <w:t>c</w:t>
      </w:r>
      <w:r w:rsidR="007C62CF">
        <w:t xml:space="preserve">ould </w:t>
      </w:r>
      <w:r>
        <w:t>pay</w:t>
      </w:r>
      <w:r w:rsidR="007C62CF">
        <w:t xml:space="preserve"> more</w:t>
      </w:r>
      <w:r w:rsidR="0017195C">
        <w:t xml:space="preserve"> per trip</w:t>
      </w:r>
      <w:r>
        <w:t xml:space="preserve"> if the maximum prices are set at higher level</w:t>
      </w:r>
      <w:r w:rsidR="007C62CF">
        <w:t xml:space="preserve">. </w:t>
      </w:r>
      <w:r>
        <w:t>Under such an adjustment, t</w:t>
      </w:r>
      <w:r w:rsidR="007C62CF">
        <w:t xml:space="preserve">axi drivers and operators </w:t>
      </w:r>
      <w:r>
        <w:t>c</w:t>
      </w:r>
      <w:r w:rsidR="007C62CF">
        <w:t>ould be the direct beneficiaries.</w:t>
      </w:r>
      <w:r w:rsidR="0017195C">
        <w:t xml:space="preserve">  </w:t>
      </w:r>
      <w:r w:rsidR="007C62CF">
        <w:t>If the maximum prices are set too low</w:t>
      </w:r>
      <w:r w:rsidR="00C2577D">
        <w:t>,</w:t>
      </w:r>
      <w:r w:rsidR="007C62CF">
        <w:t xml:space="preserve"> the viability of taxi services could be reduced, leading to providers </w:t>
      </w:r>
      <w:r>
        <w:t xml:space="preserve">exiting </w:t>
      </w:r>
      <w:r w:rsidR="007C62CF">
        <w:t>the industry.</w:t>
      </w:r>
    </w:p>
    <w:p w14:paraId="6A33837A" w14:textId="5CEB6CD4" w:rsidR="007C62CF" w:rsidRPr="00600DF2" w:rsidRDefault="007C62CF" w:rsidP="00C07E5B">
      <w:pPr>
        <w:pStyle w:val="Heading4"/>
        <w:numPr>
          <w:ilvl w:val="0"/>
          <w:numId w:val="0"/>
        </w:numPr>
        <w:rPr>
          <w:b/>
          <w:color w:val="auto"/>
        </w:rPr>
      </w:pPr>
      <w:bookmarkStart w:id="364" w:name="_Toc524892409"/>
      <w:r w:rsidRPr="00600DF2">
        <w:rPr>
          <w:b/>
          <w:color w:val="auto"/>
        </w:rPr>
        <w:t>Why limit taxi fare prices?</w:t>
      </w:r>
      <w:bookmarkEnd w:id="364"/>
    </w:p>
    <w:p w14:paraId="605F5292" w14:textId="48EBAA84" w:rsidR="007C62CF" w:rsidRDefault="007C62CF" w:rsidP="006F56E9">
      <w:pPr>
        <w:spacing w:after="240"/>
      </w:pPr>
      <w:r>
        <w:t>The ACT taxi market has historically been highly regulated</w:t>
      </w:r>
      <w:r w:rsidR="0017195C">
        <w:t xml:space="preserve">, which </w:t>
      </w:r>
      <w:r>
        <w:t xml:space="preserve">can impact on pricing to consumers.  If supply does not match demand, taxi services can be ‘rationed by price’ (e.g. higher prices can reduce demand) or availability (e.g. how long customers wait). </w:t>
      </w:r>
    </w:p>
    <w:p w14:paraId="6FC11264" w14:textId="6FF25BBB" w:rsidR="007C62CF" w:rsidRDefault="007C62CF" w:rsidP="006F56E9">
      <w:pPr>
        <w:spacing w:after="240"/>
      </w:pPr>
      <w:r>
        <w:t>The ACT has traditionally only had one main TBS, which has meant there has not been competition from other providers to keep prices in check.</w:t>
      </w:r>
    </w:p>
    <w:p w14:paraId="2D952DE3" w14:textId="72EF511E" w:rsidR="007C62CF" w:rsidRPr="00600DF2" w:rsidRDefault="007C62CF" w:rsidP="00C07E5B">
      <w:pPr>
        <w:pStyle w:val="Heading4"/>
        <w:numPr>
          <w:ilvl w:val="0"/>
          <w:numId w:val="0"/>
        </w:numPr>
        <w:rPr>
          <w:b/>
          <w:color w:val="auto"/>
        </w:rPr>
      </w:pPr>
      <w:bookmarkStart w:id="365" w:name="_Toc524892410"/>
      <w:r w:rsidRPr="00600DF2">
        <w:rPr>
          <w:b/>
          <w:color w:val="auto"/>
        </w:rPr>
        <w:lastRenderedPageBreak/>
        <w:t>What has been the impact in the ACT?</w:t>
      </w:r>
      <w:bookmarkEnd w:id="365"/>
    </w:p>
    <w:p w14:paraId="6207DA44" w14:textId="13F95ACE" w:rsidR="007C62CF" w:rsidRDefault="007C62CF" w:rsidP="006F56E9">
      <w:pPr>
        <w:spacing w:after="240"/>
      </w:pPr>
      <w:r>
        <w:t>Regulated t</w:t>
      </w:r>
      <w:r w:rsidRPr="00C07E5B">
        <w:t xml:space="preserve">axi fare levels have </w:t>
      </w:r>
      <w:r>
        <w:t xml:space="preserve">been unchanged since the </w:t>
      </w:r>
      <w:r w:rsidR="0017195C">
        <w:t xml:space="preserve">ACT </w:t>
      </w:r>
      <w:r>
        <w:t>Government’s reforms.  The last review conducted in late 2017 did not support a change.</w:t>
      </w:r>
    </w:p>
    <w:p w14:paraId="0D9F0C71" w14:textId="592C9E93" w:rsidR="007C62CF" w:rsidRDefault="007C62CF" w:rsidP="00FF491A">
      <w:r>
        <w:t xml:space="preserve">Consumers have quickly taken up rideshare services, whose prices </w:t>
      </w:r>
      <w:r w:rsidR="00A86BB3">
        <w:t xml:space="preserve">are </w:t>
      </w:r>
      <w:r>
        <w:t xml:space="preserve">set by private providers rather than </w:t>
      </w:r>
      <w:r w:rsidR="00813429">
        <w:t xml:space="preserve">by </w:t>
      </w:r>
      <w:r w:rsidR="00A86BB3">
        <w:t xml:space="preserve">the </w:t>
      </w:r>
      <w:r>
        <w:t>market.  Consumer surveys have indicated that the travelling public is generally happy with the price and quality outcomes.</w:t>
      </w:r>
    </w:p>
    <w:p w14:paraId="13DDBED7" w14:textId="29AD0B1E" w:rsidR="007C62CF" w:rsidRPr="00600DF2" w:rsidRDefault="007C62CF" w:rsidP="00FF491A">
      <w:pPr>
        <w:pStyle w:val="Heading4"/>
        <w:numPr>
          <w:ilvl w:val="0"/>
          <w:numId w:val="0"/>
        </w:numPr>
        <w:rPr>
          <w:b/>
          <w:color w:val="auto"/>
        </w:rPr>
      </w:pPr>
      <w:bookmarkStart w:id="366" w:name="_Toc524892411"/>
      <w:r w:rsidRPr="00600DF2">
        <w:rPr>
          <w:b/>
          <w:color w:val="auto"/>
        </w:rPr>
        <w:t>What do you think is the best way moving forward?</w:t>
      </w:r>
      <w:bookmarkEnd w:id="366"/>
    </w:p>
    <w:p w14:paraId="5189F14A" w14:textId="0B18E03B" w:rsidR="007C62CF" w:rsidRDefault="007C62CF" w:rsidP="00C07E5B">
      <w:pPr>
        <w:spacing w:before="0" w:after="240"/>
      </w:pPr>
      <w:r>
        <w:t xml:space="preserve">Effective competition is needed to allow for deregulation.  </w:t>
      </w:r>
      <w:r w:rsidRPr="003415C5">
        <w:t xml:space="preserve">Competition in the market can act to ensure that there is downward pressure on prices for consumers.   </w:t>
      </w:r>
      <w:r>
        <w:t xml:space="preserve"> </w:t>
      </w:r>
    </w:p>
    <w:p w14:paraId="4EE1C1FE" w14:textId="56C8A45F" w:rsidR="007C62CF" w:rsidRPr="00600DF2" w:rsidRDefault="007C62CF" w:rsidP="00C07E5B">
      <w:pPr>
        <w:pStyle w:val="Heading5"/>
        <w:rPr>
          <w:b/>
          <w:color w:val="auto"/>
        </w:rPr>
      </w:pPr>
      <w:r w:rsidRPr="00600DF2">
        <w:rPr>
          <w:b/>
          <w:color w:val="auto"/>
        </w:rPr>
        <w:t>Stakeholders</w:t>
      </w:r>
    </w:p>
    <w:p w14:paraId="518512BC" w14:textId="19D98AB9" w:rsidR="007C62CF" w:rsidRPr="00600DF2" w:rsidRDefault="007C62CF" w:rsidP="00C07E5B">
      <w:pPr>
        <w:pStyle w:val="Heading6"/>
        <w:rPr>
          <w:b/>
          <w:color w:val="auto"/>
        </w:rPr>
      </w:pPr>
      <w:bookmarkStart w:id="367" w:name="_Toc504056195"/>
      <w:bookmarkEnd w:id="367"/>
      <w:r w:rsidRPr="00600DF2">
        <w:rPr>
          <w:b/>
          <w:color w:val="auto"/>
        </w:rPr>
        <w:t>Consumers – Booked services</w:t>
      </w:r>
    </w:p>
    <w:p w14:paraId="22CCBD31" w14:textId="048C2DF6" w:rsidR="007C62CF" w:rsidRDefault="007C62CF" w:rsidP="006F56E9">
      <w:r w:rsidRPr="00823BC3">
        <w:t xml:space="preserve">Deregulation of maximum </w:t>
      </w:r>
      <w:r>
        <w:t xml:space="preserve">taxi </w:t>
      </w:r>
      <w:r w:rsidRPr="00823BC3">
        <w:t xml:space="preserve">fares </w:t>
      </w:r>
      <w:r>
        <w:t xml:space="preserve">for booked services </w:t>
      </w:r>
      <w:r w:rsidRPr="00823BC3">
        <w:t xml:space="preserve">would permit </w:t>
      </w:r>
      <w:r w:rsidR="005056C5">
        <w:t xml:space="preserve">potentially </w:t>
      </w:r>
      <w:r w:rsidRPr="00823BC3">
        <w:t xml:space="preserve">higher prices to consumers.  </w:t>
      </w:r>
      <w:r>
        <w:t>Whether, or when, that would actually occur would depend on market conditions.</w:t>
      </w:r>
    </w:p>
    <w:p w14:paraId="31910CE0" w14:textId="1683E484" w:rsidR="007C62CF" w:rsidRPr="00823BC3" w:rsidRDefault="007C62CF" w:rsidP="006F56E9">
      <w:r w:rsidRPr="00823BC3">
        <w:t xml:space="preserve">Currently, taxis can set prices at </w:t>
      </w:r>
      <w:r>
        <w:t xml:space="preserve">a </w:t>
      </w:r>
      <w:r w:rsidRPr="00823BC3">
        <w:t xml:space="preserve">lower </w:t>
      </w:r>
      <w:r>
        <w:t xml:space="preserve">level </w:t>
      </w:r>
      <w:r w:rsidRPr="00823BC3">
        <w:t xml:space="preserve">than the </w:t>
      </w:r>
      <w:r>
        <w:t xml:space="preserve">prescribed </w:t>
      </w:r>
      <w:r w:rsidRPr="00823BC3">
        <w:t>maximum</w:t>
      </w:r>
      <w:r>
        <w:t>.</w:t>
      </w:r>
      <w:r w:rsidRPr="00736354">
        <w:rPr>
          <w:vertAlign w:val="superscript"/>
        </w:rPr>
        <w:endnoteReference w:id="6"/>
      </w:r>
      <w:r w:rsidRPr="00823BC3">
        <w:t xml:space="preserve">  </w:t>
      </w:r>
      <w:r w:rsidR="005056C5">
        <w:t>E</w:t>
      </w:r>
      <w:r w:rsidRPr="00823BC3">
        <w:t xml:space="preserve">merging evidence of taxis undertaking some price competition under the regulated maximum appeared late in the </w:t>
      </w:r>
      <w:r>
        <w:t>e</w:t>
      </w:r>
      <w:r w:rsidRPr="00823BC3">
        <w:t xml:space="preserve">valuation. </w:t>
      </w:r>
      <w:r>
        <w:t xml:space="preserve"> </w:t>
      </w:r>
    </w:p>
    <w:p w14:paraId="43667E53" w14:textId="78312FA7" w:rsidR="007C62CF" w:rsidRDefault="007C62CF" w:rsidP="005F2F05">
      <w:pPr>
        <w:spacing w:after="0"/>
      </w:pPr>
      <w:r>
        <w:t>Consistent with requirements on rideshare services in the ACT, fare estimates prior to the consumer</w:t>
      </w:r>
      <w:r w:rsidR="001763B9">
        <w:t>’</w:t>
      </w:r>
      <w:r>
        <w:t xml:space="preserve">s acceptance of a hiring would be needed to support consumer decision making.  </w:t>
      </w:r>
    </w:p>
    <w:p w14:paraId="1782507A" w14:textId="77777777" w:rsidR="005F2F05" w:rsidRDefault="005F2F05" w:rsidP="005F2F05">
      <w:pPr>
        <w:spacing w:after="0"/>
      </w:pPr>
    </w:p>
    <w:p w14:paraId="031182BB" w14:textId="64890091" w:rsidR="007C62CF" w:rsidRPr="00600DF2" w:rsidRDefault="007C62CF" w:rsidP="00C07E5B">
      <w:pPr>
        <w:pStyle w:val="Heading6"/>
        <w:rPr>
          <w:b/>
          <w:color w:val="auto"/>
        </w:rPr>
      </w:pPr>
      <w:r w:rsidRPr="00600DF2">
        <w:rPr>
          <w:b/>
          <w:color w:val="auto"/>
        </w:rPr>
        <w:t>Consumers – Rank and hail</w:t>
      </w:r>
    </w:p>
    <w:p w14:paraId="4555CCD5" w14:textId="731D95A9" w:rsidR="007C62CF" w:rsidRPr="00823BC3" w:rsidRDefault="007C62CF">
      <w:r w:rsidRPr="006F6FD7">
        <w:t>During the initial</w:t>
      </w:r>
      <w:r>
        <w:t xml:space="preserve"> 2015</w:t>
      </w:r>
      <w:r w:rsidRPr="006F6FD7">
        <w:t xml:space="preserve"> Review</w:t>
      </w:r>
      <w:r w:rsidRPr="006F6FD7">
        <w:rPr>
          <w:vertAlign w:val="superscript"/>
        </w:rPr>
        <w:endnoteReference w:id="7"/>
      </w:r>
      <w:r>
        <w:t>,</w:t>
      </w:r>
      <w:r w:rsidRPr="006F6FD7">
        <w:t xml:space="preserve"> the limited ability to compare prices due to a lack of consumer information in rank and hail transactions was noted and</w:t>
      </w:r>
      <w:r w:rsidRPr="00823BC3">
        <w:t xml:space="preserve"> recognised in the recommendation for regulated fares to remain for rank and hail services.</w:t>
      </w:r>
      <w:r>
        <w:t xml:space="preserve">  The (lack of) availability of taxis at particular locations can also limit consumer options. </w:t>
      </w:r>
    </w:p>
    <w:p w14:paraId="1A95DE45" w14:textId="6271376C" w:rsidR="007C62CF" w:rsidRPr="00823BC3" w:rsidRDefault="007C62CF">
      <w:r w:rsidRPr="00823BC3">
        <w:t xml:space="preserve">While market conditions suggest some substitution between rideshare and hire car, </w:t>
      </w:r>
      <w:r>
        <w:t>there have</w:t>
      </w:r>
      <w:r w:rsidRPr="00823BC3">
        <w:t xml:space="preserve"> not been</w:t>
      </w:r>
      <w:r>
        <w:t xml:space="preserve"> </w:t>
      </w:r>
      <w:r w:rsidRPr="00823BC3">
        <w:t>any actions to address the limit</w:t>
      </w:r>
      <w:r>
        <w:t>s</w:t>
      </w:r>
      <w:r w:rsidRPr="00823BC3">
        <w:t xml:space="preserve"> for the consumer to shop around.</w:t>
      </w:r>
    </w:p>
    <w:p w14:paraId="70A883DD" w14:textId="77777777" w:rsidR="005F2F05" w:rsidRDefault="007C62CF" w:rsidP="005F2F05">
      <w:pPr>
        <w:spacing w:after="0"/>
      </w:pPr>
      <w:r w:rsidRPr="00823BC3">
        <w:t xml:space="preserve">Deregulation of fares for rank and hail would also potentially promote the issue of driver behaviour and touting, which are generally viewed negatively by consumers and the public. </w:t>
      </w:r>
    </w:p>
    <w:p w14:paraId="0679200F" w14:textId="0BD79CD7" w:rsidR="007C62CF" w:rsidRPr="00F37DC9" w:rsidRDefault="007C62CF" w:rsidP="005F2F05">
      <w:pPr>
        <w:spacing w:after="0"/>
      </w:pPr>
      <w:r w:rsidRPr="00823BC3">
        <w:t xml:space="preserve"> </w:t>
      </w:r>
    </w:p>
    <w:p w14:paraId="0713EFFC" w14:textId="67965C95" w:rsidR="007C62CF" w:rsidRPr="00600DF2" w:rsidRDefault="007C62CF" w:rsidP="00C07E5B">
      <w:pPr>
        <w:pStyle w:val="Heading6"/>
        <w:rPr>
          <w:b/>
          <w:color w:val="auto"/>
        </w:rPr>
      </w:pPr>
      <w:r w:rsidRPr="00600DF2">
        <w:rPr>
          <w:b/>
          <w:color w:val="auto"/>
        </w:rPr>
        <w:t>Consumers – Vulnerable users</w:t>
      </w:r>
    </w:p>
    <w:p w14:paraId="22EA55B7" w14:textId="3599D0B8" w:rsidR="007C62CF" w:rsidRPr="00823BC3" w:rsidRDefault="007C62CF">
      <w:r w:rsidRPr="00823BC3">
        <w:t>Deregulation of maximum fares may affect access to transport services as it may result in higher fares</w:t>
      </w:r>
      <w:r>
        <w:t>.  This would</w:t>
      </w:r>
      <w:r w:rsidRPr="00823BC3">
        <w:t xml:space="preserve"> lower affordability for vulnerable persons and those living with disabilities that are reliant on the community safety net provided by taxi services.  </w:t>
      </w:r>
    </w:p>
    <w:p w14:paraId="43D1A087" w14:textId="69E5A56E" w:rsidR="007C62CF" w:rsidRPr="00823BC3" w:rsidRDefault="007C62CF" w:rsidP="00736354">
      <w:r w:rsidRPr="00823BC3">
        <w:t>The ACT currently recognises a range of persons for transport concession</w:t>
      </w:r>
      <w:r>
        <w:t>s</w:t>
      </w:r>
      <w:r w:rsidR="00745CC0">
        <w:t>.  Any participants in these programs, below, who use taxis could be materially impacted by a rise in taxi fares:</w:t>
      </w:r>
      <w:r w:rsidRPr="00823BC3">
        <w:t xml:space="preserve"> </w:t>
      </w:r>
    </w:p>
    <w:p w14:paraId="3504FD03" w14:textId="0270D27A" w:rsidR="007C62CF" w:rsidRPr="004450D0" w:rsidRDefault="007C62CF" w:rsidP="0006335F">
      <w:pPr>
        <w:pStyle w:val="Bullet2"/>
        <w:spacing w:before="0"/>
      </w:pPr>
      <w:r>
        <w:rPr>
          <w:rFonts w:eastAsia="Calibri"/>
        </w:rPr>
        <w:t>Special Needs</w:t>
      </w:r>
      <w:r w:rsidRPr="00823BC3">
        <w:rPr>
          <w:rFonts w:eastAsia="Calibri"/>
        </w:rPr>
        <w:t xml:space="preserve"> Transport </w:t>
      </w:r>
      <w:r>
        <w:rPr>
          <w:rFonts w:eastAsia="Calibri"/>
        </w:rPr>
        <w:t>Assistance Program;</w:t>
      </w:r>
      <w:r w:rsidRPr="00823BC3">
        <w:rPr>
          <w:rFonts w:eastAsia="Calibri"/>
        </w:rPr>
        <w:t xml:space="preserve"> </w:t>
      </w:r>
    </w:p>
    <w:p w14:paraId="5C083D59" w14:textId="1B6B2A2B" w:rsidR="007C62CF" w:rsidRPr="00823BC3" w:rsidRDefault="007C62CF" w:rsidP="0006335F">
      <w:pPr>
        <w:pStyle w:val="Bullet2"/>
        <w:spacing w:before="0"/>
      </w:pPr>
      <w:r w:rsidRPr="00823BC3">
        <w:rPr>
          <w:rFonts w:eastAsia="Calibri"/>
        </w:rPr>
        <w:t>WAT priority services</w:t>
      </w:r>
      <w:r>
        <w:rPr>
          <w:rFonts w:eastAsia="Calibri"/>
        </w:rPr>
        <w:t>;</w:t>
      </w:r>
      <w:r w:rsidRPr="00823BC3">
        <w:rPr>
          <w:rFonts w:eastAsia="Calibri"/>
        </w:rPr>
        <w:t xml:space="preserve"> </w:t>
      </w:r>
    </w:p>
    <w:p w14:paraId="43266529" w14:textId="2B667DDA" w:rsidR="007C62CF" w:rsidRPr="00823BC3" w:rsidRDefault="007C62CF" w:rsidP="0006335F">
      <w:pPr>
        <w:pStyle w:val="Bullet2"/>
        <w:spacing w:before="0"/>
      </w:pPr>
      <w:r w:rsidRPr="00823BC3">
        <w:rPr>
          <w:rFonts w:eastAsia="Calibri"/>
        </w:rPr>
        <w:t>Taxi Subsidy Scheme (TSS) Smartcard</w:t>
      </w:r>
      <w:r>
        <w:rPr>
          <w:rFonts w:eastAsia="Calibri"/>
        </w:rPr>
        <w:t>;</w:t>
      </w:r>
    </w:p>
    <w:p w14:paraId="3303A9F7" w14:textId="3D474B0B" w:rsidR="007C62CF" w:rsidRPr="00823BC3" w:rsidRDefault="007C62CF" w:rsidP="0006335F">
      <w:pPr>
        <w:pStyle w:val="Bullet2"/>
        <w:spacing w:before="0"/>
      </w:pPr>
      <w:r w:rsidRPr="00823BC3">
        <w:rPr>
          <w:rFonts w:eastAsia="Calibri"/>
        </w:rPr>
        <w:t xml:space="preserve">Pension Concession Card (primary) – issued by </w:t>
      </w:r>
      <w:r>
        <w:rPr>
          <w:rFonts w:eastAsia="Calibri"/>
        </w:rPr>
        <w:t>t</w:t>
      </w:r>
      <w:r w:rsidRPr="00823BC3">
        <w:rPr>
          <w:rFonts w:eastAsia="Calibri"/>
        </w:rPr>
        <w:t>he Department of Human Services</w:t>
      </w:r>
      <w:r>
        <w:rPr>
          <w:rFonts w:eastAsia="Calibri"/>
        </w:rPr>
        <w:t>;</w:t>
      </w:r>
    </w:p>
    <w:p w14:paraId="2E9C3AEE" w14:textId="7316ABBA" w:rsidR="007C62CF" w:rsidRPr="00823BC3" w:rsidRDefault="007C62CF" w:rsidP="0006335F">
      <w:pPr>
        <w:pStyle w:val="Bullet2"/>
        <w:spacing w:before="0"/>
      </w:pPr>
      <w:r w:rsidRPr="00823BC3">
        <w:rPr>
          <w:rFonts w:eastAsia="Calibri"/>
        </w:rPr>
        <w:t xml:space="preserve">Health Care Card (primary) – issued by </w:t>
      </w:r>
      <w:r>
        <w:rPr>
          <w:rFonts w:eastAsia="Calibri"/>
        </w:rPr>
        <w:t>t</w:t>
      </w:r>
      <w:r w:rsidRPr="00823BC3">
        <w:rPr>
          <w:rFonts w:eastAsia="Calibri"/>
        </w:rPr>
        <w:t>he Department of Human Services</w:t>
      </w:r>
      <w:r>
        <w:rPr>
          <w:rFonts w:eastAsia="Calibri"/>
        </w:rPr>
        <w:t>;</w:t>
      </w:r>
    </w:p>
    <w:p w14:paraId="3A8D79E7" w14:textId="47C70165" w:rsidR="007C62CF" w:rsidRPr="00823BC3" w:rsidRDefault="007C62CF" w:rsidP="0006335F">
      <w:pPr>
        <w:pStyle w:val="Bullet2"/>
        <w:spacing w:before="0"/>
      </w:pPr>
      <w:r w:rsidRPr="00823BC3">
        <w:rPr>
          <w:rFonts w:eastAsia="Calibri"/>
        </w:rPr>
        <w:t xml:space="preserve">Gold Card – issued by </w:t>
      </w:r>
      <w:r>
        <w:rPr>
          <w:rFonts w:eastAsia="Calibri"/>
        </w:rPr>
        <w:t>t</w:t>
      </w:r>
      <w:r w:rsidRPr="00823BC3">
        <w:rPr>
          <w:rFonts w:eastAsia="Calibri"/>
        </w:rPr>
        <w:t>he Department of Veterans Affairs</w:t>
      </w:r>
      <w:r>
        <w:rPr>
          <w:rFonts w:eastAsia="Calibri"/>
        </w:rPr>
        <w:t>;</w:t>
      </w:r>
    </w:p>
    <w:p w14:paraId="608A6AA8" w14:textId="388D5F3A" w:rsidR="007C62CF" w:rsidRPr="00823BC3" w:rsidRDefault="007C62CF" w:rsidP="0006335F">
      <w:pPr>
        <w:pStyle w:val="Bullet2"/>
        <w:spacing w:before="0"/>
      </w:pPr>
      <w:r w:rsidRPr="00823BC3">
        <w:rPr>
          <w:rFonts w:eastAsia="Calibri"/>
        </w:rPr>
        <w:lastRenderedPageBreak/>
        <w:t xml:space="preserve">Vision Impaired Travel Pass – issued by </w:t>
      </w:r>
      <w:r>
        <w:rPr>
          <w:rFonts w:eastAsia="Calibri"/>
        </w:rPr>
        <w:t>Transport Canberra;</w:t>
      </w:r>
    </w:p>
    <w:p w14:paraId="392AA3C5" w14:textId="3F510B96" w:rsidR="007C62CF" w:rsidRPr="00823BC3" w:rsidRDefault="007C62CF" w:rsidP="0006335F">
      <w:pPr>
        <w:pStyle w:val="Bullet2"/>
        <w:spacing w:before="0"/>
      </w:pPr>
      <w:r w:rsidRPr="00823BC3">
        <w:rPr>
          <w:rFonts w:eastAsia="Calibri"/>
        </w:rPr>
        <w:t xml:space="preserve">Companion Card – issued by the </w:t>
      </w:r>
      <w:r>
        <w:rPr>
          <w:rFonts w:eastAsia="Calibri"/>
        </w:rPr>
        <w:t>Community Services Directorate;</w:t>
      </w:r>
      <w:r w:rsidRPr="00823BC3" w:rsidDel="005A09E9">
        <w:rPr>
          <w:rFonts w:eastAsia="Calibri"/>
        </w:rPr>
        <w:t xml:space="preserve"> </w:t>
      </w:r>
      <w:r>
        <w:rPr>
          <w:rFonts w:eastAsia="Calibri"/>
        </w:rPr>
        <w:t>and</w:t>
      </w:r>
    </w:p>
    <w:p w14:paraId="33D99642" w14:textId="5D8AAA66" w:rsidR="007C62CF" w:rsidRPr="00823BC3" w:rsidRDefault="007C62CF" w:rsidP="0006335F">
      <w:pPr>
        <w:pStyle w:val="Bullet2"/>
        <w:spacing w:before="0"/>
      </w:pPr>
      <w:r w:rsidRPr="00823BC3">
        <w:rPr>
          <w:rFonts w:eastAsia="Calibri"/>
        </w:rPr>
        <w:t>Seniors Card – ACT (issued by </w:t>
      </w:r>
      <w:hyperlink r:id="rId13" w:history="1">
        <w:r w:rsidRPr="00823BC3">
          <w:rPr>
            <w:rFonts w:eastAsia="Calibri"/>
          </w:rPr>
          <w:t>COTA ACT</w:t>
        </w:r>
      </w:hyperlink>
      <w:r w:rsidRPr="00823BC3">
        <w:rPr>
          <w:rFonts w:eastAsia="Calibri"/>
        </w:rPr>
        <w:t>, </w:t>
      </w:r>
      <w:hyperlink r:id="rId14" w:history="1">
        <w:r w:rsidRPr="00823BC3">
          <w:rPr>
            <w:rFonts w:eastAsia="Calibri"/>
          </w:rPr>
          <w:t>ACT Public Libraries</w:t>
        </w:r>
      </w:hyperlink>
      <w:r w:rsidRPr="00823BC3">
        <w:rPr>
          <w:rFonts w:eastAsia="Calibri"/>
        </w:rPr>
        <w:t> and </w:t>
      </w:r>
      <w:hyperlink r:id="rId15" w:anchor="!tabs-4" w:history="1">
        <w:r w:rsidRPr="00823BC3">
          <w:rPr>
            <w:rFonts w:eastAsia="Calibri"/>
          </w:rPr>
          <w:t>Access Canberra</w:t>
        </w:r>
      </w:hyperlink>
      <w:r w:rsidR="0006335F">
        <w:rPr>
          <w:rFonts w:eastAsia="Calibri"/>
        </w:rPr>
        <w:t xml:space="preserve">) and other </w:t>
      </w:r>
      <w:r w:rsidR="00313ADC">
        <w:rPr>
          <w:rFonts w:eastAsia="Calibri"/>
        </w:rPr>
        <w:t>g</w:t>
      </w:r>
      <w:r w:rsidR="0006335F">
        <w:rPr>
          <w:rFonts w:eastAsia="Calibri"/>
        </w:rPr>
        <w:t>overnments</w:t>
      </w:r>
      <w:r w:rsidRPr="00736354">
        <w:rPr>
          <w:vertAlign w:val="superscript"/>
        </w:rPr>
        <w:endnoteReference w:id="8"/>
      </w:r>
      <w:r>
        <w:rPr>
          <w:rFonts w:eastAsia="Calibri"/>
        </w:rPr>
        <w:t>.</w:t>
      </w:r>
    </w:p>
    <w:p w14:paraId="403B3DD5" w14:textId="77777777" w:rsidR="003A29B4" w:rsidRDefault="003A29B4" w:rsidP="00C07E5B">
      <w:pPr>
        <w:pStyle w:val="Heading6"/>
        <w:rPr>
          <w:b/>
          <w:color w:val="auto"/>
        </w:rPr>
      </w:pPr>
    </w:p>
    <w:p w14:paraId="51750369" w14:textId="486240D4" w:rsidR="007C62CF" w:rsidRPr="00600DF2" w:rsidRDefault="007C62CF" w:rsidP="00C07E5B">
      <w:pPr>
        <w:pStyle w:val="Heading6"/>
        <w:rPr>
          <w:b/>
          <w:color w:val="auto"/>
        </w:rPr>
      </w:pPr>
      <w:r w:rsidRPr="00600DF2">
        <w:rPr>
          <w:b/>
          <w:color w:val="auto"/>
        </w:rPr>
        <w:t>Industry providers</w:t>
      </w:r>
    </w:p>
    <w:p w14:paraId="1110C08B" w14:textId="77777777" w:rsidR="007C62CF" w:rsidRPr="00823BC3" w:rsidRDefault="007C62CF" w:rsidP="003415C5">
      <w:r w:rsidRPr="00823BC3">
        <w:t xml:space="preserve">Allowing deregulation of fares for booked services </w:t>
      </w:r>
      <w:r>
        <w:t>c</w:t>
      </w:r>
      <w:r w:rsidRPr="00823BC3">
        <w:t>ould align taxi pricing with rideshare and hire car services. Since the reforms were announced taxi industry members</w:t>
      </w:r>
      <w:r>
        <w:t xml:space="preserve"> </w:t>
      </w:r>
      <w:r w:rsidRPr="00823BC3">
        <w:t xml:space="preserve">have argued for deregulation and the ability to surge price to provide a level playing field for competition. It was also </w:t>
      </w:r>
      <w:r>
        <w:t>suggested</w:t>
      </w:r>
      <w:r w:rsidRPr="00823BC3">
        <w:t xml:space="preserve"> as a means for taxis to attract driver services as drivers </w:t>
      </w:r>
      <w:r>
        <w:t>are</w:t>
      </w:r>
      <w:r w:rsidRPr="00823BC3">
        <w:t xml:space="preserve"> </w:t>
      </w:r>
      <w:r>
        <w:t>choosing</w:t>
      </w:r>
      <w:r w:rsidRPr="00823BC3">
        <w:t xml:space="preserve"> between taxi and rideshare services, either as </w:t>
      </w:r>
      <w:r>
        <w:t>extra</w:t>
      </w:r>
      <w:r w:rsidRPr="00823BC3">
        <w:t xml:space="preserve"> income or moving only to provide rideshare services.</w:t>
      </w:r>
    </w:p>
    <w:p w14:paraId="4AB74F77" w14:textId="095A5DDE" w:rsidR="007C62CF" w:rsidRPr="00823BC3" w:rsidRDefault="007C62CF" w:rsidP="003415C5">
      <w:r w:rsidRPr="00823BC3">
        <w:t xml:space="preserve">Any consideration of taxis using surge pricing to attract drivers would need to be weighed against its effects on customer demand for services. In a market with deregulated taxi fares, such matters would </w:t>
      </w:r>
      <w:r>
        <w:t>be</w:t>
      </w:r>
      <w:r w:rsidRPr="00823BC3">
        <w:t xml:space="preserve"> a commercial decision. </w:t>
      </w:r>
    </w:p>
    <w:p w14:paraId="75706031" w14:textId="49E59A38" w:rsidR="007C62CF" w:rsidRPr="00823BC3" w:rsidRDefault="007C62CF" w:rsidP="003415C5">
      <w:r w:rsidRPr="00823BC3">
        <w:t>Taxis have an opportunity to be price competitive when rideshare prices are subject to surges. This is supported through surveys and anecdot</w:t>
      </w:r>
      <w:r>
        <w:t>e</w:t>
      </w:r>
      <w:r w:rsidRPr="00823BC3">
        <w:t xml:space="preserve">s, which indicate consumers using rideshare are selecting between services based on price </w:t>
      </w:r>
      <w:r>
        <w:t>(</w:t>
      </w:r>
      <w:r w:rsidRPr="00823BC3">
        <w:t>e.g. ridesharing into town on Friday night but taking a taxi home to avoid surge pricing</w:t>
      </w:r>
      <w:r>
        <w:t>)</w:t>
      </w:r>
      <w:r w:rsidRPr="00823BC3">
        <w:t xml:space="preserve">.  </w:t>
      </w:r>
    </w:p>
    <w:p w14:paraId="462D83DF" w14:textId="5B28DDDF" w:rsidR="007C62CF" w:rsidRPr="00600DF2" w:rsidRDefault="007C62CF" w:rsidP="00C07E5B">
      <w:pPr>
        <w:pStyle w:val="Heading6"/>
        <w:rPr>
          <w:b/>
          <w:color w:val="auto"/>
        </w:rPr>
      </w:pPr>
      <w:r w:rsidRPr="00600DF2">
        <w:rPr>
          <w:b/>
          <w:color w:val="auto"/>
        </w:rPr>
        <w:t>Government</w:t>
      </w:r>
    </w:p>
    <w:p w14:paraId="1425B819" w14:textId="2BB7EE7C" w:rsidR="007C62CF" w:rsidRPr="00823BC3" w:rsidRDefault="007C62CF">
      <w:r>
        <w:t>If</w:t>
      </w:r>
      <w:r w:rsidRPr="00823BC3">
        <w:t xml:space="preserve"> fares increase</w:t>
      </w:r>
      <w:r>
        <w:t>,</w:t>
      </w:r>
      <w:r w:rsidRPr="00823BC3">
        <w:t xml:space="preserve"> </w:t>
      </w:r>
      <w:r>
        <w:t>concession</w:t>
      </w:r>
      <w:r w:rsidRPr="00823BC3">
        <w:t xml:space="preserve"> costs for </w:t>
      </w:r>
      <w:r>
        <w:t>the ACT </w:t>
      </w:r>
      <w:r w:rsidRPr="00823BC3">
        <w:t>Government</w:t>
      </w:r>
      <w:r>
        <w:t xml:space="preserve"> could also increase were they not </w:t>
      </w:r>
      <w:r w:rsidRPr="00823BC3">
        <w:t>limited</w:t>
      </w:r>
      <w:r>
        <w:t xml:space="preserve"> in some way</w:t>
      </w:r>
      <w:r w:rsidRPr="00823BC3">
        <w:t xml:space="preserve">. </w:t>
      </w:r>
      <w:r>
        <w:t xml:space="preserve"> </w:t>
      </w:r>
      <w:r w:rsidRPr="00823BC3">
        <w:t xml:space="preserve">Some aspects may be affected by consumer choice such as selecting transport during a surge period rather than waiting.  If deregulation occurred, the </w:t>
      </w:r>
      <w:r w:rsidR="00C2577D">
        <w:t>G</w:t>
      </w:r>
      <w:r w:rsidRPr="00823BC3">
        <w:t>overnment could limit subsidies to exclude surge pricing components.</w:t>
      </w:r>
    </w:p>
    <w:p w14:paraId="5238503C" w14:textId="4A44E64F" w:rsidR="007C62CF" w:rsidRDefault="007C62CF">
      <w:r>
        <w:t>As an option</w:t>
      </w:r>
      <w:r w:rsidRPr="00823BC3">
        <w:t xml:space="preserve">, the </w:t>
      </w:r>
      <w:r>
        <w:t>G</w:t>
      </w:r>
      <w:r w:rsidRPr="00823BC3">
        <w:t>overnment could maintain regulated maximum taxi fares for vulnerable users.  This may</w:t>
      </w:r>
      <w:r w:rsidR="00C2577D">
        <w:t>,</w:t>
      </w:r>
      <w:r w:rsidRPr="00823BC3">
        <w:t xml:space="preserve"> however</w:t>
      </w:r>
      <w:r w:rsidR="00C2577D">
        <w:t>,</w:t>
      </w:r>
      <w:r w:rsidRPr="00823BC3">
        <w:t xml:space="preserve"> </w:t>
      </w:r>
      <w:r>
        <w:t>promote</w:t>
      </w:r>
      <w:r w:rsidRPr="00823BC3">
        <w:t xml:space="preserve"> </w:t>
      </w:r>
      <w:r>
        <w:t>lesser service outcomes</w:t>
      </w:r>
      <w:r w:rsidRPr="00823BC3">
        <w:t xml:space="preserve"> as </w:t>
      </w:r>
      <w:r>
        <w:t>drivers may receive a lower income from servicing this group of consumers</w:t>
      </w:r>
      <w:r w:rsidRPr="00823BC3">
        <w:t>.</w:t>
      </w:r>
    </w:p>
    <w:p w14:paraId="4427E948" w14:textId="1307075F" w:rsidR="007C62CF" w:rsidRPr="00600DF2" w:rsidRDefault="007C62CF" w:rsidP="00C07E5B">
      <w:pPr>
        <w:pStyle w:val="Heading5"/>
        <w:rPr>
          <w:b/>
          <w:color w:val="auto"/>
        </w:rPr>
      </w:pPr>
      <w:r w:rsidRPr="00600DF2">
        <w:rPr>
          <w:b/>
          <w:color w:val="auto"/>
        </w:rPr>
        <w:t xml:space="preserve">Market competition </w:t>
      </w:r>
    </w:p>
    <w:p w14:paraId="4A2D35D0" w14:textId="47648CFA" w:rsidR="007C62CF" w:rsidRDefault="007C62CF">
      <w:r>
        <w:t xml:space="preserve">Market conditions and behaviours are supportive of the beginnings of effective competition in the ACT market, but there remains a need to consider measures that make sure the market works for consumers. </w:t>
      </w:r>
    </w:p>
    <w:p w14:paraId="4810F259" w14:textId="0A2A87E4" w:rsidR="007C62CF" w:rsidRDefault="007C62CF">
      <w:r>
        <w:t>The ACT market remains concentrated, with a dominant taxi TBS and a dominant rideshare TBS. In such a market there is the potential for rideshare as well as taxis to increase prices over time, with reduced downward pricing pressure if fares are deregulated.  Maintaining regulation of some fares (such as rank and hail) may still constrain fares provided consumers are aware of the pricing differences.</w:t>
      </w:r>
    </w:p>
    <w:p w14:paraId="5E38A1E3" w14:textId="77777777" w:rsidR="007C62CF" w:rsidRPr="00600DF2" w:rsidRDefault="007C62CF" w:rsidP="00C07E5B">
      <w:pPr>
        <w:pStyle w:val="Heading5"/>
        <w:rPr>
          <w:b/>
          <w:color w:val="auto"/>
        </w:rPr>
      </w:pPr>
      <w:r w:rsidRPr="00600DF2">
        <w:rPr>
          <w:b/>
          <w:color w:val="auto"/>
        </w:rPr>
        <w:t>Other jurisdictions</w:t>
      </w:r>
    </w:p>
    <w:p w14:paraId="3DA76A84" w14:textId="77777777" w:rsidR="007C62CF" w:rsidRPr="00823BC3" w:rsidRDefault="007C62CF" w:rsidP="00776DB8">
      <w:r w:rsidRPr="00823BC3">
        <w:t>Other Australian jurisdictions vary in their consideration of taxi fare regulation with their reforms</w:t>
      </w:r>
      <w:r>
        <w:t>:</w:t>
      </w:r>
      <w:r w:rsidRPr="00736354">
        <w:rPr>
          <w:vertAlign w:val="superscript"/>
        </w:rPr>
        <w:endnoteReference w:id="9"/>
      </w:r>
    </w:p>
    <w:p w14:paraId="5AAE16C1" w14:textId="77777777" w:rsidR="007C62CF" w:rsidRPr="00823BC3" w:rsidRDefault="007C62CF" w:rsidP="00776DB8">
      <w:pPr>
        <w:pStyle w:val="Bullet2"/>
      </w:pPr>
      <w:r w:rsidRPr="00823BC3">
        <w:t xml:space="preserve">New South Wales </w:t>
      </w:r>
      <w:r>
        <w:t xml:space="preserve">and </w:t>
      </w:r>
      <w:r w:rsidRPr="00823BC3">
        <w:t>Western Australia</w:t>
      </w:r>
      <w:r>
        <w:rPr>
          <w:rStyle w:val="EndnoteReference"/>
        </w:rPr>
        <w:endnoteReference w:id="10"/>
      </w:r>
      <w:r>
        <w:t xml:space="preserve"> do not regulate</w:t>
      </w:r>
      <w:r w:rsidRPr="00823BC3">
        <w:t xml:space="preserve"> fares for booked taxi services.  Regulation of fares for rank and hail taxi hirings remain</w:t>
      </w:r>
      <w:r>
        <w:t>;</w:t>
      </w:r>
      <w:r w:rsidRPr="00823BC3">
        <w:t xml:space="preserve">  </w:t>
      </w:r>
    </w:p>
    <w:p w14:paraId="63ABCAEB" w14:textId="6A588D5D" w:rsidR="007C62CF" w:rsidRPr="00823BC3" w:rsidRDefault="007C62CF" w:rsidP="00776DB8">
      <w:pPr>
        <w:pStyle w:val="Bullet2"/>
      </w:pPr>
      <w:r w:rsidRPr="00823BC3">
        <w:t xml:space="preserve">Victoria </w:t>
      </w:r>
      <w:r>
        <w:t>has</w:t>
      </w:r>
      <w:r w:rsidRPr="00823BC3">
        <w:t xml:space="preserve"> </w:t>
      </w:r>
      <w:r w:rsidR="00253567">
        <w:t xml:space="preserve">partially </w:t>
      </w:r>
      <w:r w:rsidRPr="00823BC3">
        <w:t>deregulat</w:t>
      </w:r>
      <w:r>
        <w:t>ed</w:t>
      </w:r>
      <w:r w:rsidRPr="00823BC3">
        <w:t xml:space="preserve"> taxi fares</w:t>
      </w:r>
      <w:r w:rsidRPr="00736354">
        <w:rPr>
          <w:vertAlign w:val="superscript"/>
        </w:rPr>
        <w:endnoteReference w:id="11"/>
      </w:r>
      <w:r>
        <w:t>;</w:t>
      </w:r>
    </w:p>
    <w:p w14:paraId="50948D49" w14:textId="682F2114" w:rsidR="007C62CF" w:rsidRPr="00823BC3" w:rsidRDefault="007C62CF" w:rsidP="00776DB8">
      <w:pPr>
        <w:pStyle w:val="Bullet2"/>
      </w:pPr>
      <w:r w:rsidRPr="00823BC3">
        <w:t xml:space="preserve">Queensland </w:t>
      </w:r>
      <w:r>
        <w:t>has</w:t>
      </w:r>
      <w:r w:rsidRPr="00823BC3">
        <w:t xml:space="preserve"> deregulat</w:t>
      </w:r>
      <w:r>
        <w:t>ed booked fares</w:t>
      </w:r>
      <w:r w:rsidRPr="00823BC3">
        <w:t xml:space="preserve"> but </w:t>
      </w:r>
      <w:r w:rsidR="00C97831" w:rsidRPr="00823BC3">
        <w:t>retain</w:t>
      </w:r>
      <w:r w:rsidR="00C97831">
        <w:t>ed</w:t>
      </w:r>
      <w:r w:rsidR="00C97831" w:rsidRPr="00823BC3">
        <w:t xml:space="preserve"> </w:t>
      </w:r>
      <w:r w:rsidRPr="00823BC3">
        <w:t xml:space="preserve">regulation for rank and hail, Taxi Subsidy Scheme and wheelchair accessible </w:t>
      </w:r>
      <w:r>
        <w:t>taxis</w:t>
      </w:r>
      <w:r w:rsidRPr="00736354">
        <w:rPr>
          <w:vertAlign w:val="superscript"/>
        </w:rPr>
        <w:endnoteReference w:id="12"/>
      </w:r>
      <w:r>
        <w:t>;</w:t>
      </w:r>
    </w:p>
    <w:p w14:paraId="6DFD0348" w14:textId="2A085E8E" w:rsidR="007C62CF" w:rsidRDefault="007C62CF" w:rsidP="00776DB8">
      <w:pPr>
        <w:pStyle w:val="Bullet2"/>
      </w:pPr>
      <w:r w:rsidRPr="00823BC3">
        <w:t>South Australia</w:t>
      </w:r>
      <w:r>
        <w:t>n</w:t>
      </w:r>
      <w:r w:rsidRPr="00823BC3">
        <w:t xml:space="preserve"> taxis have maximum scheduled fares</w:t>
      </w:r>
      <w:r w:rsidRPr="00736354">
        <w:rPr>
          <w:vertAlign w:val="superscript"/>
        </w:rPr>
        <w:endnoteReference w:id="13"/>
      </w:r>
      <w:r>
        <w:t>;</w:t>
      </w:r>
    </w:p>
    <w:p w14:paraId="1E73D23A" w14:textId="77777777" w:rsidR="007C62CF" w:rsidRPr="00823BC3" w:rsidRDefault="007C62CF" w:rsidP="00776DB8">
      <w:pPr>
        <w:pStyle w:val="Bullet2"/>
      </w:pPr>
      <w:r w:rsidRPr="00823BC3">
        <w:lastRenderedPageBreak/>
        <w:t xml:space="preserve">Northern Territory </w:t>
      </w:r>
      <w:r>
        <w:t>has a</w:t>
      </w:r>
      <w:r w:rsidRPr="00823BC3">
        <w:t xml:space="preserve"> new calculation method </w:t>
      </w:r>
      <w:r>
        <w:t xml:space="preserve">for regulated taxi fares, </w:t>
      </w:r>
      <w:r w:rsidRPr="00823BC3">
        <w:t xml:space="preserve">with </w:t>
      </w:r>
      <w:r>
        <w:t xml:space="preserve">an </w:t>
      </w:r>
      <w:r w:rsidRPr="00823BC3">
        <w:t>annual review</w:t>
      </w:r>
      <w:r>
        <w:t xml:space="preserve"> mechanism</w:t>
      </w:r>
      <w:r w:rsidRPr="00736354">
        <w:rPr>
          <w:vertAlign w:val="superscript"/>
        </w:rPr>
        <w:endnoteReference w:id="14"/>
      </w:r>
      <w:r>
        <w:t>; and</w:t>
      </w:r>
    </w:p>
    <w:p w14:paraId="5C54B24B" w14:textId="77777777" w:rsidR="007C62CF" w:rsidRDefault="007C62CF" w:rsidP="00776DB8">
      <w:pPr>
        <w:pStyle w:val="Bullet2"/>
      </w:pPr>
      <w:r>
        <w:t xml:space="preserve">the position for </w:t>
      </w:r>
      <w:r w:rsidRPr="00823BC3">
        <w:t>Tasmania</w:t>
      </w:r>
      <w:r>
        <w:t xml:space="preserve"> is still subject to review</w:t>
      </w:r>
      <w:r w:rsidRPr="00823BC3">
        <w:t>.</w:t>
      </w:r>
      <w:r w:rsidRPr="00757E1C">
        <w:rPr>
          <w:vertAlign w:val="superscript"/>
        </w:rPr>
        <w:t xml:space="preserve"> </w:t>
      </w:r>
      <w:r w:rsidRPr="003134F0">
        <w:rPr>
          <w:vertAlign w:val="superscript"/>
        </w:rPr>
        <w:endnoteReference w:id="15"/>
      </w:r>
      <w:r>
        <w:t xml:space="preserve"> </w:t>
      </w:r>
    </w:p>
    <w:p w14:paraId="49FF353C" w14:textId="6923F22C" w:rsidR="007C62CF" w:rsidRPr="00600DF2" w:rsidRDefault="007C62CF" w:rsidP="000E5664">
      <w:pPr>
        <w:pStyle w:val="Heading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502" w:hanging="360"/>
        <w:rPr>
          <w:b/>
          <w:color w:val="auto"/>
        </w:rPr>
      </w:pPr>
      <w:bookmarkStart w:id="368" w:name="_Toc524892412"/>
      <w:r w:rsidRPr="00600DF2">
        <w:rPr>
          <w:b/>
          <w:color w:val="auto"/>
        </w:rPr>
        <w:t>What’s your view?</w:t>
      </w:r>
      <w:bookmarkEnd w:id="368"/>
    </w:p>
    <w:p w14:paraId="54EFCE80" w14:textId="40D16C6D" w:rsidR="007C62CF" w:rsidRDefault="007C62CF" w:rsidP="000E5664">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142"/>
      </w:pPr>
      <w:r>
        <w:t>Can b</w:t>
      </w:r>
      <w:r w:rsidRPr="00340C5D">
        <w:t xml:space="preserve">ooked services fares be deregulated </w:t>
      </w:r>
      <w:r>
        <w:t>now,</w:t>
      </w:r>
      <w:r w:rsidRPr="00340C5D">
        <w:t xml:space="preserve"> with the deregulation of </w:t>
      </w:r>
      <w:r w:rsidR="000E5664">
        <w:t xml:space="preserve">the </w:t>
      </w:r>
      <w:r w:rsidRPr="00340C5D">
        <w:t xml:space="preserve">taxi </w:t>
      </w:r>
      <w:r w:rsidR="000E5664">
        <w:t>licence cap</w:t>
      </w:r>
      <w:r w:rsidRPr="00340C5D">
        <w:t xml:space="preserve">, or </w:t>
      </w:r>
      <w:r>
        <w:t>later?</w:t>
      </w:r>
    </w:p>
    <w:p w14:paraId="0ED1F39F" w14:textId="20C8FD3E" w:rsidR="007C62CF" w:rsidRPr="002955B4" w:rsidRDefault="007C62CF" w:rsidP="000E5664">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142"/>
      </w:pPr>
      <w:r w:rsidRPr="002955B4">
        <w:t xml:space="preserve">Should fare estimates be required for any deregulated taxi fares, as </w:t>
      </w:r>
      <w:r>
        <w:t xml:space="preserve">they are </w:t>
      </w:r>
      <w:r w:rsidRPr="002955B4">
        <w:t xml:space="preserve">with hire cars and rideshare? </w:t>
      </w:r>
    </w:p>
    <w:p w14:paraId="277BDC8D" w14:textId="40A4A539" w:rsidR="007C62CF" w:rsidRPr="002955B4" w:rsidRDefault="007C62CF" w:rsidP="000E5664">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142"/>
      </w:pPr>
      <w:r w:rsidRPr="002955B4">
        <w:t xml:space="preserve">Should some components of booked fares </w:t>
      </w:r>
      <w:r>
        <w:t>be</w:t>
      </w:r>
      <w:r w:rsidRPr="002955B4">
        <w:t xml:space="preserve"> subjected to restrictions (as</w:t>
      </w:r>
      <w:r>
        <w:t xml:space="preserve"> they are</w:t>
      </w:r>
      <w:r w:rsidRPr="002955B4">
        <w:t xml:space="preserve"> applied to hire cars and rideshare for surge pricing in emergencies)?</w:t>
      </w:r>
    </w:p>
    <w:p w14:paraId="55C8D321" w14:textId="77777777" w:rsidR="007C62CF" w:rsidRPr="00340C5D" w:rsidRDefault="007C62CF" w:rsidP="000E5664">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142"/>
      </w:pPr>
      <w:r>
        <w:t>Should r</w:t>
      </w:r>
      <w:r w:rsidRPr="00340C5D">
        <w:t>ank and hail taxi fares remain subject to a regulated maximum</w:t>
      </w:r>
      <w:r>
        <w:t>?</w:t>
      </w:r>
    </w:p>
    <w:p w14:paraId="145884E3" w14:textId="77777777" w:rsidR="007C62CF" w:rsidRDefault="007C62CF" w:rsidP="000E5664">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142"/>
      </w:pPr>
      <w:r>
        <w:t>Should r</w:t>
      </w:r>
      <w:r w:rsidRPr="00340C5D">
        <w:t>egulated fares for booked services remain for selected vulnerable persons</w:t>
      </w:r>
      <w:r>
        <w:t>?</w:t>
      </w:r>
    </w:p>
    <w:p w14:paraId="403CE35E" w14:textId="77777777" w:rsidR="007C62CF" w:rsidRDefault="007C62CF">
      <w:pPr>
        <w:spacing w:before="0" w:after="0"/>
        <w:rPr>
          <w:rFonts w:ascii="Arial" w:eastAsia="Times New Roman" w:hAnsi="Arial"/>
          <w:bCs/>
          <w:caps/>
          <w:color w:val="482D8C"/>
          <w:spacing w:val="-20"/>
          <w:kern w:val="36"/>
          <w:sz w:val="44"/>
          <w:szCs w:val="48"/>
        </w:rPr>
      </w:pPr>
      <w:r>
        <w:br w:type="page"/>
      </w:r>
    </w:p>
    <w:p w14:paraId="7DB2B75C" w14:textId="7CCC2F3B" w:rsidR="007C62CF" w:rsidRPr="00600DF2" w:rsidRDefault="007C62CF" w:rsidP="00847E5E">
      <w:pPr>
        <w:pStyle w:val="Heading1"/>
        <w:numPr>
          <w:ilvl w:val="0"/>
          <w:numId w:val="0"/>
        </w:numPr>
        <w:spacing w:after="0" w:line="360" w:lineRule="auto"/>
        <w:rPr>
          <w:color w:val="auto"/>
        </w:rPr>
      </w:pPr>
      <w:bookmarkStart w:id="369" w:name="_Toc524892413"/>
      <w:r w:rsidRPr="00600DF2">
        <w:rPr>
          <w:color w:val="auto"/>
        </w:rPr>
        <w:lastRenderedPageBreak/>
        <w:t>Annual Increases in Maximum Taxi Fares</w:t>
      </w:r>
      <w:bookmarkEnd w:id="369"/>
    </w:p>
    <w:p w14:paraId="7AEB6D94" w14:textId="77777777" w:rsidR="007C62CF" w:rsidRPr="00600DF2" w:rsidRDefault="007C62CF" w:rsidP="00847E5E">
      <w:pPr>
        <w:pStyle w:val="Heading2"/>
        <w:numPr>
          <w:ilvl w:val="0"/>
          <w:numId w:val="0"/>
        </w:numPr>
        <w:spacing w:before="0" w:after="0" w:line="360" w:lineRule="auto"/>
        <w:rPr>
          <w:b/>
          <w:color w:val="auto"/>
        </w:rPr>
      </w:pPr>
      <w:bookmarkStart w:id="370" w:name="_Toc524892414"/>
      <w:r w:rsidRPr="00600DF2">
        <w:rPr>
          <w:b/>
          <w:color w:val="auto"/>
        </w:rPr>
        <w:t>Determining regulated fares</w:t>
      </w:r>
      <w:bookmarkEnd w:id="370"/>
      <w:r w:rsidRPr="00600DF2">
        <w:rPr>
          <w:b/>
          <w:color w:val="auto"/>
        </w:rPr>
        <w:t xml:space="preserve"> </w:t>
      </w:r>
    </w:p>
    <w:p w14:paraId="34D7BE34" w14:textId="52344CF1" w:rsidR="007C62CF" w:rsidRDefault="007C62CF" w:rsidP="00A81256">
      <w:pPr>
        <w:spacing w:before="0" w:after="0"/>
      </w:pPr>
      <w:r w:rsidRPr="008C2028">
        <w:t>The T</w:t>
      </w:r>
      <w:r w:rsidR="00847E5E">
        <w:t>axi Cost Composite Index (T</w:t>
      </w:r>
      <w:r w:rsidRPr="008C2028">
        <w:t>CCI</w:t>
      </w:r>
      <w:r w:rsidR="00847E5E">
        <w:t xml:space="preserve">) was established as a </w:t>
      </w:r>
      <w:r w:rsidRPr="008C2028">
        <w:t xml:space="preserve">cost base for determining changes to maximum taxi fares following the </w:t>
      </w:r>
      <w:r>
        <w:t>ICRC’s</w:t>
      </w:r>
      <w:r w:rsidRPr="008C2028">
        <w:t xml:space="preserve"> Determination of taxi fares for the period 1 July 2004 to 30</w:t>
      </w:r>
      <w:r>
        <w:t> </w:t>
      </w:r>
      <w:r w:rsidRPr="008C2028">
        <w:t>June 2007.</w:t>
      </w:r>
    </w:p>
    <w:p w14:paraId="03974C3D" w14:textId="77777777" w:rsidR="00A81256" w:rsidRPr="008C2028" w:rsidRDefault="00A81256" w:rsidP="00A81256">
      <w:pPr>
        <w:spacing w:before="0" w:after="0"/>
      </w:pPr>
    </w:p>
    <w:p w14:paraId="06043821" w14:textId="14DA5F3F" w:rsidR="007C62CF" w:rsidRDefault="00847E5E" w:rsidP="00A81256">
      <w:pPr>
        <w:spacing w:before="0" w:after="0"/>
      </w:pPr>
      <w:r>
        <w:t>The PSI Report,</w:t>
      </w:r>
      <w:r w:rsidR="007C62CF" w:rsidRPr="008C2028">
        <w:t xml:space="preserve"> industry and CIE comments</w:t>
      </w:r>
      <w:r w:rsidR="007C62CF">
        <w:t xml:space="preserve"> during the evaluation</w:t>
      </w:r>
      <w:r w:rsidR="007C62CF" w:rsidRPr="008C2028">
        <w:t xml:space="preserve"> highlight the difficulties with operation of the TCCI, both in terms of the weighting of the model but even more with the quality of the underlying data on which it is based.</w:t>
      </w:r>
      <w:r w:rsidR="00A81256">
        <w:t xml:space="preserve">  </w:t>
      </w:r>
      <w:r w:rsidR="007C62CF" w:rsidRPr="008C2028">
        <w:t>A review of the TCCI, as suggested by the CTIA, would need to take into account any deregulation of fares and other industry changes.</w:t>
      </w:r>
    </w:p>
    <w:p w14:paraId="5E546BB1" w14:textId="77777777" w:rsidR="00A81256" w:rsidRPr="008C2028" w:rsidRDefault="00A81256" w:rsidP="00A81256">
      <w:pPr>
        <w:spacing w:before="0" w:after="0"/>
      </w:pPr>
    </w:p>
    <w:p w14:paraId="6AEA0A80" w14:textId="504447AE" w:rsidR="007C62CF" w:rsidRDefault="007C62CF" w:rsidP="00A81256">
      <w:pPr>
        <w:spacing w:before="0" w:after="0"/>
      </w:pPr>
      <w:r w:rsidRPr="008C2028">
        <w:t xml:space="preserve">Even if the </w:t>
      </w:r>
      <w:r w:rsidR="00847E5E">
        <w:t xml:space="preserve">ACT </w:t>
      </w:r>
      <w:r>
        <w:t>G</w:t>
      </w:r>
      <w:r w:rsidRPr="008C2028">
        <w:t xml:space="preserve">overnment was to review the TCCI settings, the concerns with the quality of underlying data raise its effective representation of the costs across the industry as a whole.  Effort and resources would be required by both </w:t>
      </w:r>
      <w:r w:rsidR="00C2577D">
        <w:t>G</w:t>
      </w:r>
      <w:r w:rsidRPr="008C2028">
        <w:t>overnment and industry to address the current failings.</w:t>
      </w:r>
    </w:p>
    <w:p w14:paraId="51468BF7" w14:textId="77777777" w:rsidR="000A5A56" w:rsidRDefault="000A5A56" w:rsidP="00A81256">
      <w:pPr>
        <w:spacing w:before="0" w:after="0"/>
      </w:pPr>
    </w:p>
    <w:p w14:paraId="67B45398" w14:textId="77777777" w:rsidR="00A81256" w:rsidRDefault="00A81256" w:rsidP="00A81256">
      <w:pPr>
        <w:spacing w:before="0" w:after="0"/>
      </w:pPr>
    </w:p>
    <w:p w14:paraId="0AF16353" w14:textId="697C0C04" w:rsidR="007C62CF" w:rsidRPr="00600DF2" w:rsidRDefault="007C62CF" w:rsidP="00A81256">
      <w:pPr>
        <w:pStyle w:val="Heading2"/>
        <w:numPr>
          <w:ilvl w:val="0"/>
          <w:numId w:val="0"/>
        </w:numPr>
        <w:spacing w:before="0" w:after="0" w:line="240" w:lineRule="auto"/>
        <w:rPr>
          <w:rFonts w:cs="Arial"/>
          <w:b/>
          <w:color w:val="auto"/>
          <w:lang w:val="en"/>
        </w:rPr>
      </w:pPr>
      <w:bookmarkStart w:id="371" w:name="_Toc524892415"/>
      <w:r w:rsidRPr="00600DF2">
        <w:rPr>
          <w:b/>
          <w:color w:val="auto"/>
        </w:rPr>
        <w:t>Other jurisdictions</w:t>
      </w:r>
      <w:bookmarkEnd w:id="371"/>
    </w:p>
    <w:p w14:paraId="73B527A0" w14:textId="0652E252" w:rsidR="007C62CF" w:rsidRDefault="007C62CF" w:rsidP="00FF491A">
      <w:pPr>
        <w:spacing w:after="240"/>
      </w:pPr>
      <w:r w:rsidRPr="00FF491A">
        <w:t xml:space="preserve">Across other Australian </w:t>
      </w:r>
      <w:r w:rsidRPr="00950BEE">
        <w:t>jurisdictions</w:t>
      </w:r>
      <w:r w:rsidRPr="00FF491A">
        <w:t xml:space="preserve"> the approaches to determining the amount of </w:t>
      </w:r>
      <w:r w:rsidRPr="00950BEE">
        <w:t>regulated</w:t>
      </w:r>
      <w:r w:rsidRPr="00FF491A">
        <w:t xml:space="preserve"> taxi fares vary.  </w:t>
      </w:r>
    </w:p>
    <w:p w14:paraId="164CD0BC" w14:textId="2A8B09EE" w:rsidR="007C62CF" w:rsidRPr="00FF491A" w:rsidRDefault="007C62CF" w:rsidP="00A72D58">
      <w:pPr>
        <w:pStyle w:val="NormalWeb"/>
        <w:rPr>
          <w:rFonts w:ascii="Calibri" w:eastAsia="Calibri" w:hAnsi="Calibri"/>
          <w:szCs w:val="21"/>
        </w:rPr>
      </w:pPr>
      <w:r w:rsidRPr="00FF491A">
        <w:rPr>
          <w:rFonts w:ascii="Calibri" w:eastAsia="Calibri" w:hAnsi="Calibri"/>
          <w:szCs w:val="21"/>
        </w:rPr>
        <w:t>In NSW, there are substantive reviews undertaken by the Independent Pricing and</w:t>
      </w:r>
      <w:r>
        <w:rPr>
          <w:rFonts w:ascii="Calibri" w:eastAsia="Calibri" w:hAnsi="Calibri"/>
          <w:szCs w:val="21"/>
        </w:rPr>
        <w:t xml:space="preserve"> Regulatory Tribunal.</w:t>
      </w:r>
      <w:r w:rsidRPr="002955B4">
        <w:rPr>
          <w:rFonts w:ascii="Calibri" w:hAnsi="Calibri"/>
          <w:szCs w:val="20"/>
          <w:vertAlign w:val="superscript"/>
          <w:lang w:eastAsia="en-US"/>
        </w:rPr>
        <w:endnoteReference w:id="16"/>
      </w:r>
      <w:r>
        <w:rPr>
          <w:rFonts w:ascii="Calibri" w:eastAsia="Calibri" w:hAnsi="Calibri"/>
          <w:szCs w:val="21"/>
        </w:rPr>
        <w:t xml:space="preserve">  These involve seeking submissions and </w:t>
      </w:r>
      <w:r w:rsidRPr="00FF491A">
        <w:rPr>
          <w:rFonts w:ascii="Calibri" w:eastAsia="Calibri" w:hAnsi="Calibri"/>
          <w:szCs w:val="21"/>
        </w:rPr>
        <w:t>consider</w:t>
      </w:r>
      <w:r>
        <w:rPr>
          <w:rFonts w:ascii="Calibri" w:eastAsia="Calibri" w:hAnsi="Calibri"/>
          <w:szCs w:val="21"/>
        </w:rPr>
        <w:t xml:space="preserve">ation of </w:t>
      </w:r>
      <w:r w:rsidRPr="00FF491A">
        <w:rPr>
          <w:rFonts w:ascii="Calibri" w:eastAsia="Calibri" w:hAnsi="Calibri"/>
          <w:szCs w:val="21"/>
        </w:rPr>
        <w:t xml:space="preserve">factors </w:t>
      </w:r>
      <w:r w:rsidRPr="00921F6B">
        <w:rPr>
          <w:rFonts w:ascii="Calibri" w:eastAsia="Calibri" w:hAnsi="Calibri"/>
          <w:szCs w:val="21"/>
        </w:rPr>
        <w:t xml:space="preserve">such </w:t>
      </w:r>
      <w:r>
        <w:rPr>
          <w:rFonts w:ascii="Calibri" w:eastAsia="Calibri" w:hAnsi="Calibri"/>
          <w:szCs w:val="21"/>
        </w:rPr>
        <w:t xml:space="preserve">as: </w:t>
      </w:r>
      <w:r w:rsidRPr="00FF491A">
        <w:rPr>
          <w:rFonts w:ascii="Calibri" w:eastAsia="Calibri" w:hAnsi="Calibri"/>
          <w:szCs w:val="21"/>
        </w:rPr>
        <w:t>the cost of providing the services</w:t>
      </w:r>
      <w:r>
        <w:rPr>
          <w:rFonts w:ascii="Calibri" w:eastAsia="Calibri" w:hAnsi="Calibri"/>
          <w:szCs w:val="21"/>
        </w:rPr>
        <w:t xml:space="preserve">; </w:t>
      </w:r>
      <w:r w:rsidRPr="00FF491A">
        <w:rPr>
          <w:rFonts w:ascii="Calibri" w:eastAsia="Calibri" w:hAnsi="Calibri"/>
          <w:szCs w:val="21"/>
        </w:rPr>
        <w:t xml:space="preserve">efficiency in </w:t>
      </w:r>
      <w:r w:rsidRPr="00921F6B">
        <w:rPr>
          <w:rFonts w:ascii="Calibri" w:eastAsia="Calibri" w:hAnsi="Calibri"/>
          <w:szCs w:val="21"/>
        </w:rPr>
        <w:t xml:space="preserve">supply; </w:t>
      </w:r>
      <w:r>
        <w:rPr>
          <w:rFonts w:ascii="Calibri" w:eastAsia="Calibri" w:hAnsi="Calibri"/>
          <w:szCs w:val="21"/>
        </w:rPr>
        <w:t xml:space="preserve">the </w:t>
      </w:r>
      <w:r w:rsidRPr="00FF491A">
        <w:rPr>
          <w:rFonts w:ascii="Calibri" w:eastAsia="Calibri" w:hAnsi="Calibri"/>
          <w:szCs w:val="21"/>
        </w:rPr>
        <w:t>protection of consumers from abuses of monopoly power</w:t>
      </w:r>
      <w:r>
        <w:rPr>
          <w:rFonts w:ascii="Calibri" w:eastAsia="Calibri" w:hAnsi="Calibri"/>
          <w:szCs w:val="21"/>
        </w:rPr>
        <w:t>; t</w:t>
      </w:r>
      <w:r w:rsidRPr="00921F6B">
        <w:rPr>
          <w:rFonts w:ascii="Calibri" w:eastAsia="Calibri" w:hAnsi="Calibri"/>
          <w:szCs w:val="21"/>
        </w:rPr>
        <w:t xml:space="preserve">he social impact; and </w:t>
      </w:r>
      <w:r>
        <w:rPr>
          <w:rFonts w:ascii="Calibri" w:eastAsia="Calibri" w:hAnsi="Calibri"/>
          <w:szCs w:val="21"/>
        </w:rPr>
        <w:t>t</w:t>
      </w:r>
      <w:r w:rsidRPr="00FF491A">
        <w:rPr>
          <w:rFonts w:ascii="Calibri" w:eastAsia="Calibri" w:hAnsi="Calibri"/>
          <w:szCs w:val="21"/>
        </w:rPr>
        <w:t>he impact on the use of the pub</w:t>
      </w:r>
      <w:r w:rsidRPr="00921F6B">
        <w:rPr>
          <w:rFonts w:ascii="Calibri" w:eastAsia="Calibri" w:hAnsi="Calibri"/>
          <w:szCs w:val="21"/>
        </w:rPr>
        <w:t>lic passenger transport network.</w:t>
      </w:r>
    </w:p>
    <w:p w14:paraId="3F6E3347" w14:textId="384FF7EF" w:rsidR="00A72D58" w:rsidRDefault="007C62CF" w:rsidP="00FF491A">
      <w:r>
        <w:t>In comparison</w:t>
      </w:r>
      <w:r w:rsidRPr="00FF491A">
        <w:t xml:space="preserve">, the Northern Territory Government </w:t>
      </w:r>
      <w:r>
        <w:t>applies</w:t>
      </w:r>
      <w:r w:rsidRPr="00FF491A">
        <w:t xml:space="preserve"> the Australian Consumer Price Index (CPI) to determine taxi fares.</w:t>
      </w:r>
      <w:r w:rsidRPr="00FF491A">
        <w:rPr>
          <w:rFonts w:eastAsia="Times New Roman"/>
          <w:szCs w:val="20"/>
          <w:vertAlign w:val="superscript"/>
          <w:lang w:eastAsia="en-US"/>
        </w:rPr>
        <w:endnoteReference w:id="17"/>
      </w:r>
      <w:r>
        <w:t xml:space="preserve"> </w:t>
      </w:r>
      <w:r w:rsidR="00A72D58" w:rsidRPr="00FF491A">
        <w:t xml:space="preserve">To ensure the fare setting methodology does not increase fares to the extent that taxis are no longer an affordable transport option, </w:t>
      </w:r>
      <w:r w:rsidR="00953B22">
        <w:t xml:space="preserve">there is </w:t>
      </w:r>
      <w:r w:rsidR="00A72D58" w:rsidRPr="00FF491A">
        <w:t>a full comparison of fares every three years.</w:t>
      </w:r>
      <w:r w:rsidR="0062326C">
        <w:t xml:space="preserve">  Prior to 2016, a complex Basket of Costs model had been used.</w:t>
      </w:r>
    </w:p>
    <w:p w14:paraId="079EC436" w14:textId="0BF7D673" w:rsidR="00953B22" w:rsidRPr="00FF491A" w:rsidRDefault="00953B22" w:rsidP="00FF491A">
      <w:pPr>
        <w:pStyle w:val="NormalWeb"/>
        <w:rPr>
          <w:rFonts w:ascii="Calibri" w:eastAsia="Calibri" w:hAnsi="Calibri"/>
          <w:szCs w:val="21"/>
        </w:rPr>
      </w:pPr>
    </w:p>
    <w:p w14:paraId="36780AAD" w14:textId="66093FCB" w:rsidR="00101592" w:rsidRPr="00600DF2" w:rsidRDefault="00B876A7" w:rsidP="00A81256">
      <w:pPr>
        <w:pStyle w:val="Heading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ind w:left="502" w:hanging="502"/>
        <w:rPr>
          <w:b/>
          <w:color w:val="auto"/>
        </w:rPr>
      </w:pPr>
      <w:bookmarkStart w:id="372" w:name="_Toc518393210"/>
      <w:bookmarkStart w:id="373" w:name="_Toc518393497"/>
      <w:bookmarkStart w:id="374" w:name="_Toc518393211"/>
      <w:bookmarkStart w:id="375" w:name="_Toc518393498"/>
      <w:bookmarkStart w:id="376" w:name="_Toc518393212"/>
      <w:bookmarkStart w:id="377" w:name="_Toc518393499"/>
      <w:bookmarkStart w:id="378" w:name="_Toc518393221"/>
      <w:bookmarkStart w:id="379" w:name="_Toc518393508"/>
      <w:bookmarkStart w:id="380" w:name="_Toc518393222"/>
      <w:bookmarkStart w:id="381" w:name="_Toc518393509"/>
      <w:bookmarkStart w:id="382" w:name="_Toc524892416"/>
      <w:bookmarkEnd w:id="372"/>
      <w:bookmarkEnd w:id="373"/>
      <w:bookmarkEnd w:id="374"/>
      <w:bookmarkEnd w:id="375"/>
      <w:bookmarkEnd w:id="376"/>
      <w:bookmarkEnd w:id="377"/>
      <w:bookmarkEnd w:id="378"/>
      <w:bookmarkEnd w:id="379"/>
      <w:bookmarkEnd w:id="380"/>
      <w:bookmarkEnd w:id="381"/>
      <w:r w:rsidRPr="00600DF2">
        <w:rPr>
          <w:b/>
          <w:color w:val="auto"/>
        </w:rPr>
        <w:t>What’s your view?</w:t>
      </w:r>
      <w:bookmarkEnd w:id="382"/>
    </w:p>
    <w:p w14:paraId="2D7DF733" w14:textId="5082A0B8" w:rsidR="00E44DAF" w:rsidRDefault="00A81256" w:rsidP="00A81256">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pPr>
      <w:r>
        <w:t>How should we determine the annual increases in regulated taxi fares? Cost composite model, CPI or another method?</w:t>
      </w:r>
    </w:p>
    <w:p w14:paraId="3E5C91C7" w14:textId="243EDDB0" w:rsidR="00A81256" w:rsidRDefault="00A81256" w:rsidP="00A81256">
      <w:pPr>
        <w:pStyle w:val="Bullet2"/>
        <w:numPr>
          <w:ilvl w:val="0"/>
          <w:numId w:val="0"/>
        </w:numPr>
        <w:pBdr>
          <w:top w:val="single" w:sz="4" w:space="1" w:color="auto"/>
          <w:left w:val="single" w:sz="4" w:space="4" w:color="auto"/>
          <w:bottom w:val="single" w:sz="4" w:space="1" w:color="auto"/>
          <w:right w:val="single" w:sz="4" w:space="4" w:color="auto"/>
        </w:pBdr>
        <w:shd w:val="clear" w:color="auto" w:fill="CCC0D9" w:themeFill="accent4" w:themeFillTint="66"/>
      </w:pPr>
      <w:r>
        <w:t>Should a regular review of the maximum fare be undertaken on a periodic basis (say every three years) to make sure the method is accurately reflecting costs and expectations?</w:t>
      </w:r>
    </w:p>
    <w:p w14:paraId="716DCB5C" w14:textId="77777777" w:rsidR="006A1EA2" w:rsidRDefault="006A1EA2">
      <w:pPr>
        <w:spacing w:before="0" w:after="0"/>
        <w:rPr>
          <w:rFonts w:ascii="Arial" w:hAnsi="Arial"/>
          <w:bCs/>
          <w:color w:val="482D8C"/>
          <w:szCs w:val="28"/>
        </w:rPr>
      </w:pPr>
      <w:r>
        <w:br w:type="page"/>
      </w:r>
    </w:p>
    <w:p w14:paraId="5FB9C171" w14:textId="2372F967" w:rsidR="00D7628D" w:rsidRPr="00600DF2" w:rsidRDefault="00D7628D" w:rsidP="00FF491A">
      <w:pPr>
        <w:pStyle w:val="Heading1"/>
        <w:numPr>
          <w:ilvl w:val="0"/>
          <w:numId w:val="0"/>
        </w:numPr>
        <w:ind w:left="360" w:hanging="360"/>
        <w:rPr>
          <w:color w:val="auto"/>
        </w:rPr>
      </w:pPr>
      <w:bookmarkStart w:id="383" w:name="_Toc524892417"/>
      <w:bookmarkStart w:id="384" w:name="_Toc503280447"/>
      <w:r w:rsidRPr="00600DF2">
        <w:rPr>
          <w:color w:val="auto"/>
        </w:rPr>
        <w:lastRenderedPageBreak/>
        <w:t xml:space="preserve">How to </w:t>
      </w:r>
      <w:r w:rsidR="00921F6B" w:rsidRPr="00600DF2">
        <w:rPr>
          <w:color w:val="auto"/>
        </w:rPr>
        <w:t>provide your views</w:t>
      </w:r>
      <w:bookmarkEnd w:id="383"/>
    </w:p>
    <w:p w14:paraId="2FAC6378" w14:textId="58ADB341" w:rsidR="00D7628D" w:rsidRDefault="00D7628D" w:rsidP="00D7628D">
      <w:pPr>
        <w:pStyle w:val="BodyText"/>
        <w:rPr>
          <w:lang w:eastAsia="x-none"/>
        </w:rPr>
      </w:pPr>
      <w:r>
        <w:rPr>
          <w:lang w:eastAsia="x-none"/>
        </w:rPr>
        <w:t xml:space="preserve">We would like to hear from you.  You can provide a written response to this </w:t>
      </w:r>
      <w:r w:rsidR="00C4474E">
        <w:rPr>
          <w:lang w:eastAsia="x-none"/>
        </w:rPr>
        <w:t>consultation</w:t>
      </w:r>
      <w:r>
        <w:rPr>
          <w:lang w:eastAsia="x-none"/>
        </w:rPr>
        <w:t xml:space="preserve"> paper by </w:t>
      </w:r>
      <w:r w:rsidR="000669CE">
        <w:rPr>
          <w:lang w:eastAsia="x-none"/>
        </w:rPr>
        <w:t>20 November</w:t>
      </w:r>
      <w:r w:rsidR="000669CE" w:rsidRPr="008C2028">
        <w:rPr>
          <w:lang w:eastAsia="x-none"/>
        </w:rPr>
        <w:t xml:space="preserve"> </w:t>
      </w:r>
      <w:r w:rsidR="00312C49" w:rsidRPr="008C2028">
        <w:rPr>
          <w:lang w:eastAsia="x-none"/>
        </w:rPr>
        <w:t>2018</w:t>
      </w:r>
      <w:r w:rsidR="00312C49">
        <w:rPr>
          <w:lang w:eastAsia="x-none"/>
        </w:rPr>
        <w:t>, either by post or email.</w:t>
      </w:r>
    </w:p>
    <w:p w14:paraId="0370CF6F" w14:textId="7876A485" w:rsidR="00D7628D" w:rsidRDefault="00D7628D" w:rsidP="00D7628D">
      <w:pPr>
        <w:pStyle w:val="BodyText"/>
        <w:rPr>
          <w:lang w:eastAsia="x-none"/>
        </w:rPr>
      </w:pPr>
      <w:r>
        <w:rPr>
          <w:lang w:eastAsia="x-none"/>
        </w:rPr>
        <w:t xml:space="preserve">Email address: </w:t>
      </w:r>
      <w:r>
        <w:rPr>
          <w:lang w:eastAsia="x-none"/>
        </w:rPr>
        <w:tab/>
      </w:r>
      <w:hyperlink r:id="rId16" w:history="1">
        <w:r w:rsidR="006209AD" w:rsidRPr="00600DF2">
          <w:rPr>
            <w:rStyle w:val="Hyperlink"/>
            <w:color w:val="auto"/>
            <w:lang w:eastAsia="x-none"/>
          </w:rPr>
          <w:t>regulatoryreform@act.gov.au</w:t>
        </w:r>
      </w:hyperlink>
      <w:r w:rsidR="006209AD" w:rsidRPr="00F37DC9">
        <w:rPr>
          <w:lang w:eastAsia="x-none"/>
        </w:rPr>
        <w:t xml:space="preserve"> </w:t>
      </w:r>
    </w:p>
    <w:p w14:paraId="0CDA3544" w14:textId="13B3CF1E" w:rsidR="00D7628D" w:rsidRDefault="00D7628D" w:rsidP="000C70E3">
      <w:pPr>
        <w:pStyle w:val="BodyText"/>
        <w:ind w:left="1701" w:hanging="1701"/>
        <w:rPr>
          <w:lang w:eastAsia="x-none"/>
        </w:rPr>
      </w:pPr>
      <w:r>
        <w:rPr>
          <w:lang w:eastAsia="x-none"/>
        </w:rPr>
        <w:t>Postal address:</w:t>
      </w:r>
      <w:r>
        <w:rPr>
          <w:lang w:eastAsia="x-none"/>
        </w:rPr>
        <w:tab/>
      </w:r>
      <w:r w:rsidR="007C62CF">
        <w:rPr>
          <w:lang w:eastAsia="x-none"/>
        </w:rPr>
        <w:t xml:space="preserve">Review of </w:t>
      </w:r>
      <w:r>
        <w:rPr>
          <w:lang w:eastAsia="x-none"/>
        </w:rPr>
        <w:t xml:space="preserve">ACT Taxi </w:t>
      </w:r>
      <w:r w:rsidR="005401FB">
        <w:rPr>
          <w:lang w:eastAsia="x-none"/>
        </w:rPr>
        <w:t>Licence</w:t>
      </w:r>
      <w:r w:rsidR="007C62CF">
        <w:rPr>
          <w:lang w:eastAsia="x-none"/>
        </w:rPr>
        <w:t>s and Fares</w:t>
      </w:r>
      <w:r w:rsidR="00312C49">
        <w:rPr>
          <w:lang w:eastAsia="x-none"/>
        </w:rPr>
        <w:br/>
      </w:r>
      <w:r w:rsidR="005401FB">
        <w:rPr>
          <w:lang w:eastAsia="x-none"/>
        </w:rPr>
        <w:t xml:space="preserve">Policy and Cabinet, </w:t>
      </w:r>
      <w:r w:rsidR="007C62CF">
        <w:rPr>
          <w:lang w:eastAsia="x-none"/>
        </w:rPr>
        <w:t>CMTEDD</w:t>
      </w:r>
      <w:r w:rsidR="00312C49">
        <w:rPr>
          <w:lang w:eastAsia="x-none"/>
        </w:rPr>
        <w:br/>
      </w:r>
      <w:r w:rsidR="00312C49">
        <w:rPr>
          <w:lang w:eastAsia="x-none"/>
        </w:rPr>
        <w:tab/>
      </w:r>
      <w:r>
        <w:rPr>
          <w:lang w:eastAsia="x-none"/>
        </w:rPr>
        <w:t>ACT Government</w:t>
      </w:r>
      <w:r>
        <w:rPr>
          <w:lang w:eastAsia="x-none"/>
        </w:rPr>
        <w:br/>
        <w:t>GPO Box 158</w:t>
      </w:r>
      <w:r>
        <w:rPr>
          <w:lang w:eastAsia="x-none"/>
        </w:rPr>
        <w:br/>
        <w:t>CANBERRA  ACT  2601</w:t>
      </w:r>
    </w:p>
    <w:p w14:paraId="7A928D9B" w14:textId="77777777" w:rsidR="006209AD" w:rsidRDefault="006209AD" w:rsidP="00D7628D">
      <w:pPr>
        <w:pStyle w:val="BodyText"/>
        <w:rPr>
          <w:lang w:eastAsia="x-none"/>
        </w:rPr>
      </w:pPr>
    </w:p>
    <w:p w14:paraId="1693E626" w14:textId="2895D155" w:rsidR="00D7628D" w:rsidRDefault="00D7628D" w:rsidP="00D7628D">
      <w:pPr>
        <w:pStyle w:val="BodyText"/>
        <w:rPr>
          <w:lang w:eastAsia="x-none"/>
        </w:rPr>
      </w:pPr>
      <w:r>
        <w:rPr>
          <w:lang w:eastAsia="x-none"/>
        </w:rPr>
        <w:t xml:space="preserve">NOTE: Unless a submission is clearly marked “In Confidence”, it will be treated as a public document and may be made </w:t>
      </w:r>
      <w:r w:rsidR="00312C49">
        <w:rPr>
          <w:lang w:eastAsia="x-none"/>
        </w:rPr>
        <w:t xml:space="preserve">publicly </w:t>
      </w:r>
      <w:r>
        <w:rPr>
          <w:lang w:eastAsia="x-none"/>
        </w:rPr>
        <w:t xml:space="preserve">available on </w:t>
      </w:r>
      <w:r w:rsidR="00312C49">
        <w:rPr>
          <w:lang w:eastAsia="x-none"/>
        </w:rPr>
        <w:t>a</w:t>
      </w:r>
      <w:r>
        <w:rPr>
          <w:lang w:eastAsia="x-none"/>
        </w:rPr>
        <w:t xml:space="preserve"> website of </w:t>
      </w:r>
      <w:r w:rsidR="00312C49">
        <w:rPr>
          <w:lang w:eastAsia="x-none"/>
        </w:rPr>
        <w:t>the ACT Government</w:t>
      </w:r>
      <w:r>
        <w:rPr>
          <w:lang w:eastAsia="x-none"/>
        </w:rPr>
        <w:t>.</w:t>
      </w:r>
    </w:p>
    <w:p w14:paraId="634F66EC" w14:textId="77777777" w:rsidR="006209AD" w:rsidRDefault="006209AD" w:rsidP="000C70E3">
      <w:pPr>
        <w:pStyle w:val="BodyText"/>
        <w:rPr>
          <w:lang w:eastAsia="x-none"/>
        </w:rPr>
      </w:pPr>
    </w:p>
    <w:p w14:paraId="2F4D7E4F" w14:textId="61DF6D54" w:rsidR="00D7628D" w:rsidRPr="00265B03" w:rsidRDefault="00D7628D" w:rsidP="000C70E3">
      <w:pPr>
        <w:pStyle w:val="BodyText"/>
        <w:rPr>
          <w:lang w:eastAsia="x-none"/>
        </w:rPr>
      </w:pPr>
      <w:r>
        <w:rPr>
          <w:lang w:eastAsia="x-none"/>
        </w:rPr>
        <w:t xml:space="preserve">Members of the community and industry </w:t>
      </w:r>
      <w:r w:rsidR="002C1AEC">
        <w:rPr>
          <w:lang w:eastAsia="x-none"/>
        </w:rPr>
        <w:t>can also</w:t>
      </w:r>
      <w:r>
        <w:rPr>
          <w:lang w:eastAsia="x-none"/>
        </w:rPr>
        <w:t xml:space="preserve"> provide input through </w:t>
      </w:r>
      <w:r w:rsidR="002C1AEC">
        <w:rPr>
          <w:lang w:eastAsia="x-none"/>
        </w:rPr>
        <w:t xml:space="preserve">a </w:t>
      </w:r>
      <w:r>
        <w:rPr>
          <w:lang w:eastAsia="x-none"/>
        </w:rPr>
        <w:t xml:space="preserve">survey </w:t>
      </w:r>
      <w:r w:rsidR="00097E81">
        <w:rPr>
          <w:lang w:eastAsia="x-none"/>
        </w:rPr>
        <w:t xml:space="preserve">on </w:t>
      </w:r>
      <w:hyperlink r:id="rId17" w:history="1">
        <w:r w:rsidR="00312C49" w:rsidRPr="00600DF2">
          <w:rPr>
            <w:rStyle w:val="Hyperlink"/>
            <w:color w:val="auto"/>
            <w:lang w:eastAsia="x-none"/>
          </w:rPr>
          <w:t>www.yoursay.act.gov.au</w:t>
        </w:r>
      </w:hyperlink>
      <w:r w:rsidR="00312C49" w:rsidRPr="00F37DC9">
        <w:rPr>
          <w:lang w:eastAsia="x-none"/>
        </w:rPr>
        <w:t xml:space="preserve">.  </w:t>
      </w:r>
    </w:p>
    <w:p w14:paraId="6B8E3A7F" w14:textId="2823AC4D" w:rsidR="00A638B8" w:rsidRDefault="007B295B" w:rsidP="00C07E5B">
      <w:pPr>
        <w:pStyle w:val="Heading1"/>
        <w:numPr>
          <w:ilvl w:val="0"/>
          <w:numId w:val="0"/>
        </w:numPr>
        <w:rPr>
          <w:color w:val="00AEEF"/>
          <w:sz w:val="30"/>
          <w:szCs w:val="36"/>
        </w:rPr>
      </w:pPr>
      <w:r>
        <w:tab/>
      </w:r>
      <w:bookmarkStart w:id="385" w:name="_Toc518028185"/>
      <w:bookmarkStart w:id="386" w:name="_Toc518028186"/>
      <w:bookmarkStart w:id="387" w:name="_Toc518028191"/>
      <w:bookmarkStart w:id="388" w:name="_Toc518028201"/>
      <w:bookmarkStart w:id="389" w:name="_Toc518028203"/>
      <w:bookmarkStart w:id="390" w:name="_Toc518028204"/>
      <w:bookmarkStart w:id="391" w:name="_Toc518028207"/>
      <w:bookmarkStart w:id="392" w:name="_Toc518028214"/>
      <w:bookmarkStart w:id="393" w:name="_Toc518028217"/>
      <w:bookmarkStart w:id="394" w:name="_Toc518028220"/>
      <w:bookmarkStart w:id="395" w:name="_Toc518028226"/>
      <w:bookmarkStart w:id="396" w:name="_Toc518028227"/>
      <w:bookmarkStart w:id="397" w:name="_Toc518028233"/>
      <w:bookmarkStart w:id="398" w:name="_Toc518028237"/>
      <w:bookmarkStart w:id="399" w:name="_Toc518028239"/>
      <w:bookmarkStart w:id="400" w:name="_Toc518028241"/>
      <w:bookmarkStart w:id="401" w:name="_Toc518028242"/>
      <w:bookmarkStart w:id="402" w:name="_Toc518028244"/>
      <w:bookmarkStart w:id="403" w:name="_Toc518028245"/>
      <w:bookmarkStart w:id="404" w:name="_Toc518028246"/>
      <w:bookmarkStart w:id="405" w:name="_Toc518028247"/>
      <w:bookmarkStart w:id="406" w:name="_Toc518028249"/>
      <w:bookmarkStart w:id="407" w:name="_Toc518028250"/>
      <w:bookmarkStart w:id="408" w:name="_Toc518028252"/>
      <w:bookmarkStart w:id="409" w:name="_Toc518028253"/>
      <w:bookmarkStart w:id="410" w:name="_Toc518028254"/>
      <w:bookmarkStart w:id="411" w:name="_Toc518028256"/>
      <w:bookmarkStart w:id="412" w:name="_Toc518028258"/>
      <w:bookmarkStart w:id="413" w:name="_Toc518028267"/>
      <w:bookmarkStart w:id="414" w:name="_Toc518028268"/>
      <w:bookmarkStart w:id="415" w:name="_Toc518028272"/>
      <w:bookmarkStart w:id="416" w:name="_Toc518028277"/>
      <w:bookmarkStart w:id="417" w:name="_Toc518028286"/>
      <w:bookmarkStart w:id="418" w:name="_Toc518028305"/>
      <w:bookmarkStart w:id="419" w:name="_Toc518028313"/>
      <w:bookmarkStart w:id="420" w:name="_Toc518028316"/>
      <w:bookmarkStart w:id="421" w:name="_Toc518028319"/>
      <w:bookmarkStart w:id="422" w:name="_Toc518028320"/>
      <w:bookmarkStart w:id="423" w:name="_Toc518028321"/>
      <w:bookmarkStart w:id="424" w:name="_Toc518028322"/>
      <w:bookmarkStart w:id="425" w:name="_Toc518028323"/>
      <w:bookmarkStart w:id="426" w:name="_Toc518028324"/>
      <w:bookmarkStart w:id="427" w:name="_Toc518028325"/>
      <w:bookmarkStart w:id="428" w:name="_Toc518028328"/>
      <w:bookmarkStart w:id="429" w:name="_Toc518028330"/>
      <w:bookmarkStart w:id="430" w:name="_Toc518028331"/>
      <w:bookmarkStart w:id="431" w:name="_Toc518028332"/>
      <w:bookmarkStart w:id="432" w:name="_Toc518028334"/>
      <w:bookmarkStart w:id="433" w:name="_Toc518028335"/>
      <w:bookmarkStart w:id="434" w:name="_Toc518028336"/>
      <w:bookmarkStart w:id="435" w:name="_Toc518028337"/>
      <w:bookmarkStart w:id="436" w:name="_Toc518028338"/>
      <w:bookmarkStart w:id="437" w:name="_Toc518028339"/>
      <w:bookmarkStart w:id="438" w:name="_Toc518028342"/>
      <w:bookmarkStart w:id="439" w:name="_Toc518028343"/>
      <w:bookmarkStart w:id="440" w:name="_Toc518028344"/>
      <w:bookmarkStart w:id="441" w:name="_Toc518028348"/>
      <w:bookmarkStart w:id="442" w:name="_Toc518028349"/>
      <w:bookmarkStart w:id="443" w:name="_Toc518028352"/>
      <w:bookmarkStart w:id="444" w:name="_Toc518028353"/>
      <w:bookmarkStart w:id="445" w:name="_Toc518028362"/>
      <w:bookmarkStart w:id="446" w:name="_Toc518028363"/>
      <w:bookmarkStart w:id="447" w:name="_Toc518028364"/>
      <w:bookmarkEnd w:id="385"/>
      <w:bookmarkEnd w:id="386"/>
      <w:bookmarkEnd w:id="387"/>
      <w:bookmarkEnd w:id="388"/>
      <w:bookmarkEnd w:id="389"/>
      <w:bookmarkEnd w:id="390"/>
      <w:bookmarkEnd w:id="391"/>
      <w:bookmarkEnd w:id="392"/>
      <w:bookmarkEnd w:id="393"/>
      <w:bookmarkEnd w:id="394"/>
      <w:bookmarkEnd w:id="395"/>
      <w:bookmarkEnd w:id="396"/>
      <w:bookmarkEnd w:id="397"/>
      <w:bookmarkEnd w:id="38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00A638B8">
        <w:br w:type="page"/>
      </w:r>
    </w:p>
    <w:p w14:paraId="164435EE" w14:textId="7B7D114B" w:rsidR="005A2143" w:rsidRPr="006209AD" w:rsidRDefault="006209AD" w:rsidP="006209AD">
      <w:pPr>
        <w:pStyle w:val="Heading1reverse"/>
        <w:rPr>
          <w:color w:val="auto"/>
        </w:rPr>
      </w:pPr>
      <w:bookmarkStart w:id="448" w:name="_Toc504047826"/>
      <w:bookmarkStart w:id="449" w:name="_Toc504047829"/>
      <w:bookmarkStart w:id="450" w:name="_Toc504047842"/>
      <w:bookmarkStart w:id="451" w:name="_Toc504047843"/>
      <w:bookmarkStart w:id="452" w:name="_Toc504047856"/>
      <w:bookmarkStart w:id="453" w:name="_Toc504047859"/>
      <w:bookmarkStart w:id="454" w:name="_Toc504047865"/>
      <w:bookmarkStart w:id="455" w:name="_Toc504047866"/>
      <w:bookmarkStart w:id="456" w:name="_Toc504047867"/>
      <w:bookmarkStart w:id="457" w:name="_Toc504047869"/>
      <w:bookmarkStart w:id="458" w:name="_Toc504047888"/>
      <w:bookmarkStart w:id="459" w:name="_Toc504047889"/>
      <w:bookmarkStart w:id="460" w:name="_Toc504047891"/>
      <w:bookmarkStart w:id="461" w:name="_Toc504047892"/>
      <w:bookmarkStart w:id="462" w:name="_Toc504047893"/>
      <w:bookmarkStart w:id="463" w:name="_Toc504047902"/>
      <w:bookmarkStart w:id="464" w:name="_Toc504047904"/>
      <w:bookmarkStart w:id="465" w:name="_Toc504047908"/>
      <w:bookmarkStart w:id="466" w:name="_Toc504047909"/>
      <w:bookmarkStart w:id="467" w:name="_Toc504047910"/>
      <w:bookmarkStart w:id="468" w:name="_Toc504047913"/>
      <w:bookmarkStart w:id="469" w:name="_Toc504047914"/>
      <w:bookmarkStart w:id="470" w:name="_Toc504047915"/>
      <w:bookmarkStart w:id="471" w:name="_Toc504047918"/>
      <w:bookmarkStart w:id="472" w:name="_Toc504047920"/>
      <w:bookmarkStart w:id="473" w:name="_Toc504047922"/>
      <w:bookmarkStart w:id="474" w:name="_Toc504047923"/>
      <w:bookmarkStart w:id="475" w:name="_Toc504047927"/>
      <w:bookmarkStart w:id="476" w:name="_Toc504047934"/>
      <w:bookmarkStart w:id="477" w:name="_Toc504047935"/>
      <w:bookmarkStart w:id="478" w:name="_Toc504047943"/>
      <w:bookmarkStart w:id="479" w:name="_Toc504047947"/>
      <w:bookmarkStart w:id="480" w:name="_Toc504047949"/>
      <w:bookmarkStart w:id="481" w:name="_Toc504047950"/>
      <w:bookmarkStart w:id="482" w:name="_Toc504047951"/>
      <w:bookmarkStart w:id="483" w:name="_Toc504047954"/>
      <w:bookmarkStart w:id="484" w:name="_Toc504047958"/>
      <w:bookmarkStart w:id="485" w:name="_Toc504047959"/>
      <w:bookmarkStart w:id="486" w:name="_Toc504047963"/>
      <w:bookmarkStart w:id="487" w:name="_Toc504047965"/>
      <w:bookmarkStart w:id="488" w:name="_Toc504047966"/>
      <w:bookmarkStart w:id="489" w:name="_Toc504047967"/>
      <w:bookmarkStart w:id="490" w:name="_Toc504047968"/>
      <w:bookmarkStart w:id="491" w:name="_Toc504047970"/>
      <w:bookmarkStart w:id="492" w:name="_Toc504047972"/>
      <w:bookmarkStart w:id="493" w:name="_Toc504047975"/>
      <w:bookmarkStart w:id="494" w:name="_Toc504047978"/>
      <w:bookmarkStart w:id="495" w:name="_Toc504047982"/>
      <w:bookmarkStart w:id="496" w:name="_Toc504047983"/>
      <w:bookmarkStart w:id="497" w:name="_Toc504047984"/>
      <w:bookmarkStart w:id="498" w:name="_Toc504047986"/>
      <w:bookmarkStart w:id="499" w:name="_Toc504047989"/>
      <w:bookmarkStart w:id="500" w:name="_Toc504047991"/>
      <w:bookmarkStart w:id="501" w:name="_Toc504047993"/>
      <w:bookmarkStart w:id="502" w:name="_Toc504047995"/>
      <w:bookmarkStart w:id="503" w:name="_Toc504047999"/>
      <w:bookmarkStart w:id="504" w:name="_Toc504048011"/>
      <w:bookmarkStart w:id="505" w:name="_Toc504048019"/>
      <w:bookmarkStart w:id="506" w:name="_Toc504048020"/>
      <w:bookmarkStart w:id="507" w:name="_Toc504048023"/>
      <w:bookmarkStart w:id="508" w:name="_Toc504048024"/>
      <w:bookmarkStart w:id="509" w:name="_Toc504048025"/>
      <w:bookmarkStart w:id="510" w:name="_Toc504048026"/>
      <w:bookmarkStart w:id="511" w:name="_Toc504048027"/>
      <w:bookmarkStart w:id="512" w:name="_Toc504048028"/>
      <w:bookmarkStart w:id="513" w:name="_Toc504048029"/>
      <w:bookmarkStart w:id="514" w:name="_Toc504048031"/>
      <w:bookmarkStart w:id="515" w:name="_Toc504048034"/>
      <w:bookmarkStart w:id="516" w:name="_Toc504048036"/>
      <w:bookmarkStart w:id="517" w:name="_Toc504048037"/>
      <w:bookmarkStart w:id="518" w:name="_Toc504048040"/>
      <w:bookmarkStart w:id="519" w:name="_Toc504048043"/>
      <w:bookmarkStart w:id="520" w:name="_Toc504048045"/>
      <w:bookmarkStart w:id="521" w:name="_Toc504048046"/>
      <w:bookmarkStart w:id="522" w:name="_Toc504048047"/>
      <w:bookmarkStart w:id="523" w:name="_Toc504048050"/>
      <w:bookmarkStart w:id="524" w:name="_Toc504048052"/>
      <w:bookmarkStart w:id="525" w:name="_Toc504048056"/>
      <w:bookmarkStart w:id="526" w:name="_Toc504048058"/>
      <w:bookmarkStart w:id="527" w:name="_Toc504048059"/>
      <w:bookmarkStart w:id="528" w:name="_Toc504048063"/>
      <w:bookmarkStart w:id="529" w:name="_Toc504048065"/>
      <w:bookmarkStart w:id="530" w:name="_Toc504048069"/>
      <w:bookmarkStart w:id="531" w:name="_Toc504048070"/>
      <w:bookmarkStart w:id="532" w:name="_Toc504048074"/>
      <w:bookmarkStart w:id="533" w:name="_Toc504048081"/>
      <w:bookmarkStart w:id="534" w:name="_Toc504048083"/>
      <w:bookmarkStart w:id="535" w:name="_Toc504048085"/>
      <w:bookmarkStart w:id="536" w:name="_Toc504048087"/>
      <w:bookmarkStart w:id="537" w:name="_Toc504048088"/>
      <w:bookmarkStart w:id="538" w:name="_Toc504048096"/>
      <w:bookmarkStart w:id="539" w:name="_Toc504048097"/>
      <w:bookmarkStart w:id="540" w:name="_Toc504048098"/>
      <w:bookmarkStart w:id="541" w:name="_Toc504048099"/>
      <w:bookmarkStart w:id="542" w:name="_Toc504048101"/>
      <w:bookmarkStart w:id="543" w:name="_Toc504048104"/>
      <w:bookmarkStart w:id="544" w:name="_Toc504048106"/>
      <w:bookmarkStart w:id="545" w:name="_Toc504048107"/>
      <w:bookmarkStart w:id="546" w:name="_Toc504048113"/>
      <w:bookmarkStart w:id="547" w:name="_Toc504048119"/>
      <w:bookmarkStart w:id="548" w:name="_Toc504048120"/>
      <w:bookmarkStart w:id="549" w:name="_Toc504048121"/>
      <w:bookmarkStart w:id="550" w:name="_Toc504048133"/>
      <w:bookmarkStart w:id="551" w:name="_Toc504048135"/>
      <w:bookmarkStart w:id="552" w:name="_Toc504048140"/>
      <w:bookmarkStart w:id="553" w:name="_Toc504048187"/>
      <w:bookmarkStart w:id="554" w:name="_Toc504048189"/>
      <w:bookmarkStart w:id="555" w:name="_Toc504048190"/>
      <w:bookmarkStart w:id="556" w:name="_Toc504048193"/>
      <w:bookmarkStart w:id="557" w:name="_Toc504048194"/>
      <w:bookmarkStart w:id="558" w:name="_Toc504048196"/>
      <w:bookmarkStart w:id="559" w:name="_Toc504048198"/>
      <w:bookmarkStart w:id="560" w:name="_Toc504048199"/>
      <w:bookmarkStart w:id="561" w:name="_Toc504048200"/>
      <w:bookmarkStart w:id="562" w:name="_Toc504048202"/>
      <w:bookmarkStart w:id="563" w:name="_Toc504048203"/>
      <w:bookmarkStart w:id="564" w:name="_Toc504048205"/>
      <w:bookmarkStart w:id="565" w:name="_Toc504048206"/>
      <w:bookmarkStart w:id="566" w:name="_Toc504048207"/>
      <w:bookmarkStart w:id="567" w:name="_Toc504048208"/>
      <w:bookmarkStart w:id="568" w:name="_Toc504048209"/>
      <w:bookmarkStart w:id="569" w:name="_Toc504048210"/>
      <w:bookmarkStart w:id="570" w:name="_Toc504048211"/>
      <w:bookmarkStart w:id="571" w:name="_Toc504048212"/>
      <w:bookmarkStart w:id="572" w:name="_Toc504048216"/>
      <w:bookmarkStart w:id="573" w:name="_Toc504048217"/>
      <w:bookmarkStart w:id="574" w:name="_Toc504048219"/>
      <w:bookmarkStart w:id="575" w:name="_Toc504048222"/>
      <w:bookmarkStart w:id="576" w:name="_Toc504048224"/>
      <w:bookmarkStart w:id="577" w:name="_Toc504048226"/>
      <w:bookmarkStart w:id="578" w:name="_Toc504048227"/>
      <w:bookmarkStart w:id="579" w:name="_Toc504048229"/>
      <w:bookmarkStart w:id="580" w:name="_Toc504048230"/>
      <w:bookmarkStart w:id="581" w:name="_Toc504048233"/>
      <w:bookmarkStart w:id="582" w:name="_Toc504048234"/>
      <w:bookmarkStart w:id="583" w:name="_Toc504048235"/>
      <w:bookmarkStart w:id="584" w:name="_Toc504048236"/>
      <w:bookmarkStart w:id="585" w:name="_Toc504048238"/>
      <w:bookmarkStart w:id="586" w:name="_Toc504048239"/>
      <w:bookmarkStart w:id="587" w:name="_Toc504048247"/>
      <w:bookmarkStart w:id="588" w:name="_Toc504048248"/>
      <w:bookmarkStart w:id="589" w:name="_Toc504048249"/>
      <w:bookmarkStart w:id="590" w:name="_Toc504048250"/>
      <w:bookmarkStart w:id="591" w:name="_Toc504048251"/>
      <w:bookmarkStart w:id="592" w:name="_Toc504048252"/>
      <w:bookmarkStart w:id="593" w:name="_Toc504048254"/>
      <w:bookmarkStart w:id="594" w:name="_Toc504048255"/>
      <w:bookmarkStart w:id="595" w:name="_Toc504048256"/>
      <w:bookmarkStart w:id="596" w:name="_Toc504048257"/>
      <w:bookmarkStart w:id="597" w:name="_Toc504048258"/>
      <w:bookmarkStart w:id="598" w:name="_Toc504048259"/>
      <w:bookmarkStart w:id="599" w:name="_Toc504048260"/>
      <w:bookmarkStart w:id="600" w:name="_Toc504048262"/>
      <w:bookmarkStart w:id="601" w:name="_Toc504048263"/>
      <w:bookmarkStart w:id="602" w:name="_Toc504048269"/>
      <w:bookmarkStart w:id="603" w:name="_Toc504048271"/>
      <w:bookmarkStart w:id="604" w:name="_Toc504048273"/>
      <w:bookmarkStart w:id="605" w:name="_Toc504048275"/>
      <w:bookmarkStart w:id="606" w:name="_Toc504048277"/>
      <w:bookmarkStart w:id="607" w:name="_Toc504048278"/>
      <w:bookmarkStart w:id="608" w:name="_Toc504048286"/>
      <w:bookmarkStart w:id="609" w:name="_Toc504048287"/>
      <w:bookmarkStart w:id="610" w:name="_Toc504048288"/>
      <w:bookmarkStart w:id="611" w:name="_Toc504048328"/>
      <w:bookmarkStart w:id="612" w:name="_Toc504048330"/>
      <w:bookmarkStart w:id="613" w:name="_Toc504048332"/>
      <w:bookmarkStart w:id="614" w:name="_Toc504048343"/>
      <w:bookmarkStart w:id="615" w:name="_Toc504048346"/>
      <w:bookmarkStart w:id="616" w:name="_Toc504048352"/>
      <w:bookmarkStart w:id="617" w:name="_Toc504048353"/>
      <w:bookmarkStart w:id="618" w:name="_Toc504048355"/>
      <w:bookmarkStart w:id="619" w:name="_Toc504048356"/>
      <w:bookmarkStart w:id="620" w:name="_Toc504048357"/>
      <w:bookmarkStart w:id="621" w:name="_Toc504048360"/>
      <w:bookmarkStart w:id="622" w:name="_Toc504048362"/>
      <w:bookmarkStart w:id="623" w:name="_Toc504048363"/>
      <w:bookmarkStart w:id="624" w:name="_Toc504048367"/>
      <w:bookmarkStart w:id="625" w:name="_Toc504048368"/>
      <w:bookmarkStart w:id="626" w:name="_Toc504048369"/>
      <w:bookmarkStart w:id="627" w:name="_Toc504048371"/>
      <w:bookmarkStart w:id="628" w:name="_Toc504048372"/>
      <w:bookmarkStart w:id="629" w:name="_Toc504048376"/>
      <w:bookmarkStart w:id="630" w:name="_Toc504048377"/>
      <w:bookmarkStart w:id="631" w:name="_Toc504048378"/>
      <w:bookmarkStart w:id="632" w:name="_Toc504048379"/>
      <w:bookmarkStart w:id="633" w:name="_Toc504048380"/>
      <w:bookmarkStart w:id="634" w:name="_Toc504048381"/>
      <w:bookmarkStart w:id="635" w:name="_Toc504048383"/>
      <w:bookmarkStart w:id="636" w:name="_Toc504048384"/>
      <w:bookmarkStart w:id="637" w:name="_Toc504048385"/>
      <w:bookmarkStart w:id="638" w:name="_Toc504048392"/>
      <w:bookmarkStart w:id="639" w:name="_Toc504048393"/>
      <w:bookmarkStart w:id="640" w:name="_Toc504048394"/>
      <w:bookmarkStart w:id="641" w:name="_Toc504048395"/>
      <w:bookmarkStart w:id="642" w:name="_Toc504048396"/>
      <w:bookmarkStart w:id="643" w:name="_Toc504048399"/>
      <w:bookmarkStart w:id="644" w:name="_Toc504048401"/>
      <w:bookmarkStart w:id="645" w:name="_Toc504048402"/>
      <w:bookmarkStart w:id="646" w:name="_Toc504048403"/>
      <w:bookmarkStart w:id="647" w:name="_Toc504048411"/>
      <w:bookmarkStart w:id="648" w:name="_Toc504048412"/>
      <w:bookmarkStart w:id="649" w:name="_Toc504048419"/>
      <w:bookmarkStart w:id="650" w:name="_Toc504048422"/>
      <w:bookmarkStart w:id="651" w:name="_Toc504048426"/>
      <w:bookmarkStart w:id="652" w:name="_Toc504048428"/>
      <w:bookmarkStart w:id="653" w:name="_Toc504048430"/>
      <w:bookmarkStart w:id="654" w:name="_Toc504048431"/>
      <w:bookmarkStart w:id="655" w:name="_Toc504048437"/>
      <w:bookmarkStart w:id="656" w:name="_Toc504048439"/>
      <w:bookmarkStart w:id="657" w:name="_Toc504048440"/>
      <w:bookmarkStart w:id="658" w:name="_Toc504048443"/>
      <w:bookmarkStart w:id="659" w:name="_Toc504048444"/>
      <w:bookmarkStart w:id="660" w:name="_Toc504048445"/>
      <w:bookmarkStart w:id="661" w:name="_Toc504048447"/>
      <w:bookmarkStart w:id="662" w:name="_Toc504048448"/>
      <w:bookmarkStart w:id="663" w:name="_Toc504048450"/>
      <w:bookmarkStart w:id="664" w:name="_Toc504048451"/>
      <w:bookmarkStart w:id="665" w:name="_Toc504048452"/>
      <w:bookmarkStart w:id="666" w:name="_Toc504048455"/>
      <w:bookmarkStart w:id="667" w:name="_Toc504048458"/>
      <w:bookmarkStart w:id="668" w:name="_Toc504048465"/>
      <w:bookmarkStart w:id="669" w:name="_Toc504048468"/>
      <w:bookmarkStart w:id="670" w:name="_Toc504048469"/>
      <w:bookmarkStart w:id="671" w:name="_Toc504048477"/>
      <w:bookmarkStart w:id="672" w:name="_Toc504048494"/>
      <w:bookmarkStart w:id="673" w:name="_Toc504048503"/>
      <w:bookmarkStart w:id="674" w:name="_Toc504048512"/>
      <w:bookmarkStart w:id="675" w:name="_Toc504048521"/>
      <w:bookmarkStart w:id="676" w:name="_Toc504048530"/>
      <w:bookmarkStart w:id="677" w:name="_Toc504048539"/>
      <w:bookmarkStart w:id="678" w:name="_Toc504048548"/>
      <w:bookmarkStart w:id="679" w:name="_Toc504048564"/>
      <w:bookmarkStart w:id="680" w:name="_Toc504048573"/>
      <w:bookmarkStart w:id="681" w:name="_Toc504048582"/>
      <w:bookmarkStart w:id="682" w:name="_Toc504048591"/>
      <w:bookmarkStart w:id="683" w:name="_Toc504048600"/>
      <w:bookmarkStart w:id="684" w:name="_Toc504048609"/>
      <w:bookmarkStart w:id="685" w:name="_Toc504048626"/>
      <w:bookmarkStart w:id="686" w:name="_Toc504048635"/>
      <w:bookmarkStart w:id="687" w:name="_Toc504048645"/>
      <w:bookmarkStart w:id="688" w:name="_Toc504048646"/>
      <w:bookmarkStart w:id="689" w:name="_Toc504048654"/>
      <w:bookmarkStart w:id="690" w:name="_Toc504048671"/>
      <w:bookmarkStart w:id="691" w:name="_Toc504048680"/>
      <w:bookmarkStart w:id="692" w:name="_Toc504048689"/>
      <w:bookmarkStart w:id="693" w:name="_Toc504048698"/>
      <w:bookmarkStart w:id="694" w:name="_Toc504048707"/>
      <w:bookmarkStart w:id="695" w:name="_Toc504048716"/>
      <w:bookmarkStart w:id="696" w:name="_Toc504048725"/>
      <w:bookmarkStart w:id="697" w:name="_Toc504048741"/>
      <w:bookmarkStart w:id="698" w:name="_Toc504048750"/>
      <w:bookmarkStart w:id="699" w:name="_Toc504048759"/>
      <w:bookmarkStart w:id="700" w:name="_Toc504048768"/>
      <w:bookmarkStart w:id="701" w:name="_Toc504048777"/>
      <w:bookmarkStart w:id="702" w:name="_Toc504048786"/>
      <w:bookmarkStart w:id="703" w:name="_Toc504048803"/>
      <w:bookmarkStart w:id="704" w:name="_Toc504048812"/>
      <w:bookmarkStart w:id="705" w:name="_Toc504048821"/>
      <w:bookmarkStart w:id="706" w:name="_Toc504048822"/>
      <w:bookmarkStart w:id="707" w:name="_Toc504048823"/>
      <w:bookmarkStart w:id="708" w:name="_Toc504048824"/>
      <w:bookmarkStart w:id="709" w:name="_Toc504048825"/>
      <w:bookmarkStart w:id="710" w:name="_Toc504048826"/>
      <w:bookmarkStart w:id="711" w:name="_Toc504048827"/>
      <w:bookmarkStart w:id="712" w:name="_Toc504048828"/>
      <w:bookmarkStart w:id="713" w:name="_Toc504048829"/>
      <w:bookmarkStart w:id="714" w:name="_Toc504048830"/>
      <w:bookmarkStart w:id="715" w:name="_Toc504048831"/>
      <w:bookmarkStart w:id="716" w:name="_Toc504048832"/>
      <w:bookmarkStart w:id="717" w:name="_Toc504048833"/>
      <w:bookmarkStart w:id="718" w:name="_Toc504048835"/>
      <w:bookmarkStart w:id="719" w:name="_Toc504048836"/>
      <w:bookmarkStart w:id="720" w:name="_Toc504048837"/>
      <w:bookmarkStart w:id="721" w:name="_Toc504048838"/>
      <w:bookmarkStart w:id="722" w:name="_Toc504048839"/>
      <w:bookmarkStart w:id="723" w:name="_Toc504048840"/>
      <w:bookmarkStart w:id="724" w:name="_Toc504048842"/>
      <w:bookmarkStart w:id="725" w:name="_Toc504048843"/>
      <w:bookmarkStart w:id="726" w:name="_Toc504048844"/>
      <w:bookmarkStart w:id="727" w:name="_Toc504048845"/>
      <w:bookmarkStart w:id="728" w:name="_Toc504048846"/>
      <w:bookmarkStart w:id="729" w:name="_Toc524892418"/>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6209AD">
        <w:rPr>
          <w:noProof/>
          <w:color w:val="auto"/>
        </w:rPr>
        <w:lastRenderedPageBreak/>
        <w:t>Endnotes</w:t>
      </w:r>
      <w:bookmarkStart w:id="730" w:name="_GoBack"/>
      <w:bookmarkEnd w:id="729"/>
      <w:bookmarkEnd w:id="730"/>
    </w:p>
    <w:sectPr w:rsidR="005A2143" w:rsidRPr="006209AD" w:rsidSect="00D06815">
      <w:footerReference w:type="first" r:id="rId18"/>
      <w:endnotePr>
        <w:numFmt w:val="decimal"/>
      </w:endnotePr>
      <w:type w:val="continuous"/>
      <w:pgSz w:w="11906" w:h="16838"/>
      <w:pgMar w:top="1134" w:right="1134" w:bottom="1134" w:left="1134" w:header="34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BD11B" w14:textId="77777777" w:rsidR="004E49FA" w:rsidRDefault="004E49FA" w:rsidP="00665B9F">
      <w:pPr>
        <w:spacing w:after="0"/>
      </w:pPr>
      <w:r>
        <w:separator/>
      </w:r>
    </w:p>
  </w:endnote>
  <w:endnote w:type="continuationSeparator" w:id="0">
    <w:p w14:paraId="03667550" w14:textId="77777777" w:rsidR="004E49FA" w:rsidRDefault="004E49FA" w:rsidP="00665B9F">
      <w:pPr>
        <w:spacing w:after="0"/>
      </w:pPr>
      <w:r>
        <w:continuationSeparator/>
      </w:r>
    </w:p>
  </w:endnote>
  <w:endnote w:id="1">
    <w:p w14:paraId="4F00A81E" w14:textId="77777777" w:rsidR="004E49FA" w:rsidRPr="00B82133" w:rsidRDefault="004E49FA" w:rsidP="00D06815">
      <w:pPr>
        <w:pStyle w:val="EndnoteText"/>
      </w:pPr>
      <w:r w:rsidRPr="00B82133">
        <w:rPr>
          <w:rStyle w:val="EndnoteReference"/>
        </w:rPr>
        <w:endnoteRef/>
      </w:r>
      <w:r w:rsidRPr="00B82133">
        <w:t xml:space="preserve"> Productivity Commission </w:t>
      </w:r>
      <w:hyperlink r:id="rId1" w:history="1">
        <w:r w:rsidRPr="00B82133">
          <w:rPr>
            <w:rStyle w:val="Hyperlink"/>
            <w:color w:val="auto"/>
          </w:rPr>
          <w:t>https://www.pc.gov.au/research/completed/taxi-regulation/taxiregulation.pdf</w:t>
        </w:r>
      </w:hyperlink>
      <w:r w:rsidRPr="00B82133">
        <w:t>, p.11</w:t>
      </w:r>
    </w:p>
  </w:endnote>
  <w:endnote w:id="2">
    <w:p w14:paraId="6D000276" w14:textId="77777777" w:rsidR="004E49FA" w:rsidRPr="00B82133" w:rsidRDefault="004E49FA" w:rsidP="000C70E3">
      <w:pPr>
        <w:pStyle w:val="EndnoteText"/>
      </w:pPr>
      <w:r w:rsidRPr="00B82133">
        <w:rPr>
          <w:rStyle w:val="EndnoteReference"/>
        </w:rPr>
        <w:endnoteRef/>
      </w:r>
      <w:r w:rsidRPr="00B82133">
        <w:t xml:space="preserve"> See </w:t>
      </w:r>
      <w:hyperlink r:id="rId2" w:history="1">
        <w:r w:rsidRPr="00B82133">
          <w:rPr>
            <w:rStyle w:val="Hyperlink"/>
            <w:color w:val="auto"/>
          </w:rPr>
          <w:t>https://www.accesscanberra.act.gov.au/app/answers/detail/a_id/3225/~/taxi-industry-reforms</w:t>
        </w:r>
      </w:hyperlink>
      <w:r w:rsidRPr="00B82133">
        <w:t xml:space="preserve"> for supporting analysis on the WAT licence release.</w:t>
      </w:r>
    </w:p>
  </w:endnote>
  <w:endnote w:id="3">
    <w:p w14:paraId="5B3417AB" w14:textId="6230D648" w:rsidR="004E49FA" w:rsidRPr="00B82133" w:rsidRDefault="004E49FA" w:rsidP="000C70E3">
      <w:pPr>
        <w:pStyle w:val="EndnoteText"/>
      </w:pPr>
      <w:r w:rsidRPr="00B82133">
        <w:rPr>
          <w:rStyle w:val="EndnoteReference"/>
        </w:rPr>
        <w:endnoteRef/>
      </w:r>
      <w:r w:rsidRPr="00B82133">
        <w:t xml:space="preserve"> TBSs charging taxi operators and drivers higher affiliation fees.</w:t>
      </w:r>
    </w:p>
  </w:endnote>
  <w:endnote w:id="4">
    <w:p w14:paraId="04F088C4" w14:textId="4AFAB1D7" w:rsidR="004E49FA" w:rsidRPr="00B82133" w:rsidRDefault="004E49FA" w:rsidP="006209AD">
      <w:pPr>
        <w:spacing w:before="0" w:after="0"/>
        <w:rPr>
          <w:sz w:val="20"/>
          <w:szCs w:val="20"/>
          <w:u w:val="single"/>
        </w:rPr>
      </w:pPr>
      <w:r w:rsidRPr="00B82133">
        <w:rPr>
          <w:rStyle w:val="EndnoteReference"/>
          <w:sz w:val="20"/>
          <w:szCs w:val="20"/>
        </w:rPr>
        <w:endnoteRef/>
      </w:r>
      <w:r w:rsidRPr="00B82133">
        <w:rPr>
          <w:sz w:val="20"/>
          <w:szCs w:val="20"/>
        </w:rPr>
        <w:t xml:space="preserve"> </w:t>
      </w:r>
      <w:hyperlink r:id="rId3" w:history="1">
        <w:r w:rsidRPr="00B82133">
          <w:rPr>
            <w:rStyle w:val="Hyperlink"/>
            <w:color w:val="auto"/>
            <w:sz w:val="20"/>
            <w:szCs w:val="20"/>
          </w:rPr>
          <w:t>http://taxi.vic.gov.au/about-us/news</w:t>
        </w:r>
      </w:hyperlink>
      <w:r w:rsidRPr="00B82133">
        <w:rPr>
          <w:rStyle w:val="Hyperlink"/>
          <w:color w:val="auto"/>
          <w:sz w:val="20"/>
          <w:szCs w:val="20"/>
        </w:rPr>
        <w:t xml:space="preserve">; </w:t>
      </w:r>
      <w:hyperlink r:id="rId4" w:history="1">
        <w:r w:rsidRPr="00B82133">
          <w:rPr>
            <w:rStyle w:val="Hyperlink"/>
            <w:color w:val="auto"/>
            <w:sz w:val="20"/>
            <w:szCs w:val="20"/>
          </w:rPr>
          <w:t>https://dipl.nt.gov.au/transport/transport-strategies-and-plans/commercial-passenger-vehicle-reforms/ridesharing</w:t>
        </w:r>
      </w:hyperlink>
      <w:r w:rsidRPr="00B82133">
        <w:rPr>
          <w:rStyle w:val="Hyperlink"/>
          <w:color w:val="auto"/>
          <w:sz w:val="20"/>
          <w:szCs w:val="20"/>
        </w:rPr>
        <w:t xml:space="preserve">; </w:t>
      </w:r>
      <w:hyperlink r:id="rId5" w:history="1">
        <w:r w:rsidRPr="00B82133">
          <w:rPr>
            <w:rStyle w:val="Hyperlink"/>
            <w:color w:val="auto"/>
            <w:sz w:val="20"/>
            <w:szCs w:val="20"/>
          </w:rPr>
          <w:t>https://www.transport.wa.gov.au/mediaFiles/taxis/ ODT_P_Reform_FAQs_b.pdf</w:t>
        </w:r>
      </w:hyperlink>
      <w:r w:rsidRPr="00B82133">
        <w:rPr>
          <w:rStyle w:val="Hyperlink"/>
          <w:color w:val="auto"/>
          <w:sz w:val="20"/>
          <w:szCs w:val="20"/>
        </w:rPr>
        <w:t xml:space="preserve">; </w:t>
      </w:r>
      <w:hyperlink r:id="rId6" w:history="1">
        <w:r w:rsidRPr="00B82133">
          <w:rPr>
            <w:rStyle w:val="Hyperlink"/>
            <w:color w:val="auto"/>
            <w:sz w:val="20"/>
            <w:szCs w:val="20"/>
          </w:rPr>
          <w:t>https://www.transport.tas.gov.au/passenger/taxi</w:t>
        </w:r>
      </w:hyperlink>
      <w:r w:rsidRPr="00B82133">
        <w:rPr>
          <w:rStyle w:val="Hyperlink"/>
          <w:color w:val="auto"/>
          <w:sz w:val="20"/>
          <w:szCs w:val="20"/>
        </w:rPr>
        <w:t>; https://www.transport.tas.gov.au/__data/assets/pdf_file/0013/124240/Taxi,_Luxury_Hire_and_Restricted_Hire_Vehicle_Information_Sheet.pdf</w:t>
      </w:r>
    </w:p>
  </w:endnote>
  <w:endnote w:id="5">
    <w:p w14:paraId="6D06BB12" w14:textId="77777777" w:rsidR="004E49FA" w:rsidRPr="00B82133" w:rsidRDefault="004E49FA" w:rsidP="00AB69FA">
      <w:pPr>
        <w:pStyle w:val="Footnotes"/>
        <w:rPr>
          <w:sz w:val="20"/>
          <w:szCs w:val="20"/>
        </w:rPr>
      </w:pPr>
      <w:r w:rsidRPr="00B82133">
        <w:rPr>
          <w:rStyle w:val="EndnoteReference"/>
          <w:sz w:val="20"/>
          <w:szCs w:val="20"/>
        </w:rPr>
        <w:endnoteRef/>
      </w:r>
      <w:r w:rsidRPr="00B82133">
        <w:rPr>
          <w:sz w:val="20"/>
          <w:szCs w:val="20"/>
        </w:rPr>
        <w:t xml:space="preserve"> </w:t>
      </w:r>
      <w:hyperlink r:id="rId7" w:history="1">
        <w:r w:rsidRPr="00B82133">
          <w:rPr>
            <w:rStyle w:val="Hyperlink"/>
            <w:color w:val="auto"/>
            <w:sz w:val="20"/>
            <w:szCs w:val="20"/>
          </w:rPr>
          <w:t>http://www.legislation.act.gov.au/di/2017-247/current/pdf/2017-247.pdf</w:t>
        </w:r>
      </w:hyperlink>
      <w:r w:rsidRPr="00B82133">
        <w:rPr>
          <w:sz w:val="20"/>
          <w:szCs w:val="20"/>
        </w:rPr>
        <w:t xml:space="preserve"> </w:t>
      </w:r>
    </w:p>
  </w:endnote>
  <w:endnote w:id="6">
    <w:p w14:paraId="24A7BF80" w14:textId="77777777" w:rsidR="004E49FA" w:rsidRPr="00B82133" w:rsidRDefault="004E49FA" w:rsidP="004E64DE">
      <w:pPr>
        <w:pStyle w:val="Footnotes"/>
        <w:rPr>
          <w:sz w:val="20"/>
          <w:szCs w:val="20"/>
        </w:rPr>
      </w:pPr>
      <w:r w:rsidRPr="00B82133">
        <w:rPr>
          <w:rStyle w:val="EndnoteReference"/>
          <w:sz w:val="20"/>
          <w:szCs w:val="20"/>
        </w:rPr>
        <w:endnoteRef/>
      </w:r>
      <w:r w:rsidRPr="00B82133">
        <w:rPr>
          <w:sz w:val="20"/>
          <w:szCs w:val="20"/>
        </w:rPr>
        <w:t xml:space="preserve"> Some practical concerns have been raised through Evaluation that may limit the opportunity to reduce fares such as requirements around the operation of taxi meters. </w:t>
      </w:r>
    </w:p>
  </w:endnote>
  <w:endnote w:id="7">
    <w:p w14:paraId="594DC277" w14:textId="77777777" w:rsidR="004E49FA" w:rsidRPr="00B82133" w:rsidRDefault="004E49FA" w:rsidP="00AB69FA">
      <w:pPr>
        <w:pStyle w:val="Footnotes"/>
        <w:rPr>
          <w:sz w:val="20"/>
          <w:szCs w:val="20"/>
        </w:rPr>
      </w:pPr>
      <w:r w:rsidRPr="00B82133">
        <w:rPr>
          <w:rStyle w:val="EndnoteReference"/>
          <w:sz w:val="20"/>
          <w:szCs w:val="20"/>
        </w:rPr>
        <w:endnoteRef/>
      </w:r>
      <w:r w:rsidRPr="00B82133">
        <w:rPr>
          <w:sz w:val="20"/>
          <w:szCs w:val="20"/>
        </w:rPr>
        <w:t xml:space="preserve"> </w:t>
      </w:r>
      <w:hyperlink r:id="rId8" w:history="1">
        <w:r w:rsidRPr="00B82133">
          <w:rPr>
            <w:rStyle w:val="Hyperlink"/>
            <w:color w:val="auto"/>
            <w:sz w:val="20"/>
            <w:szCs w:val="20"/>
          </w:rPr>
          <w:t>http://www.cmd.act.gov.au/policystrategic/regreform/2015-taxi-industry-innovation-reforms/taxi-industry-innovation-review-discussion-paper</w:t>
        </w:r>
      </w:hyperlink>
      <w:r w:rsidRPr="00B82133">
        <w:rPr>
          <w:sz w:val="20"/>
          <w:szCs w:val="20"/>
        </w:rPr>
        <w:t xml:space="preserve"> </w:t>
      </w:r>
    </w:p>
  </w:endnote>
  <w:endnote w:id="8">
    <w:p w14:paraId="3C6D35EF" w14:textId="77777777" w:rsidR="004E49FA" w:rsidRPr="00B82133" w:rsidRDefault="004E49FA" w:rsidP="0066383B">
      <w:pPr>
        <w:pStyle w:val="Footnotes"/>
        <w:rPr>
          <w:sz w:val="20"/>
          <w:szCs w:val="20"/>
        </w:rPr>
      </w:pPr>
      <w:r w:rsidRPr="00B82133">
        <w:rPr>
          <w:rStyle w:val="EndnoteReference"/>
          <w:sz w:val="20"/>
          <w:szCs w:val="20"/>
        </w:rPr>
        <w:endnoteRef/>
      </w:r>
      <w:r w:rsidRPr="00B82133">
        <w:rPr>
          <w:sz w:val="20"/>
          <w:szCs w:val="20"/>
        </w:rPr>
        <w:t xml:space="preserve"> </w:t>
      </w:r>
      <w:hyperlink r:id="rId9" w:anchor="cards" w:history="1">
        <w:r w:rsidRPr="00B82133">
          <w:rPr>
            <w:rStyle w:val="Hyperlink"/>
            <w:color w:val="auto"/>
            <w:sz w:val="20"/>
            <w:szCs w:val="20"/>
          </w:rPr>
          <w:t>https://www.transport.act.gov.au/myway-and-fares/mywayguide/concessions#cards</w:t>
        </w:r>
      </w:hyperlink>
    </w:p>
  </w:endnote>
  <w:endnote w:id="9">
    <w:p w14:paraId="3848BC11" w14:textId="77777777" w:rsidR="004E49FA" w:rsidRPr="00B82133" w:rsidRDefault="004E49FA" w:rsidP="00776DB8">
      <w:pPr>
        <w:pStyle w:val="Footnotes"/>
        <w:rPr>
          <w:sz w:val="20"/>
          <w:szCs w:val="20"/>
        </w:rPr>
      </w:pPr>
      <w:r w:rsidRPr="00B82133">
        <w:rPr>
          <w:rStyle w:val="EndnoteReference"/>
          <w:sz w:val="20"/>
          <w:szCs w:val="20"/>
        </w:rPr>
        <w:endnoteRef/>
      </w:r>
      <w:r w:rsidRPr="00B82133">
        <w:rPr>
          <w:sz w:val="20"/>
          <w:szCs w:val="20"/>
        </w:rPr>
        <w:t xml:space="preserve"> Fares in other markets have also been affected by levies to support transitional assistance as part of reform packages.</w:t>
      </w:r>
    </w:p>
  </w:endnote>
  <w:endnote w:id="10">
    <w:p w14:paraId="5963A354" w14:textId="77777777" w:rsidR="004E49FA" w:rsidRPr="00B82133" w:rsidRDefault="004E49FA" w:rsidP="00776DB8">
      <w:pPr>
        <w:pStyle w:val="EndnoteText"/>
      </w:pPr>
      <w:r w:rsidRPr="00B82133">
        <w:rPr>
          <w:rStyle w:val="EndnoteReference"/>
        </w:rPr>
        <w:endnoteRef/>
      </w:r>
      <w:r w:rsidRPr="00B82133">
        <w:rPr>
          <w:rStyle w:val="Hyperlink"/>
          <w:rFonts w:eastAsia="Times New Roman"/>
          <w:color w:val="auto"/>
        </w:rPr>
        <w:t xml:space="preserve"> </w:t>
      </w:r>
      <w:hyperlink r:id="rId10" w:history="1">
        <w:r w:rsidRPr="00B82133">
          <w:rPr>
            <w:rStyle w:val="Hyperlink"/>
            <w:rFonts w:eastAsia="Times New Roman"/>
            <w:color w:val="auto"/>
          </w:rPr>
          <w:t>https://www.transport.wa.gov.au/mediaFiles/taxis/ODT_P_Reform_Customers_QandA_d.pdf</w:t>
        </w:r>
      </w:hyperlink>
      <w:r w:rsidRPr="00B82133">
        <w:t xml:space="preserve"> </w:t>
      </w:r>
    </w:p>
  </w:endnote>
  <w:endnote w:id="11">
    <w:p w14:paraId="5E7DAE79" w14:textId="77777777" w:rsidR="004E49FA" w:rsidRPr="00B82133" w:rsidRDefault="004E49FA" w:rsidP="00776DB8">
      <w:pPr>
        <w:pStyle w:val="Footnotes"/>
        <w:rPr>
          <w:rStyle w:val="Hyperlink"/>
          <w:color w:val="auto"/>
          <w:sz w:val="20"/>
          <w:szCs w:val="20"/>
        </w:rPr>
      </w:pPr>
      <w:r w:rsidRPr="00B82133">
        <w:rPr>
          <w:rStyle w:val="EndnoteReference"/>
          <w:sz w:val="20"/>
          <w:szCs w:val="20"/>
        </w:rPr>
        <w:endnoteRef/>
      </w:r>
      <w:r w:rsidRPr="00B82133">
        <w:rPr>
          <w:rStyle w:val="Hyperlink"/>
          <w:color w:val="auto"/>
          <w:sz w:val="20"/>
          <w:szCs w:val="20"/>
        </w:rPr>
        <w:t>https://transport.vic.gov.au/ways-to-travel/taxis-hire-car-and-ridesharing/industry-reforms/</w:t>
      </w:r>
    </w:p>
  </w:endnote>
  <w:endnote w:id="12">
    <w:p w14:paraId="169B3373" w14:textId="77777777" w:rsidR="004E49FA" w:rsidRPr="00B82133" w:rsidRDefault="004E49FA" w:rsidP="00776DB8">
      <w:pPr>
        <w:pStyle w:val="Footnotes"/>
        <w:rPr>
          <w:sz w:val="20"/>
          <w:szCs w:val="20"/>
        </w:rPr>
      </w:pPr>
      <w:r w:rsidRPr="00B82133">
        <w:rPr>
          <w:rStyle w:val="EndnoteReference"/>
          <w:sz w:val="20"/>
          <w:szCs w:val="20"/>
        </w:rPr>
        <w:endnoteRef/>
      </w:r>
      <w:r w:rsidRPr="00B82133">
        <w:rPr>
          <w:sz w:val="20"/>
          <w:szCs w:val="20"/>
        </w:rPr>
        <w:t xml:space="preserve"> </w:t>
      </w:r>
      <w:hyperlink r:id="rId11" w:history="1">
        <w:r w:rsidRPr="00B82133">
          <w:rPr>
            <w:rStyle w:val="Hyperlink"/>
            <w:color w:val="auto"/>
            <w:sz w:val="20"/>
            <w:szCs w:val="20"/>
          </w:rPr>
          <w:t>https://www.tmr.qld.gov.au/business-industry/Taxi-and-limousine/Industry-information/Taxi/Taxi-fares-service-areas-and-maps</w:t>
        </w:r>
      </w:hyperlink>
      <w:r w:rsidRPr="00B82133">
        <w:rPr>
          <w:sz w:val="20"/>
          <w:szCs w:val="20"/>
        </w:rPr>
        <w:t xml:space="preserve"> </w:t>
      </w:r>
    </w:p>
  </w:endnote>
  <w:endnote w:id="13">
    <w:p w14:paraId="5B116DEF" w14:textId="77777777" w:rsidR="004E49FA" w:rsidRPr="00B82133" w:rsidRDefault="004E49FA" w:rsidP="00776DB8">
      <w:pPr>
        <w:pStyle w:val="Footnotes"/>
        <w:rPr>
          <w:sz w:val="20"/>
          <w:szCs w:val="20"/>
        </w:rPr>
      </w:pPr>
      <w:r w:rsidRPr="00B82133">
        <w:rPr>
          <w:rStyle w:val="EndnoteReference"/>
          <w:sz w:val="20"/>
          <w:szCs w:val="20"/>
        </w:rPr>
        <w:endnoteRef/>
      </w:r>
      <w:r w:rsidRPr="00B82133">
        <w:rPr>
          <w:sz w:val="20"/>
          <w:szCs w:val="20"/>
        </w:rPr>
        <w:t xml:space="preserve"> </w:t>
      </w:r>
      <w:hyperlink r:id="rId12" w:history="1">
        <w:r w:rsidRPr="00B82133">
          <w:rPr>
            <w:rStyle w:val="Hyperlink"/>
            <w:color w:val="auto"/>
            <w:sz w:val="20"/>
            <w:szCs w:val="20"/>
          </w:rPr>
          <w:t>https://dpti.sa.gov.au/__data/assets/pdf_file/0003/256746/Taxi_Review_factsheet_4_Oct_2016.pdf</w:t>
        </w:r>
      </w:hyperlink>
      <w:r w:rsidRPr="00B82133">
        <w:rPr>
          <w:sz w:val="20"/>
          <w:szCs w:val="20"/>
        </w:rPr>
        <w:t xml:space="preserve"> </w:t>
      </w:r>
    </w:p>
  </w:endnote>
  <w:endnote w:id="14">
    <w:p w14:paraId="46B35BA4" w14:textId="77777777" w:rsidR="004E49FA" w:rsidRPr="00B82133" w:rsidRDefault="004E49FA" w:rsidP="00776DB8">
      <w:pPr>
        <w:pStyle w:val="Footnotes"/>
        <w:rPr>
          <w:sz w:val="20"/>
          <w:szCs w:val="20"/>
        </w:rPr>
      </w:pPr>
      <w:r w:rsidRPr="00B82133">
        <w:rPr>
          <w:rStyle w:val="EndnoteReference"/>
          <w:sz w:val="20"/>
          <w:szCs w:val="20"/>
        </w:rPr>
        <w:endnoteRef/>
      </w:r>
      <w:r w:rsidRPr="00B82133">
        <w:rPr>
          <w:sz w:val="20"/>
          <w:szCs w:val="20"/>
        </w:rPr>
        <w:t xml:space="preserve"> </w:t>
      </w:r>
      <w:hyperlink r:id="rId13" w:history="1">
        <w:r w:rsidRPr="00B82133">
          <w:rPr>
            <w:rStyle w:val="Hyperlink"/>
            <w:color w:val="auto"/>
            <w:sz w:val="20"/>
            <w:szCs w:val="20"/>
          </w:rPr>
          <w:t>https://transport.nt.gov.au/transport/transport-strategies-and-plans/commercial-passenger-vehicle-reforms/taxi-fare-review</w:t>
        </w:r>
      </w:hyperlink>
      <w:r w:rsidRPr="00B82133">
        <w:rPr>
          <w:sz w:val="20"/>
          <w:szCs w:val="20"/>
        </w:rPr>
        <w:t xml:space="preserve"> </w:t>
      </w:r>
    </w:p>
  </w:endnote>
  <w:endnote w:id="15">
    <w:p w14:paraId="69CF790B" w14:textId="77777777" w:rsidR="004E49FA" w:rsidRPr="00B82133" w:rsidRDefault="004E49FA" w:rsidP="00776DB8">
      <w:pPr>
        <w:pStyle w:val="Footnotes"/>
        <w:rPr>
          <w:sz w:val="20"/>
          <w:szCs w:val="20"/>
        </w:rPr>
      </w:pPr>
      <w:r w:rsidRPr="00B82133">
        <w:rPr>
          <w:rStyle w:val="EndnoteReference"/>
          <w:sz w:val="20"/>
          <w:szCs w:val="20"/>
        </w:rPr>
        <w:endnoteRef/>
      </w:r>
      <w:r w:rsidRPr="00B82133">
        <w:rPr>
          <w:sz w:val="20"/>
          <w:szCs w:val="20"/>
        </w:rPr>
        <w:t xml:space="preserve"> </w:t>
      </w:r>
      <w:hyperlink r:id="rId14" w:history="1">
        <w:r w:rsidRPr="00B82133">
          <w:rPr>
            <w:rStyle w:val="Hyperlink"/>
            <w:color w:val="auto"/>
            <w:sz w:val="20"/>
            <w:szCs w:val="20"/>
          </w:rPr>
          <w:t>http://www.transport.tas.gov.au/passenger/taxi/taxi_and_hire_vehicle_industries_regulatory_review</w:t>
        </w:r>
      </w:hyperlink>
      <w:r w:rsidRPr="00B82133">
        <w:rPr>
          <w:sz w:val="20"/>
          <w:szCs w:val="20"/>
        </w:rPr>
        <w:t xml:space="preserve"> </w:t>
      </w:r>
    </w:p>
  </w:endnote>
  <w:endnote w:id="16">
    <w:p w14:paraId="448DD960" w14:textId="77777777" w:rsidR="004E49FA" w:rsidRPr="00B82133" w:rsidRDefault="004E49FA" w:rsidP="00953B22">
      <w:pPr>
        <w:pStyle w:val="EndnoteText"/>
        <w:rPr>
          <w:rStyle w:val="Hyperlink"/>
          <w:rFonts w:eastAsia="Times New Roman"/>
          <w:color w:val="auto"/>
        </w:rPr>
      </w:pPr>
      <w:r w:rsidRPr="00B82133">
        <w:rPr>
          <w:rStyle w:val="EndnoteReference"/>
        </w:rPr>
        <w:endnoteRef/>
      </w:r>
      <w:r w:rsidRPr="00B82133">
        <w:t xml:space="preserve"> </w:t>
      </w:r>
      <w:hyperlink r:id="rId15" w:history="1">
        <w:r w:rsidRPr="00B82133">
          <w:rPr>
            <w:rStyle w:val="Hyperlink"/>
            <w:rFonts w:eastAsia="Times New Roman"/>
            <w:color w:val="auto"/>
          </w:rPr>
          <w:t>https://www.ipart.nsw.gov.au/files/sharedassets/website/shared-files/pricing-reviews-transport-services-admin-taxi-fares-and-licences-from-july-2018/publications-taxi-fares-and-licences-from-july-2018/final-report-taxi-fares-in-nsw-and-taxi-licences-outside-sydney-from-1-july-2018.pdf</w:t>
        </w:r>
      </w:hyperlink>
      <w:r w:rsidRPr="00B82133">
        <w:rPr>
          <w:rStyle w:val="Hyperlink"/>
          <w:rFonts w:eastAsia="Times New Roman"/>
          <w:color w:val="auto"/>
        </w:rPr>
        <w:t xml:space="preserve"> </w:t>
      </w:r>
    </w:p>
  </w:endnote>
  <w:endnote w:id="17">
    <w:p w14:paraId="7A27A4C5" w14:textId="77777777" w:rsidR="004E49FA" w:rsidRPr="002D0EC5" w:rsidRDefault="004E49FA" w:rsidP="00A72D58">
      <w:pPr>
        <w:pStyle w:val="Footnotes"/>
      </w:pPr>
      <w:r w:rsidRPr="00B82133">
        <w:rPr>
          <w:rStyle w:val="EndnoteReference"/>
          <w:sz w:val="20"/>
          <w:szCs w:val="20"/>
        </w:rPr>
        <w:endnoteRef/>
      </w:r>
      <w:r w:rsidRPr="00B82133">
        <w:rPr>
          <w:sz w:val="20"/>
          <w:szCs w:val="20"/>
        </w:rPr>
        <w:t xml:space="preserve"> </w:t>
      </w:r>
      <w:hyperlink r:id="rId16" w:history="1">
        <w:r w:rsidRPr="00B82133">
          <w:rPr>
            <w:rStyle w:val="Hyperlink"/>
            <w:color w:val="auto"/>
            <w:sz w:val="20"/>
            <w:szCs w:val="20"/>
          </w:rPr>
          <w:t>https://transport.nt.gov.au/transport/transport-strategies-and-plans/commercial-passenger-vehicle-reforms/taxi-fare-review</w:t>
        </w:r>
      </w:hyperlink>
      <w:r w:rsidRPr="00F37DC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86E8" w14:textId="66B1AF3F" w:rsidR="004E49FA" w:rsidRPr="000A6B63" w:rsidRDefault="00F515B2" w:rsidP="00516B13">
    <w:pPr>
      <w:pStyle w:val="Footer"/>
      <w:jc w:val="right"/>
    </w:pPr>
    <w:sdt>
      <w:sdtPr>
        <w:id w:val="1770279352"/>
        <w:docPartObj>
          <w:docPartGallery w:val="Page Numbers (Bottom of Page)"/>
          <w:docPartUnique/>
        </w:docPartObj>
      </w:sdtPr>
      <w:sdtEndPr>
        <w:rPr>
          <w:noProof/>
        </w:rPr>
      </w:sdtEndPr>
      <w:sdtContent>
        <w:r w:rsidR="004E49FA">
          <w:fldChar w:fldCharType="begin"/>
        </w:r>
        <w:r w:rsidR="004E49FA">
          <w:instrText xml:space="preserve"> PAGE   \* MERGEFORMAT </w:instrText>
        </w:r>
        <w:r w:rsidR="004E49FA">
          <w:fldChar w:fldCharType="separate"/>
        </w:r>
        <w:r>
          <w:rPr>
            <w:noProof/>
          </w:rPr>
          <w:t>17</w:t>
        </w:r>
        <w:r w:rsidR="004E49FA">
          <w:rPr>
            <w:noProof/>
          </w:rPr>
          <w:fldChar w:fldCharType="end"/>
        </w:r>
      </w:sdtContent>
    </w:sdt>
    <w:r w:rsidR="004E49FA">
      <w:rPr>
        <w:b/>
        <w:caps/>
        <w:noProof/>
        <w:color w:val="000000"/>
      </w:rPr>
      <w:drawing>
        <wp:anchor distT="0" distB="0" distL="114300" distR="114300" simplePos="0" relativeHeight="251657216" behindDoc="1" locked="0" layoutInCell="1" allowOverlap="1" wp14:anchorId="2C2F5295" wp14:editId="6E08769C">
          <wp:simplePos x="0" y="0"/>
          <wp:positionH relativeFrom="page">
            <wp:posOffset>34506</wp:posOffset>
          </wp:positionH>
          <wp:positionV relativeFrom="page">
            <wp:posOffset>10817896</wp:posOffset>
          </wp:positionV>
          <wp:extent cx="9357995" cy="905510"/>
          <wp:effectExtent l="19050" t="0" r="0" b="0"/>
          <wp:wrapNone/>
          <wp:docPr id="2"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s ACT-header.jpg"/>
                  <pic:cNvPicPr>
                    <a:picLocks noChangeAspect="1" noChangeArrowheads="1"/>
                  </pic:cNvPicPr>
                </pic:nvPicPr>
                <pic:blipFill>
                  <a:blip r:embed="rId1"/>
                  <a:srcRect/>
                  <a:stretch>
                    <a:fillRect/>
                  </a:stretch>
                </pic:blipFill>
                <pic:spPr bwMode="auto">
                  <a:xfrm>
                    <a:off x="0" y="0"/>
                    <a:ext cx="9357995" cy="90551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3598"/>
      <w:docPartObj>
        <w:docPartGallery w:val="Page Numbers (Bottom of Page)"/>
        <w:docPartUnique/>
      </w:docPartObj>
    </w:sdtPr>
    <w:sdtEndPr>
      <w:rPr>
        <w:noProof/>
      </w:rPr>
    </w:sdtEndPr>
    <w:sdtContent>
      <w:p w14:paraId="17CADE15" w14:textId="046226E3" w:rsidR="004E49FA" w:rsidRDefault="004E49FA" w:rsidP="00B21F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41212" w14:textId="77777777" w:rsidR="004E49FA" w:rsidRDefault="004E49FA" w:rsidP="00665B9F">
      <w:pPr>
        <w:spacing w:after="0"/>
      </w:pPr>
      <w:r>
        <w:separator/>
      </w:r>
    </w:p>
  </w:footnote>
  <w:footnote w:type="continuationSeparator" w:id="0">
    <w:p w14:paraId="47C08392" w14:textId="77777777" w:rsidR="004E49FA" w:rsidRDefault="004E49FA" w:rsidP="00665B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70BF" w14:textId="4B6F54B7" w:rsidR="004E49FA" w:rsidRDefault="004E49FA">
    <w:pPr>
      <w:pStyle w:val="Header"/>
    </w:pPr>
    <w:r>
      <w:rPr>
        <w:b/>
        <w:caps/>
        <w:noProof/>
        <w:color w:val="000000"/>
      </w:rPr>
      <w:drawing>
        <wp:anchor distT="0" distB="0" distL="114300" distR="114300" simplePos="0" relativeHeight="251658240" behindDoc="1" locked="0" layoutInCell="1" allowOverlap="1" wp14:anchorId="226E544C" wp14:editId="400E6429">
          <wp:simplePos x="0" y="0"/>
          <wp:positionH relativeFrom="page">
            <wp:posOffset>34506</wp:posOffset>
          </wp:positionH>
          <wp:positionV relativeFrom="topMargin">
            <wp:align>bottom</wp:align>
          </wp:positionV>
          <wp:extent cx="9180195" cy="965200"/>
          <wp:effectExtent l="0" t="0" r="1905" b="6350"/>
          <wp:wrapNone/>
          <wp:docPr id="3"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s ACT-header.jpg"/>
                  <pic:cNvPicPr>
                    <a:picLocks noChangeAspect="1" noChangeArrowheads="1"/>
                  </pic:cNvPicPr>
                </pic:nvPicPr>
                <pic:blipFill>
                  <a:blip r:embed="rId1"/>
                  <a:srcRect/>
                  <a:stretch>
                    <a:fillRect/>
                  </a:stretch>
                </pic:blipFill>
                <pic:spPr bwMode="auto">
                  <a:xfrm>
                    <a:off x="0" y="0"/>
                    <a:ext cx="9180709" cy="9652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7A2CAF8"/>
    <w:lvl w:ilvl="0">
      <w:start w:val="1"/>
      <w:numFmt w:val="decimal"/>
      <w:pStyle w:val="ListNumber2"/>
      <w:lvlText w:val="%1."/>
      <w:lvlJc w:val="left"/>
      <w:pPr>
        <w:tabs>
          <w:tab w:val="num" w:pos="502"/>
        </w:tabs>
        <w:ind w:left="502" w:hanging="360"/>
      </w:pPr>
    </w:lvl>
  </w:abstractNum>
  <w:abstractNum w:abstractNumId="1" w15:restartNumberingAfterBreak="0">
    <w:nsid w:val="FFFFFF88"/>
    <w:multiLevelType w:val="multilevel"/>
    <w:tmpl w:val="05CE111A"/>
    <w:lvl w:ilvl="0">
      <w:start w:val="1"/>
      <w:numFmt w:val="decimal"/>
      <w:pStyle w:val="ListNumber"/>
      <w:lvlText w:val="%1."/>
      <w:lvlJc w:val="left"/>
      <w:pPr>
        <w:tabs>
          <w:tab w:val="num" w:pos="360"/>
        </w:tabs>
        <w:ind w:left="360" w:hanging="360"/>
      </w:pPr>
    </w:lvl>
    <w:lvl w:ilvl="1">
      <w:start w:val="2"/>
      <w:numFmt w:val="decimal"/>
      <w:isLgl/>
      <w:lvlText w:val="%1.%2"/>
      <w:lvlJc w:val="left"/>
      <w:pPr>
        <w:ind w:left="525"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2928" w:hanging="1800"/>
      </w:pPr>
      <w:rPr>
        <w:rFonts w:hint="default"/>
      </w:rPr>
    </w:lvl>
  </w:abstractNum>
  <w:abstractNum w:abstractNumId="2"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55319C8"/>
    <w:multiLevelType w:val="hybridMultilevel"/>
    <w:tmpl w:val="9A64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54D537A"/>
    <w:multiLevelType w:val="hybridMultilevel"/>
    <w:tmpl w:val="860AA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31A54FB"/>
    <w:multiLevelType w:val="hybridMultilevel"/>
    <w:tmpl w:val="BDCA6AAE"/>
    <w:lvl w:ilvl="0" w:tplc="33C0A72C">
      <w:start w:val="1"/>
      <w:numFmt w:val="lowerLetter"/>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E77B3E"/>
    <w:multiLevelType w:val="hybridMultilevel"/>
    <w:tmpl w:val="6B481D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0"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9"/>
  </w:num>
  <w:num w:numId="3">
    <w:abstractNumId w:val="6"/>
  </w:num>
  <w:num w:numId="4">
    <w:abstractNumId w:val="4"/>
  </w:num>
  <w:num w:numId="5">
    <w:abstractNumId w:val="7"/>
  </w:num>
  <w:num w:numId="6">
    <w:abstractNumId w:val="2"/>
  </w:num>
  <w:num w:numId="7">
    <w:abstractNumId w:val="5"/>
  </w:num>
  <w:num w:numId="8">
    <w:abstractNumId w:val="0"/>
  </w:num>
  <w:num w:numId="9">
    <w:abstractNumId w:val="1"/>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isplayHorizont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87"/>
    <w:rsid w:val="000016B9"/>
    <w:rsid w:val="00003C46"/>
    <w:rsid w:val="00005FAE"/>
    <w:rsid w:val="000068D5"/>
    <w:rsid w:val="00006DFE"/>
    <w:rsid w:val="00010073"/>
    <w:rsid w:val="000113A0"/>
    <w:rsid w:val="00011D76"/>
    <w:rsid w:val="00015208"/>
    <w:rsid w:val="00015F97"/>
    <w:rsid w:val="000207D1"/>
    <w:rsid w:val="000214C1"/>
    <w:rsid w:val="00023F5F"/>
    <w:rsid w:val="00024314"/>
    <w:rsid w:val="000244A6"/>
    <w:rsid w:val="00026E3C"/>
    <w:rsid w:val="00026FBF"/>
    <w:rsid w:val="0002718A"/>
    <w:rsid w:val="00027A7D"/>
    <w:rsid w:val="000301F7"/>
    <w:rsid w:val="00030689"/>
    <w:rsid w:val="00030790"/>
    <w:rsid w:val="00030CC1"/>
    <w:rsid w:val="00032D6A"/>
    <w:rsid w:val="00034546"/>
    <w:rsid w:val="0003621B"/>
    <w:rsid w:val="00036B92"/>
    <w:rsid w:val="00036D73"/>
    <w:rsid w:val="000378F7"/>
    <w:rsid w:val="00040593"/>
    <w:rsid w:val="000408B8"/>
    <w:rsid w:val="000419C1"/>
    <w:rsid w:val="00043B50"/>
    <w:rsid w:val="000478B2"/>
    <w:rsid w:val="00047C5C"/>
    <w:rsid w:val="000505D4"/>
    <w:rsid w:val="0005196D"/>
    <w:rsid w:val="000536F0"/>
    <w:rsid w:val="000538D8"/>
    <w:rsid w:val="00057104"/>
    <w:rsid w:val="00057F6B"/>
    <w:rsid w:val="000604C3"/>
    <w:rsid w:val="00061624"/>
    <w:rsid w:val="00061ECA"/>
    <w:rsid w:val="0006335F"/>
    <w:rsid w:val="000648BC"/>
    <w:rsid w:val="00064C45"/>
    <w:rsid w:val="000650AF"/>
    <w:rsid w:val="00065CEA"/>
    <w:rsid w:val="000669CE"/>
    <w:rsid w:val="00066A2A"/>
    <w:rsid w:val="00067FBE"/>
    <w:rsid w:val="00067FFD"/>
    <w:rsid w:val="00070067"/>
    <w:rsid w:val="00072291"/>
    <w:rsid w:val="00076803"/>
    <w:rsid w:val="00081EC7"/>
    <w:rsid w:val="000825CB"/>
    <w:rsid w:val="00082C7F"/>
    <w:rsid w:val="0008560C"/>
    <w:rsid w:val="000869C4"/>
    <w:rsid w:val="000873A1"/>
    <w:rsid w:val="000901D2"/>
    <w:rsid w:val="00090A83"/>
    <w:rsid w:val="0009125E"/>
    <w:rsid w:val="00091AC1"/>
    <w:rsid w:val="00093B8F"/>
    <w:rsid w:val="0009568F"/>
    <w:rsid w:val="0009696B"/>
    <w:rsid w:val="00097B20"/>
    <w:rsid w:val="00097C17"/>
    <w:rsid w:val="00097DEC"/>
    <w:rsid w:val="00097E81"/>
    <w:rsid w:val="000A082D"/>
    <w:rsid w:val="000A2F28"/>
    <w:rsid w:val="000A2FFC"/>
    <w:rsid w:val="000A3BF5"/>
    <w:rsid w:val="000A5273"/>
    <w:rsid w:val="000A5A56"/>
    <w:rsid w:val="000A6210"/>
    <w:rsid w:val="000A6B63"/>
    <w:rsid w:val="000A7870"/>
    <w:rsid w:val="000B02B6"/>
    <w:rsid w:val="000B13CB"/>
    <w:rsid w:val="000B29A7"/>
    <w:rsid w:val="000B2EA4"/>
    <w:rsid w:val="000B2F4F"/>
    <w:rsid w:val="000B3265"/>
    <w:rsid w:val="000B4D21"/>
    <w:rsid w:val="000B705C"/>
    <w:rsid w:val="000B72B8"/>
    <w:rsid w:val="000B74CB"/>
    <w:rsid w:val="000B7572"/>
    <w:rsid w:val="000B7839"/>
    <w:rsid w:val="000C278E"/>
    <w:rsid w:val="000C3F1E"/>
    <w:rsid w:val="000C6C34"/>
    <w:rsid w:val="000C70E3"/>
    <w:rsid w:val="000D2086"/>
    <w:rsid w:val="000D3702"/>
    <w:rsid w:val="000D6822"/>
    <w:rsid w:val="000E1C6C"/>
    <w:rsid w:val="000E3997"/>
    <w:rsid w:val="000E3D77"/>
    <w:rsid w:val="000E41C4"/>
    <w:rsid w:val="000E46D6"/>
    <w:rsid w:val="000E4A45"/>
    <w:rsid w:val="000E5664"/>
    <w:rsid w:val="000E5D40"/>
    <w:rsid w:val="000E706E"/>
    <w:rsid w:val="000F43D1"/>
    <w:rsid w:val="000F504F"/>
    <w:rsid w:val="000F5CCD"/>
    <w:rsid w:val="000F5D86"/>
    <w:rsid w:val="000F5DBF"/>
    <w:rsid w:val="000F5FBB"/>
    <w:rsid w:val="00100195"/>
    <w:rsid w:val="00101592"/>
    <w:rsid w:val="00103C10"/>
    <w:rsid w:val="001054E0"/>
    <w:rsid w:val="001068B7"/>
    <w:rsid w:val="00106BE6"/>
    <w:rsid w:val="00106C52"/>
    <w:rsid w:val="00110769"/>
    <w:rsid w:val="00111CE9"/>
    <w:rsid w:val="00113EC9"/>
    <w:rsid w:val="00115BDF"/>
    <w:rsid w:val="001162E6"/>
    <w:rsid w:val="00116566"/>
    <w:rsid w:val="001173D8"/>
    <w:rsid w:val="0011798B"/>
    <w:rsid w:val="0012126F"/>
    <w:rsid w:val="00121ACC"/>
    <w:rsid w:val="00124B63"/>
    <w:rsid w:val="00125B89"/>
    <w:rsid w:val="00127168"/>
    <w:rsid w:val="00127E28"/>
    <w:rsid w:val="001320BC"/>
    <w:rsid w:val="00133648"/>
    <w:rsid w:val="00136156"/>
    <w:rsid w:val="00136F8D"/>
    <w:rsid w:val="00137119"/>
    <w:rsid w:val="00141660"/>
    <w:rsid w:val="0014196A"/>
    <w:rsid w:val="00142221"/>
    <w:rsid w:val="00145027"/>
    <w:rsid w:val="00145121"/>
    <w:rsid w:val="00145DAC"/>
    <w:rsid w:val="00145E52"/>
    <w:rsid w:val="0014782C"/>
    <w:rsid w:val="0015010B"/>
    <w:rsid w:val="001501D9"/>
    <w:rsid w:val="00150201"/>
    <w:rsid w:val="001511E4"/>
    <w:rsid w:val="00152EB7"/>
    <w:rsid w:val="001536D0"/>
    <w:rsid w:val="00154433"/>
    <w:rsid w:val="001564A0"/>
    <w:rsid w:val="00157356"/>
    <w:rsid w:val="00157EFA"/>
    <w:rsid w:val="0016076C"/>
    <w:rsid w:val="0016080C"/>
    <w:rsid w:val="001623DE"/>
    <w:rsid w:val="00162633"/>
    <w:rsid w:val="0016378E"/>
    <w:rsid w:val="0017116A"/>
    <w:rsid w:val="001716AD"/>
    <w:rsid w:val="0017195C"/>
    <w:rsid w:val="00172BE3"/>
    <w:rsid w:val="00174B22"/>
    <w:rsid w:val="001763B9"/>
    <w:rsid w:val="00177E63"/>
    <w:rsid w:val="00181CD0"/>
    <w:rsid w:val="00182C7A"/>
    <w:rsid w:val="00183F96"/>
    <w:rsid w:val="00186DDF"/>
    <w:rsid w:val="001876EE"/>
    <w:rsid w:val="00187EF9"/>
    <w:rsid w:val="00190D06"/>
    <w:rsid w:val="001912A2"/>
    <w:rsid w:val="00192093"/>
    <w:rsid w:val="00192196"/>
    <w:rsid w:val="00193B56"/>
    <w:rsid w:val="00195808"/>
    <w:rsid w:val="001963D1"/>
    <w:rsid w:val="001966FA"/>
    <w:rsid w:val="00197666"/>
    <w:rsid w:val="001A0139"/>
    <w:rsid w:val="001A0956"/>
    <w:rsid w:val="001A1C52"/>
    <w:rsid w:val="001A3CEB"/>
    <w:rsid w:val="001B58A6"/>
    <w:rsid w:val="001B69CD"/>
    <w:rsid w:val="001C0C55"/>
    <w:rsid w:val="001C1FF2"/>
    <w:rsid w:val="001C40D2"/>
    <w:rsid w:val="001C62B3"/>
    <w:rsid w:val="001C6588"/>
    <w:rsid w:val="001C7B77"/>
    <w:rsid w:val="001C7FD3"/>
    <w:rsid w:val="001D020D"/>
    <w:rsid w:val="001D2EAB"/>
    <w:rsid w:val="001D2ECB"/>
    <w:rsid w:val="001D6A32"/>
    <w:rsid w:val="001E0ECF"/>
    <w:rsid w:val="001E161C"/>
    <w:rsid w:val="001E240B"/>
    <w:rsid w:val="001E2471"/>
    <w:rsid w:val="001E26E0"/>
    <w:rsid w:val="001E3474"/>
    <w:rsid w:val="001E7690"/>
    <w:rsid w:val="001E76BA"/>
    <w:rsid w:val="001E7DE0"/>
    <w:rsid w:val="001F047C"/>
    <w:rsid w:val="001F1B62"/>
    <w:rsid w:val="001F2483"/>
    <w:rsid w:val="001F4621"/>
    <w:rsid w:val="001F5209"/>
    <w:rsid w:val="001F53BC"/>
    <w:rsid w:val="0020084C"/>
    <w:rsid w:val="002009BA"/>
    <w:rsid w:val="0020318C"/>
    <w:rsid w:val="00203947"/>
    <w:rsid w:val="0020726C"/>
    <w:rsid w:val="00213971"/>
    <w:rsid w:val="00213E84"/>
    <w:rsid w:val="00214A8E"/>
    <w:rsid w:val="00215465"/>
    <w:rsid w:val="002157F9"/>
    <w:rsid w:val="0022196A"/>
    <w:rsid w:val="00225DAC"/>
    <w:rsid w:val="00226D31"/>
    <w:rsid w:val="002313BD"/>
    <w:rsid w:val="002318D8"/>
    <w:rsid w:val="00234DAE"/>
    <w:rsid w:val="00235A91"/>
    <w:rsid w:val="00236144"/>
    <w:rsid w:val="002362E0"/>
    <w:rsid w:val="00236457"/>
    <w:rsid w:val="00242EF6"/>
    <w:rsid w:val="0024360E"/>
    <w:rsid w:val="0024488D"/>
    <w:rsid w:val="00245AC9"/>
    <w:rsid w:val="002462E4"/>
    <w:rsid w:val="00246A9A"/>
    <w:rsid w:val="00247FC8"/>
    <w:rsid w:val="00250D7E"/>
    <w:rsid w:val="00252EAE"/>
    <w:rsid w:val="00252FB3"/>
    <w:rsid w:val="00253567"/>
    <w:rsid w:val="00263A8D"/>
    <w:rsid w:val="00264544"/>
    <w:rsid w:val="00265A00"/>
    <w:rsid w:val="00265B03"/>
    <w:rsid w:val="00265FEC"/>
    <w:rsid w:val="002669A5"/>
    <w:rsid w:val="00266A8F"/>
    <w:rsid w:val="00273865"/>
    <w:rsid w:val="0027749F"/>
    <w:rsid w:val="00281513"/>
    <w:rsid w:val="00283CF1"/>
    <w:rsid w:val="002846D8"/>
    <w:rsid w:val="00287C96"/>
    <w:rsid w:val="00290684"/>
    <w:rsid w:val="00291CA5"/>
    <w:rsid w:val="002920F7"/>
    <w:rsid w:val="00293479"/>
    <w:rsid w:val="002942E0"/>
    <w:rsid w:val="002950DC"/>
    <w:rsid w:val="00296EA1"/>
    <w:rsid w:val="002A0832"/>
    <w:rsid w:val="002A1358"/>
    <w:rsid w:val="002A19C6"/>
    <w:rsid w:val="002A1A4C"/>
    <w:rsid w:val="002A2B11"/>
    <w:rsid w:val="002A5458"/>
    <w:rsid w:val="002A6E9D"/>
    <w:rsid w:val="002B280D"/>
    <w:rsid w:val="002B2B45"/>
    <w:rsid w:val="002B518B"/>
    <w:rsid w:val="002C192E"/>
    <w:rsid w:val="002C1AEC"/>
    <w:rsid w:val="002C1BCD"/>
    <w:rsid w:val="002C2163"/>
    <w:rsid w:val="002C254F"/>
    <w:rsid w:val="002C588E"/>
    <w:rsid w:val="002C6B74"/>
    <w:rsid w:val="002D100A"/>
    <w:rsid w:val="002D33BC"/>
    <w:rsid w:val="002D3F0B"/>
    <w:rsid w:val="002D52E6"/>
    <w:rsid w:val="002D5A15"/>
    <w:rsid w:val="002D5CAD"/>
    <w:rsid w:val="002E0AB6"/>
    <w:rsid w:val="002E21C9"/>
    <w:rsid w:val="002E559E"/>
    <w:rsid w:val="002E7655"/>
    <w:rsid w:val="002E7B0C"/>
    <w:rsid w:val="002F318F"/>
    <w:rsid w:val="002F38A4"/>
    <w:rsid w:val="002F57B1"/>
    <w:rsid w:val="00301ED3"/>
    <w:rsid w:val="00302902"/>
    <w:rsid w:val="00302F49"/>
    <w:rsid w:val="003061EA"/>
    <w:rsid w:val="00306724"/>
    <w:rsid w:val="00306F8E"/>
    <w:rsid w:val="0031181D"/>
    <w:rsid w:val="00312C49"/>
    <w:rsid w:val="003137F1"/>
    <w:rsid w:val="00313ADC"/>
    <w:rsid w:val="00313E51"/>
    <w:rsid w:val="003143D4"/>
    <w:rsid w:val="00314738"/>
    <w:rsid w:val="00314ECB"/>
    <w:rsid w:val="00315DBE"/>
    <w:rsid w:val="00317715"/>
    <w:rsid w:val="00317CDA"/>
    <w:rsid w:val="003238CE"/>
    <w:rsid w:val="003244AF"/>
    <w:rsid w:val="003278F5"/>
    <w:rsid w:val="00330D5A"/>
    <w:rsid w:val="00331E18"/>
    <w:rsid w:val="00335E7F"/>
    <w:rsid w:val="00336DBD"/>
    <w:rsid w:val="00337324"/>
    <w:rsid w:val="003415C5"/>
    <w:rsid w:val="00341B4C"/>
    <w:rsid w:val="003439ED"/>
    <w:rsid w:val="0034431B"/>
    <w:rsid w:val="00344EC0"/>
    <w:rsid w:val="00347864"/>
    <w:rsid w:val="00347ECF"/>
    <w:rsid w:val="00350090"/>
    <w:rsid w:val="003526AA"/>
    <w:rsid w:val="00353253"/>
    <w:rsid w:val="00354744"/>
    <w:rsid w:val="00354F6D"/>
    <w:rsid w:val="00355128"/>
    <w:rsid w:val="00356764"/>
    <w:rsid w:val="00356969"/>
    <w:rsid w:val="00356E01"/>
    <w:rsid w:val="003633F5"/>
    <w:rsid w:val="00364673"/>
    <w:rsid w:val="0036497C"/>
    <w:rsid w:val="00371609"/>
    <w:rsid w:val="0037169B"/>
    <w:rsid w:val="00373F51"/>
    <w:rsid w:val="00374C5A"/>
    <w:rsid w:val="00376A58"/>
    <w:rsid w:val="0037744F"/>
    <w:rsid w:val="00381326"/>
    <w:rsid w:val="0038214C"/>
    <w:rsid w:val="00384771"/>
    <w:rsid w:val="00393921"/>
    <w:rsid w:val="0039408B"/>
    <w:rsid w:val="003A15A1"/>
    <w:rsid w:val="003A29B4"/>
    <w:rsid w:val="003A3BB1"/>
    <w:rsid w:val="003A4104"/>
    <w:rsid w:val="003A5ACD"/>
    <w:rsid w:val="003A641C"/>
    <w:rsid w:val="003B04C7"/>
    <w:rsid w:val="003B13F4"/>
    <w:rsid w:val="003B3F16"/>
    <w:rsid w:val="003B41CD"/>
    <w:rsid w:val="003B6B2F"/>
    <w:rsid w:val="003C27C9"/>
    <w:rsid w:val="003C4C76"/>
    <w:rsid w:val="003C70BF"/>
    <w:rsid w:val="003C71D9"/>
    <w:rsid w:val="003C793F"/>
    <w:rsid w:val="003D3362"/>
    <w:rsid w:val="003D4DA1"/>
    <w:rsid w:val="003D4DBC"/>
    <w:rsid w:val="003E0619"/>
    <w:rsid w:val="003E0B56"/>
    <w:rsid w:val="003E2857"/>
    <w:rsid w:val="003E2CC6"/>
    <w:rsid w:val="003E5EE9"/>
    <w:rsid w:val="003E621F"/>
    <w:rsid w:val="003E73FA"/>
    <w:rsid w:val="003F167B"/>
    <w:rsid w:val="003F2AA0"/>
    <w:rsid w:val="003F3A00"/>
    <w:rsid w:val="003F52E9"/>
    <w:rsid w:val="003F7A8B"/>
    <w:rsid w:val="004001D4"/>
    <w:rsid w:val="00400631"/>
    <w:rsid w:val="00400902"/>
    <w:rsid w:val="00400BDA"/>
    <w:rsid w:val="0040158A"/>
    <w:rsid w:val="00403449"/>
    <w:rsid w:val="00403BA5"/>
    <w:rsid w:val="0041083B"/>
    <w:rsid w:val="0041097D"/>
    <w:rsid w:val="004115B0"/>
    <w:rsid w:val="00411A3D"/>
    <w:rsid w:val="0041672B"/>
    <w:rsid w:val="004179F8"/>
    <w:rsid w:val="00422227"/>
    <w:rsid w:val="00422CB1"/>
    <w:rsid w:val="00426BED"/>
    <w:rsid w:val="00431783"/>
    <w:rsid w:val="00431C47"/>
    <w:rsid w:val="004326C0"/>
    <w:rsid w:val="00432A4F"/>
    <w:rsid w:val="00432DEA"/>
    <w:rsid w:val="00440106"/>
    <w:rsid w:val="00441C08"/>
    <w:rsid w:val="004439BD"/>
    <w:rsid w:val="004450D0"/>
    <w:rsid w:val="004467D3"/>
    <w:rsid w:val="00447EC6"/>
    <w:rsid w:val="004502A1"/>
    <w:rsid w:val="004527E3"/>
    <w:rsid w:val="00452B15"/>
    <w:rsid w:val="00454D17"/>
    <w:rsid w:val="00456270"/>
    <w:rsid w:val="004563B4"/>
    <w:rsid w:val="004569DF"/>
    <w:rsid w:val="004575F2"/>
    <w:rsid w:val="004615E0"/>
    <w:rsid w:val="00462EFC"/>
    <w:rsid w:val="00464A26"/>
    <w:rsid w:val="00465A49"/>
    <w:rsid w:val="004728EE"/>
    <w:rsid w:val="004735F4"/>
    <w:rsid w:val="00473632"/>
    <w:rsid w:val="00474082"/>
    <w:rsid w:val="00476843"/>
    <w:rsid w:val="004775C5"/>
    <w:rsid w:val="00480537"/>
    <w:rsid w:val="00480B51"/>
    <w:rsid w:val="00481CE3"/>
    <w:rsid w:val="00482E0B"/>
    <w:rsid w:val="004837DB"/>
    <w:rsid w:val="0048531A"/>
    <w:rsid w:val="004854C3"/>
    <w:rsid w:val="00485BFA"/>
    <w:rsid w:val="00486063"/>
    <w:rsid w:val="004875CB"/>
    <w:rsid w:val="00492866"/>
    <w:rsid w:val="00495E27"/>
    <w:rsid w:val="00496C0F"/>
    <w:rsid w:val="00496CD4"/>
    <w:rsid w:val="004A282A"/>
    <w:rsid w:val="004A5E24"/>
    <w:rsid w:val="004A637A"/>
    <w:rsid w:val="004A6891"/>
    <w:rsid w:val="004B24E9"/>
    <w:rsid w:val="004B2E95"/>
    <w:rsid w:val="004B30B5"/>
    <w:rsid w:val="004B3F82"/>
    <w:rsid w:val="004B4981"/>
    <w:rsid w:val="004B7A54"/>
    <w:rsid w:val="004C10AE"/>
    <w:rsid w:val="004C1925"/>
    <w:rsid w:val="004C2E5C"/>
    <w:rsid w:val="004C3595"/>
    <w:rsid w:val="004C5AB2"/>
    <w:rsid w:val="004C62D6"/>
    <w:rsid w:val="004C719E"/>
    <w:rsid w:val="004D0941"/>
    <w:rsid w:val="004D141F"/>
    <w:rsid w:val="004D298E"/>
    <w:rsid w:val="004D332D"/>
    <w:rsid w:val="004D586D"/>
    <w:rsid w:val="004E21C6"/>
    <w:rsid w:val="004E37E7"/>
    <w:rsid w:val="004E49FA"/>
    <w:rsid w:val="004E5A9A"/>
    <w:rsid w:val="004E61FD"/>
    <w:rsid w:val="004E64DE"/>
    <w:rsid w:val="004E69B5"/>
    <w:rsid w:val="004F131E"/>
    <w:rsid w:val="004F3D98"/>
    <w:rsid w:val="004F5B70"/>
    <w:rsid w:val="004F6F92"/>
    <w:rsid w:val="004F74DA"/>
    <w:rsid w:val="0050145A"/>
    <w:rsid w:val="005014D9"/>
    <w:rsid w:val="00501EA9"/>
    <w:rsid w:val="00502BB9"/>
    <w:rsid w:val="00503E7E"/>
    <w:rsid w:val="005056C5"/>
    <w:rsid w:val="00506988"/>
    <w:rsid w:val="00510C16"/>
    <w:rsid w:val="005110E1"/>
    <w:rsid w:val="00511C96"/>
    <w:rsid w:val="00511F00"/>
    <w:rsid w:val="00512B7B"/>
    <w:rsid w:val="00512E77"/>
    <w:rsid w:val="00513E04"/>
    <w:rsid w:val="0051444B"/>
    <w:rsid w:val="00514DFA"/>
    <w:rsid w:val="00516B13"/>
    <w:rsid w:val="00522610"/>
    <w:rsid w:val="00523553"/>
    <w:rsid w:val="00530D1A"/>
    <w:rsid w:val="00531255"/>
    <w:rsid w:val="0053763A"/>
    <w:rsid w:val="005401FB"/>
    <w:rsid w:val="00542B07"/>
    <w:rsid w:val="00543F77"/>
    <w:rsid w:val="0054676D"/>
    <w:rsid w:val="00550005"/>
    <w:rsid w:val="005505EB"/>
    <w:rsid w:val="00552964"/>
    <w:rsid w:val="00552B1D"/>
    <w:rsid w:val="005534B6"/>
    <w:rsid w:val="0055394D"/>
    <w:rsid w:val="00554C1E"/>
    <w:rsid w:val="005559D5"/>
    <w:rsid w:val="005569D9"/>
    <w:rsid w:val="005575D4"/>
    <w:rsid w:val="00564CD1"/>
    <w:rsid w:val="005654E8"/>
    <w:rsid w:val="00565690"/>
    <w:rsid w:val="00565D7B"/>
    <w:rsid w:val="005661B1"/>
    <w:rsid w:val="005662E2"/>
    <w:rsid w:val="005678B8"/>
    <w:rsid w:val="005678EA"/>
    <w:rsid w:val="00567AD5"/>
    <w:rsid w:val="00576D35"/>
    <w:rsid w:val="00580199"/>
    <w:rsid w:val="0058092B"/>
    <w:rsid w:val="0058377A"/>
    <w:rsid w:val="0058508C"/>
    <w:rsid w:val="005851FB"/>
    <w:rsid w:val="0058633C"/>
    <w:rsid w:val="00586AC8"/>
    <w:rsid w:val="005877E5"/>
    <w:rsid w:val="00587BD5"/>
    <w:rsid w:val="00591066"/>
    <w:rsid w:val="00592F25"/>
    <w:rsid w:val="0059400F"/>
    <w:rsid w:val="00594990"/>
    <w:rsid w:val="00594CCE"/>
    <w:rsid w:val="005961F9"/>
    <w:rsid w:val="005977D0"/>
    <w:rsid w:val="00597CCB"/>
    <w:rsid w:val="00597FA8"/>
    <w:rsid w:val="005A2143"/>
    <w:rsid w:val="005A594D"/>
    <w:rsid w:val="005A5BA3"/>
    <w:rsid w:val="005A60DB"/>
    <w:rsid w:val="005A68BF"/>
    <w:rsid w:val="005B109A"/>
    <w:rsid w:val="005B1127"/>
    <w:rsid w:val="005B1632"/>
    <w:rsid w:val="005B369E"/>
    <w:rsid w:val="005B6090"/>
    <w:rsid w:val="005C023A"/>
    <w:rsid w:val="005C09FF"/>
    <w:rsid w:val="005C0D83"/>
    <w:rsid w:val="005C1B23"/>
    <w:rsid w:val="005C368C"/>
    <w:rsid w:val="005C54B5"/>
    <w:rsid w:val="005C6C28"/>
    <w:rsid w:val="005C6F43"/>
    <w:rsid w:val="005C72CC"/>
    <w:rsid w:val="005D0D8F"/>
    <w:rsid w:val="005D2083"/>
    <w:rsid w:val="005D2624"/>
    <w:rsid w:val="005D340A"/>
    <w:rsid w:val="005D3E1A"/>
    <w:rsid w:val="005D526B"/>
    <w:rsid w:val="005D6050"/>
    <w:rsid w:val="005D6BE3"/>
    <w:rsid w:val="005D74D1"/>
    <w:rsid w:val="005E0146"/>
    <w:rsid w:val="005E5305"/>
    <w:rsid w:val="005E60D1"/>
    <w:rsid w:val="005E7205"/>
    <w:rsid w:val="005F2F05"/>
    <w:rsid w:val="005F5846"/>
    <w:rsid w:val="005F7B34"/>
    <w:rsid w:val="00600DF2"/>
    <w:rsid w:val="006023D5"/>
    <w:rsid w:val="00604027"/>
    <w:rsid w:val="0060415F"/>
    <w:rsid w:val="006046FF"/>
    <w:rsid w:val="00604F69"/>
    <w:rsid w:val="0060735E"/>
    <w:rsid w:val="006103CA"/>
    <w:rsid w:val="006116BF"/>
    <w:rsid w:val="00611D28"/>
    <w:rsid w:val="006121A4"/>
    <w:rsid w:val="00612618"/>
    <w:rsid w:val="00613225"/>
    <w:rsid w:val="00615542"/>
    <w:rsid w:val="006155DB"/>
    <w:rsid w:val="0061568D"/>
    <w:rsid w:val="006173BB"/>
    <w:rsid w:val="006209AD"/>
    <w:rsid w:val="00622565"/>
    <w:rsid w:val="0062326C"/>
    <w:rsid w:val="0062398F"/>
    <w:rsid w:val="00625BCB"/>
    <w:rsid w:val="00626B5C"/>
    <w:rsid w:val="0063036E"/>
    <w:rsid w:val="00631488"/>
    <w:rsid w:val="00631625"/>
    <w:rsid w:val="00632D1F"/>
    <w:rsid w:val="00632F54"/>
    <w:rsid w:val="00633AF4"/>
    <w:rsid w:val="00635C80"/>
    <w:rsid w:val="00636364"/>
    <w:rsid w:val="00636E89"/>
    <w:rsid w:val="00637F09"/>
    <w:rsid w:val="0064026B"/>
    <w:rsid w:val="0064083B"/>
    <w:rsid w:val="006424AF"/>
    <w:rsid w:val="00643A58"/>
    <w:rsid w:val="006503FA"/>
    <w:rsid w:val="00650559"/>
    <w:rsid w:val="006515F5"/>
    <w:rsid w:val="006539F1"/>
    <w:rsid w:val="00653AF8"/>
    <w:rsid w:val="00654680"/>
    <w:rsid w:val="00654B8C"/>
    <w:rsid w:val="00660691"/>
    <w:rsid w:val="006608ED"/>
    <w:rsid w:val="00660D1B"/>
    <w:rsid w:val="006610FF"/>
    <w:rsid w:val="00662E57"/>
    <w:rsid w:val="006635DC"/>
    <w:rsid w:val="0066383B"/>
    <w:rsid w:val="00663AA0"/>
    <w:rsid w:val="006655B6"/>
    <w:rsid w:val="00665B9F"/>
    <w:rsid w:val="00665C45"/>
    <w:rsid w:val="00670195"/>
    <w:rsid w:val="00670376"/>
    <w:rsid w:val="0067265F"/>
    <w:rsid w:val="00674EF4"/>
    <w:rsid w:val="00675552"/>
    <w:rsid w:val="0067578F"/>
    <w:rsid w:val="0067792B"/>
    <w:rsid w:val="00680C6F"/>
    <w:rsid w:val="0068210D"/>
    <w:rsid w:val="006824AE"/>
    <w:rsid w:val="00685229"/>
    <w:rsid w:val="0068767C"/>
    <w:rsid w:val="00690FBA"/>
    <w:rsid w:val="0069270A"/>
    <w:rsid w:val="00692CE0"/>
    <w:rsid w:val="006942AF"/>
    <w:rsid w:val="00694C44"/>
    <w:rsid w:val="0069624A"/>
    <w:rsid w:val="006979EC"/>
    <w:rsid w:val="006A151A"/>
    <w:rsid w:val="006A1EA2"/>
    <w:rsid w:val="006A2843"/>
    <w:rsid w:val="006A2E5A"/>
    <w:rsid w:val="006A3316"/>
    <w:rsid w:val="006A4923"/>
    <w:rsid w:val="006A6360"/>
    <w:rsid w:val="006A6D91"/>
    <w:rsid w:val="006B0C62"/>
    <w:rsid w:val="006B3F97"/>
    <w:rsid w:val="006B4AD9"/>
    <w:rsid w:val="006B548B"/>
    <w:rsid w:val="006B712A"/>
    <w:rsid w:val="006C1037"/>
    <w:rsid w:val="006C1B81"/>
    <w:rsid w:val="006C3B45"/>
    <w:rsid w:val="006C41E4"/>
    <w:rsid w:val="006C6ED3"/>
    <w:rsid w:val="006D02A8"/>
    <w:rsid w:val="006D1506"/>
    <w:rsid w:val="006D2273"/>
    <w:rsid w:val="006D3EF0"/>
    <w:rsid w:val="006D5CDC"/>
    <w:rsid w:val="006E03D1"/>
    <w:rsid w:val="006E0CA1"/>
    <w:rsid w:val="006E1096"/>
    <w:rsid w:val="006E11EC"/>
    <w:rsid w:val="006E2644"/>
    <w:rsid w:val="006E4DAB"/>
    <w:rsid w:val="006E6AF9"/>
    <w:rsid w:val="006F09E2"/>
    <w:rsid w:val="006F56E9"/>
    <w:rsid w:val="006F6668"/>
    <w:rsid w:val="006F6FD7"/>
    <w:rsid w:val="006F7929"/>
    <w:rsid w:val="0070096A"/>
    <w:rsid w:val="007009BB"/>
    <w:rsid w:val="007037C8"/>
    <w:rsid w:val="007039AD"/>
    <w:rsid w:val="00704F0D"/>
    <w:rsid w:val="007108FE"/>
    <w:rsid w:val="00710DF9"/>
    <w:rsid w:val="007110D1"/>
    <w:rsid w:val="00712B0E"/>
    <w:rsid w:val="00713292"/>
    <w:rsid w:val="00714DEC"/>
    <w:rsid w:val="0071589D"/>
    <w:rsid w:val="00716E8F"/>
    <w:rsid w:val="007172DC"/>
    <w:rsid w:val="007174A7"/>
    <w:rsid w:val="0072101F"/>
    <w:rsid w:val="00721A93"/>
    <w:rsid w:val="00722502"/>
    <w:rsid w:val="0072598B"/>
    <w:rsid w:val="0072735B"/>
    <w:rsid w:val="0073089A"/>
    <w:rsid w:val="00733492"/>
    <w:rsid w:val="007358FF"/>
    <w:rsid w:val="00736354"/>
    <w:rsid w:val="0073682D"/>
    <w:rsid w:val="007439A0"/>
    <w:rsid w:val="00744530"/>
    <w:rsid w:val="00745CC0"/>
    <w:rsid w:val="0074769C"/>
    <w:rsid w:val="00750BF5"/>
    <w:rsid w:val="007514D3"/>
    <w:rsid w:val="00752E2B"/>
    <w:rsid w:val="00753CCD"/>
    <w:rsid w:val="00754596"/>
    <w:rsid w:val="00754834"/>
    <w:rsid w:val="00755550"/>
    <w:rsid w:val="00757E1C"/>
    <w:rsid w:val="007605BC"/>
    <w:rsid w:val="00761D4F"/>
    <w:rsid w:val="00762B0A"/>
    <w:rsid w:val="0076392F"/>
    <w:rsid w:val="00763FEA"/>
    <w:rsid w:val="00770C6F"/>
    <w:rsid w:val="00775631"/>
    <w:rsid w:val="00776DB8"/>
    <w:rsid w:val="0077794D"/>
    <w:rsid w:val="0078085E"/>
    <w:rsid w:val="00780F6B"/>
    <w:rsid w:val="0078138D"/>
    <w:rsid w:val="007814AC"/>
    <w:rsid w:val="00783A1C"/>
    <w:rsid w:val="007903B1"/>
    <w:rsid w:val="0079069F"/>
    <w:rsid w:val="00790A86"/>
    <w:rsid w:val="00792259"/>
    <w:rsid w:val="00796E57"/>
    <w:rsid w:val="007A02D8"/>
    <w:rsid w:val="007A097B"/>
    <w:rsid w:val="007A1564"/>
    <w:rsid w:val="007A1909"/>
    <w:rsid w:val="007A4069"/>
    <w:rsid w:val="007A5B5E"/>
    <w:rsid w:val="007A690F"/>
    <w:rsid w:val="007B295B"/>
    <w:rsid w:val="007B6021"/>
    <w:rsid w:val="007B7D09"/>
    <w:rsid w:val="007C517C"/>
    <w:rsid w:val="007C62CF"/>
    <w:rsid w:val="007C688E"/>
    <w:rsid w:val="007D09CC"/>
    <w:rsid w:val="007D1000"/>
    <w:rsid w:val="007D1E7F"/>
    <w:rsid w:val="007D1FEC"/>
    <w:rsid w:val="007D26DC"/>
    <w:rsid w:val="007D2E7B"/>
    <w:rsid w:val="007D3092"/>
    <w:rsid w:val="007D3480"/>
    <w:rsid w:val="007D44CC"/>
    <w:rsid w:val="007D5985"/>
    <w:rsid w:val="007D6731"/>
    <w:rsid w:val="007D7C43"/>
    <w:rsid w:val="007E2999"/>
    <w:rsid w:val="007E2AB1"/>
    <w:rsid w:val="007E2E47"/>
    <w:rsid w:val="007E39CB"/>
    <w:rsid w:val="007E41F9"/>
    <w:rsid w:val="007E551E"/>
    <w:rsid w:val="007E76A2"/>
    <w:rsid w:val="007E7B12"/>
    <w:rsid w:val="007E7B76"/>
    <w:rsid w:val="007F0224"/>
    <w:rsid w:val="007F143C"/>
    <w:rsid w:val="007F4E4C"/>
    <w:rsid w:val="007F5BF8"/>
    <w:rsid w:val="00802B73"/>
    <w:rsid w:val="00803A4E"/>
    <w:rsid w:val="008067B2"/>
    <w:rsid w:val="00807084"/>
    <w:rsid w:val="00807B5B"/>
    <w:rsid w:val="00810221"/>
    <w:rsid w:val="00810457"/>
    <w:rsid w:val="00810EF9"/>
    <w:rsid w:val="008116BB"/>
    <w:rsid w:val="00813429"/>
    <w:rsid w:val="0081395D"/>
    <w:rsid w:val="00814850"/>
    <w:rsid w:val="00814D5C"/>
    <w:rsid w:val="00815AAF"/>
    <w:rsid w:val="00817EC8"/>
    <w:rsid w:val="008201EA"/>
    <w:rsid w:val="008208F9"/>
    <w:rsid w:val="00822754"/>
    <w:rsid w:val="00823BC3"/>
    <w:rsid w:val="00824531"/>
    <w:rsid w:val="008251E9"/>
    <w:rsid w:val="00825E2C"/>
    <w:rsid w:val="008266EE"/>
    <w:rsid w:val="00826E89"/>
    <w:rsid w:val="00826FDC"/>
    <w:rsid w:val="00827D15"/>
    <w:rsid w:val="008303F4"/>
    <w:rsid w:val="00831ADA"/>
    <w:rsid w:val="0083250F"/>
    <w:rsid w:val="00832B4A"/>
    <w:rsid w:val="00833358"/>
    <w:rsid w:val="00834138"/>
    <w:rsid w:val="00834AF3"/>
    <w:rsid w:val="00834E82"/>
    <w:rsid w:val="008359B4"/>
    <w:rsid w:val="00841A74"/>
    <w:rsid w:val="00843647"/>
    <w:rsid w:val="008459DC"/>
    <w:rsid w:val="00845EB0"/>
    <w:rsid w:val="00846308"/>
    <w:rsid w:val="008464E0"/>
    <w:rsid w:val="008468AD"/>
    <w:rsid w:val="00846D43"/>
    <w:rsid w:val="00847E5E"/>
    <w:rsid w:val="00850100"/>
    <w:rsid w:val="008520D7"/>
    <w:rsid w:val="0085217F"/>
    <w:rsid w:val="008524D1"/>
    <w:rsid w:val="00852AD0"/>
    <w:rsid w:val="00853C8E"/>
    <w:rsid w:val="008566F7"/>
    <w:rsid w:val="0086024E"/>
    <w:rsid w:val="00860B3E"/>
    <w:rsid w:val="00861693"/>
    <w:rsid w:val="008669FF"/>
    <w:rsid w:val="00867306"/>
    <w:rsid w:val="0087112E"/>
    <w:rsid w:val="00873352"/>
    <w:rsid w:val="008746EB"/>
    <w:rsid w:val="0087479E"/>
    <w:rsid w:val="00875C35"/>
    <w:rsid w:val="00875D66"/>
    <w:rsid w:val="008764F8"/>
    <w:rsid w:val="00877176"/>
    <w:rsid w:val="0087773E"/>
    <w:rsid w:val="008826A8"/>
    <w:rsid w:val="00883AF0"/>
    <w:rsid w:val="008840B7"/>
    <w:rsid w:val="00884233"/>
    <w:rsid w:val="00885233"/>
    <w:rsid w:val="00885951"/>
    <w:rsid w:val="00886A94"/>
    <w:rsid w:val="008874CC"/>
    <w:rsid w:val="0089332C"/>
    <w:rsid w:val="008947D8"/>
    <w:rsid w:val="00894867"/>
    <w:rsid w:val="00895D0E"/>
    <w:rsid w:val="008A2D11"/>
    <w:rsid w:val="008A479E"/>
    <w:rsid w:val="008A53E0"/>
    <w:rsid w:val="008A58B1"/>
    <w:rsid w:val="008A593B"/>
    <w:rsid w:val="008A6151"/>
    <w:rsid w:val="008A7079"/>
    <w:rsid w:val="008B0E07"/>
    <w:rsid w:val="008B162B"/>
    <w:rsid w:val="008B1C5D"/>
    <w:rsid w:val="008B355A"/>
    <w:rsid w:val="008B3988"/>
    <w:rsid w:val="008B6BDC"/>
    <w:rsid w:val="008B6F44"/>
    <w:rsid w:val="008B7466"/>
    <w:rsid w:val="008C2028"/>
    <w:rsid w:val="008C50D3"/>
    <w:rsid w:val="008C770C"/>
    <w:rsid w:val="008D0159"/>
    <w:rsid w:val="008D02B6"/>
    <w:rsid w:val="008D02E4"/>
    <w:rsid w:val="008D1D90"/>
    <w:rsid w:val="008D2D94"/>
    <w:rsid w:val="008D4DEE"/>
    <w:rsid w:val="008D6264"/>
    <w:rsid w:val="008D68A0"/>
    <w:rsid w:val="008D7EC2"/>
    <w:rsid w:val="008E1224"/>
    <w:rsid w:val="008E1A14"/>
    <w:rsid w:val="008E4A15"/>
    <w:rsid w:val="008E6464"/>
    <w:rsid w:val="008F1685"/>
    <w:rsid w:val="008F27F2"/>
    <w:rsid w:val="00900A8B"/>
    <w:rsid w:val="00906F66"/>
    <w:rsid w:val="00912A09"/>
    <w:rsid w:val="00913147"/>
    <w:rsid w:val="0091339D"/>
    <w:rsid w:val="00921F6B"/>
    <w:rsid w:val="00924BE1"/>
    <w:rsid w:val="00924D0A"/>
    <w:rsid w:val="0092501C"/>
    <w:rsid w:val="009256C7"/>
    <w:rsid w:val="0092592D"/>
    <w:rsid w:val="009259AC"/>
    <w:rsid w:val="00930AD5"/>
    <w:rsid w:val="00933398"/>
    <w:rsid w:val="009344C3"/>
    <w:rsid w:val="00936F16"/>
    <w:rsid w:val="00937B2B"/>
    <w:rsid w:val="00941A30"/>
    <w:rsid w:val="009445B2"/>
    <w:rsid w:val="00946E88"/>
    <w:rsid w:val="00947539"/>
    <w:rsid w:val="00950BEE"/>
    <w:rsid w:val="009526CA"/>
    <w:rsid w:val="009539A0"/>
    <w:rsid w:val="00953B22"/>
    <w:rsid w:val="00953D4E"/>
    <w:rsid w:val="0095532C"/>
    <w:rsid w:val="00957F55"/>
    <w:rsid w:val="00962A7D"/>
    <w:rsid w:val="0096313F"/>
    <w:rsid w:val="00963ECA"/>
    <w:rsid w:val="00965EDC"/>
    <w:rsid w:val="00965F1D"/>
    <w:rsid w:val="00966ABA"/>
    <w:rsid w:val="00966C3E"/>
    <w:rsid w:val="00967528"/>
    <w:rsid w:val="00967761"/>
    <w:rsid w:val="00970161"/>
    <w:rsid w:val="0097195F"/>
    <w:rsid w:val="00972E00"/>
    <w:rsid w:val="00974C74"/>
    <w:rsid w:val="00975520"/>
    <w:rsid w:val="0097570A"/>
    <w:rsid w:val="0097600B"/>
    <w:rsid w:val="00977614"/>
    <w:rsid w:val="00980900"/>
    <w:rsid w:val="009825D1"/>
    <w:rsid w:val="00986215"/>
    <w:rsid w:val="00990D6E"/>
    <w:rsid w:val="00991FCB"/>
    <w:rsid w:val="009920BD"/>
    <w:rsid w:val="009927E3"/>
    <w:rsid w:val="0099286E"/>
    <w:rsid w:val="00992BF6"/>
    <w:rsid w:val="009942AC"/>
    <w:rsid w:val="009953A8"/>
    <w:rsid w:val="009971EA"/>
    <w:rsid w:val="009972DF"/>
    <w:rsid w:val="009A07E4"/>
    <w:rsid w:val="009A2021"/>
    <w:rsid w:val="009A315A"/>
    <w:rsid w:val="009A3160"/>
    <w:rsid w:val="009A511D"/>
    <w:rsid w:val="009A650F"/>
    <w:rsid w:val="009A72C0"/>
    <w:rsid w:val="009A7C58"/>
    <w:rsid w:val="009B1924"/>
    <w:rsid w:val="009B2F6D"/>
    <w:rsid w:val="009B7419"/>
    <w:rsid w:val="009C1F58"/>
    <w:rsid w:val="009C2851"/>
    <w:rsid w:val="009C4488"/>
    <w:rsid w:val="009C4B81"/>
    <w:rsid w:val="009C7FFA"/>
    <w:rsid w:val="009D0C4D"/>
    <w:rsid w:val="009D18CD"/>
    <w:rsid w:val="009D1A4B"/>
    <w:rsid w:val="009D793E"/>
    <w:rsid w:val="009E26CA"/>
    <w:rsid w:val="009E391E"/>
    <w:rsid w:val="009E4818"/>
    <w:rsid w:val="009E4EC4"/>
    <w:rsid w:val="009E6302"/>
    <w:rsid w:val="009F026D"/>
    <w:rsid w:val="009F02B1"/>
    <w:rsid w:val="009F4D59"/>
    <w:rsid w:val="009F6055"/>
    <w:rsid w:val="009F7761"/>
    <w:rsid w:val="009F7A67"/>
    <w:rsid w:val="00A00C88"/>
    <w:rsid w:val="00A015C5"/>
    <w:rsid w:val="00A01C00"/>
    <w:rsid w:val="00A053E6"/>
    <w:rsid w:val="00A0757C"/>
    <w:rsid w:val="00A07CF1"/>
    <w:rsid w:val="00A108C1"/>
    <w:rsid w:val="00A12589"/>
    <w:rsid w:val="00A13087"/>
    <w:rsid w:val="00A134A8"/>
    <w:rsid w:val="00A13E4B"/>
    <w:rsid w:val="00A14A83"/>
    <w:rsid w:val="00A15DCE"/>
    <w:rsid w:val="00A16701"/>
    <w:rsid w:val="00A209E8"/>
    <w:rsid w:val="00A209FA"/>
    <w:rsid w:val="00A22882"/>
    <w:rsid w:val="00A2292C"/>
    <w:rsid w:val="00A23EAE"/>
    <w:rsid w:val="00A23ED7"/>
    <w:rsid w:val="00A249E7"/>
    <w:rsid w:val="00A24FCF"/>
    <w:rsid w:val="00A25CA7"/>
    <w:rsid w:val="00A33208"/>
    <w:rsid w:val="00A34AC1"/>
    <w:rsid w:val="00A365BA"/>
    <w:rsid w:val="00A37410"/>
    <w:rsid w:val="00A40EE3"/>
    <w:rsid w:val="00A4138E"/>
    <w:rsid w:val="00A452E2"/>
    <w:rsid w:val="00A4626D"/>
    <w:rsid w:val="00A47D90"/>
    <w:rsid w:val="00A53F9C"/>
    <w:rsid w:val="00A54222"/>
    <w:rsid w:val="00A54EE3"/>
    <w:rsid w:val="00A56367"/>
    <w:rsid w:val="00A56436"/>
    <w:rsid w:val="00A574C8"/>
    <w:rsid w:val="00A57AF5"/>
    <w:rsid w:val="00A57B82"/>
    <w:rsid w:val="00A605CF"/>
    <w:rsid w:val="00A6142C"/>
    <w:rsid w:val="00A617E4"/>
    <w:rsid w:val="00A63495"/>
    <w:rsid w:val="00A638B8"/>
    <w:rsid w:val="00A648C1"/>
    <w:rsid w:val="00A66122"/>
    <w:rsid w:val="00A66B6C"/>
    <w:rsid w:val="00A70330"/>
    <w:rsid w:val="00A7065B"/>
    <w:rsid w:val="00A719E5"/>
    <w:rsid w:val="00A71CFC"/>
    <w:rsid w:val="00A72D58"/>
    <w:rsid w:val="00A736CB"/>
    <w:rsid w:val="00A74FBC"/>
    <w:rsid w:val="00A770EA"/>
    <w:rsid w:val="00A7758A"/>
    <w:rsid w:val="00A7771C"/>
    <w:rsid w:val="00A80C2F"/>
    <w:rsid w:val="00A81256"/>
    <w:rsid w:val="00A816F5"/>
    <w:rsid w:val="00A82A76"/>
    <w:rsid w:val="00A82DD5"/>
    <w:rsid w:val="00A82DE5"/>
    <w:rsid w:val="00A83D75"/>
    <w:rsid w:val="00A84968"/>
    <w:rsid w:val="00A865B4"/>
    <w:rsid w:val="00A86BB3"/>
    <w:rsid w:val="00A91033"/>
    <w:rsid w:val="00A9175B"/>
    <w:rsid w:val="00A9259D"/>
    <w:rsid w:val="00A92D8E"/>
    <w:rsid w:val="00A92ED6"/>
    <w:rsid w:val="00A9338E"/>
    <w:rsid w:val="00AA314A"/>
    <w:rsid w:val="00AA492C"/>
    <w:rsid w:val="00AA5537"/>
    <w:rsid w:val="00AA5651"/>
    <w:rsid w:val="00AA618D"/>
    <w:rsid w:val="00AA6E5F"/>
    <w:rsid w:val="00AA7402"/>
    <w:rsid w:val="00AA7E14"/>
    <w:rsid w:val="00AB3253"/>
    <w:rsid w:val="00AB33D4"/>
    <w:rsid w:val="00AB3779"/>
    <w:rsid w:val="00AB69FA"/>
    <w:rsid w:val="00AB6DED"/>
    <w:rsid w:val="00AB7D32"/>
    <w:rsid w:val="00AC009E"/>
    <w:rsid w:val="00AC3806"/>
    <w:rsid w:val="00AC466C"/>
    <w:rsid w:val="00AC534E"/>
    <w:rsid w:val="00AC55DB"/>
    <w:rsid w:val="00AC5820"/>
    <w:rsid w:val="00AD07A2"/>
    <w:rsid w:val="00AD09B3"/>
    <w:rsid w:val="00AD4C1E"/>
    <w:rsid w:val="00AD582C"/>
    <w:rsid w:val="00AD606C"/>
    <w:rsid w:val="00AD6BAF"/>
    <w:rsid w:val="00AD7C5D"/>
    <w:rsid w:val="00AE1852"/>
    <w:rsid w:val="00AE2693"/>
    <w:rsid w:val="00AE3B11"/>
    <w:rsid w:val="00AE3E57"/>
    <w:rsid w:val="00AE3FC1"/>
    <w:rsid w:val="00AE4A60"/>
    <w:rsid w:val="00AE615C"/>
    <w:rsid w:val="00AE64F2"/>
    <w:rsid w:val="00AE6BD7"/>
    <w:rsid w:val="00AE7FEE"/>
    <w:rsid w:val="00AF112C"/>
    <w:rsid w:val="00AF4128"/>
    <w:rsid w:val="00AF4E7F"/>
    <w:rsid w:val="00B00B44"/>
    <w:rsid w:val="00B00C38"/>
    <w:rsid w:val="00B01729"/>
    <w:rsid w:val="00B01BF9"/>
    <w:rsid w:val="00B02277"/>
    <w:rsid w:val="00B036E5"/>
    <w:rsid w:val="00B04A6C"/>
    <w:rsid w:val="00B0792D"/>
    <w:rsid w:val="00B07E59"/>
    <w:rsid w:val="00B12431"/>
    <w:rsid w:val="00B1280D"/>
    <w:rsid w:val="00B12C9C"/>
    <w:rsid w:val="00B14822"/>
    <w:rsid w:val="00B16010"/>
    <w:rsid w:val="00B211D8"/>
    <w:rsid w:val="00B21854"/>
    <w:rsid w:val="00B219F9"/>
    <w:rsid w:val="00B21F18"/>
    <w:rsid w:val="00B23196"/>
    <w:rsid w:val="00B253A1"/>
    <w:rsid w:val="00B26AEB"/>
    <w:rsid w:val="00B327F8"/>
    <w:rsid w:val="00B33377"/>
    <w:rsid w:val="00B3459F"/>
    <w:rsid w:val="00B35197"/>
    <w:rsid w:val="00B3571B"/>
    <w:rsid w:val="00B37B7C"/>
    <w:rsid w:val="00B37B83"/>
    <w:rsid w:val="00B37D86"/>
    <w:rsid w:val="00B41608"/>
    <w:rsid w:val="00B42781"/>
    <w:rsid w:val="00B42D4A"/>
    <w:rsid w:val="00B43386"/>
    <w:rsid w:val="00B44912"/>
    <w:rsid w:val="00B5090E"/>
    <w:rsid w:val="00B50D15"/>
    <w:rsid w:val="00B50E45"/>
    <w:rsid w:val="00B50F48"/>
    <w:rsid w:val="00B51C5D"/>
    <w:rsid w:val="00B525C2"/>
    <w:rsid w:val="00B52648"/>
    <w:rsid w:val="00B56FA9"/>
    <w:rsid w:val="00B57C0D"/>
    <w:rsid w:val="00B6020B"/>
    <w:rsid w:val="00B63A5B"/>
    <w:rsid w:val="00B63BE0"/>
    <w:rsid w:val="00B6508B"/>
    <w:rsid w:val="00B650AA"/>
    <w:rsid w:val="00B6630B"/>
    <w:rsid w:val="00B66ED8"/>
    <w:rsid w:val="00B7018C"/>
    <w:rsid w:val="00B70B52"/>
    <w:rsid w:val="00B711E4"/>
    <w:rsid w:val="00B71D00"/>
    <w:rsid w:val="00B7265F"/>
    <w:rsid w:val="00B76D71"/>
    <w:rsid w:val="00B82133"/>
    <w:rsid w:val="00B82B34"/>
    <w:rsid w:val="00B83833"/>
    <w:rsid w:val="00B876A7"/>
    <w:rsid w:val="00B913D5"/>
    <w:rsid w:val="00B92BF3"/>
    <w:rsid w:val="00B940EF"/>
    <w:rsid w:val="00B957E9"/>
    <w:rsid w:val="00B95F27"/>
    <w:rsid w:val="00B965D5"/>
    <w:rsid w:val="00B976D9"/>
    <w:rsid w:val="00B97D23"/>
    <w:rsid w:val="00BA0BA7"/>
    <w:rsid w:val="00BA1123"/>
    <w:rsid w:val="00BA2F3B"/>
    <w:rsid w:val="00BA4BA0"/>
    <w:rsid w:val="00BA78D3"/>
    <w:rsid w:val="00BB1983"/>
    <w:rsid w:val="00BB3989"/>
    <w:rsid w:val="00BB5CDC"/>
    <w:rsid w:val="00BB6456"/>
    <w:rsid w:val="00BB7718"/>
    <w:rsid w:val="00BC16BF"/>
    <w:rsid w:val="00BC21E9"/>
    <w:rsid w:val="00BC38F9"/>
    <w:rsid w:val="00BC4930"/>
    <w:rsid w:val="00BC6211"/>
    <w:rsid w:val="00BC7227"/>
    <w:rsid w:val="00BC7723"/>
    <w:rsid w:val="00BD0C69"/>
    <w:rsid w:val="00BD142D"/>
    <w:rsid w:val="00BD50B1"/>
    <w:rsid w:val="00BD58E6"/>
    <w:rsid w:val="00BD7F9B"/>
    <w:rsid w:val="00BE0992"/>
    <w:rsid w:val="00BE4D50"/>
    <w:rsid w:val="00BE6560"/>
    <w:rsid w:val="00BF0624"/>
    <w:rsid w:val="00BF0BB0"/>
    <w:rsid w:val="00BF13DC"/>
    <w:rsid w:val="00BF19EC"/>
    <w:rsid w:val="00BF3069"/>
    <w:rsid w:val="00BF4450"/>
    <w:rsid w:val="00BF4CD2"/>
    <w:rsid w:val="00BF6237"/>
    <w:rsid w:val="00BF7FBB"/>
    <w:rsid w:val="00C00D31"/>
    <w:rsid w:val="00C01953"/>
    <w:rsid w:val="00C046ED"/>
    <w:rsid w:val="00C06488"/>
    <w:rsid w:val="00C0741A"/>
    <w:rsid w:val="00C07E5B"/>
    <w:rsid w:val="00C13059"/>
    <w:rsid w:val="00C140C2"/>
    <w:rsid w:val="00C14696"/>
    <w:rsid w:val="00C164EF"/>
    <w:rsid w:val="00C17AE1"/>
    <w:rsid w:val="00C22B77"/>
    <w:rsid w:val="00C234F9"/>
    <w:rsid w:val="00C23D39"/>
    <w:rsid w:val="00C24332"/>
    <w:rsid w:val="00C2577D"/>
    <w:rsid w:val="00C25ADD"/>
    <w:rsid w:val="00C2658C"/>
    <w:rsid w:val="00C2707A"/>
    <w:rsid w:val="00C30292"/>
    <w:rsid w:val="00C3274C"/>
    <w:rsid w:val="00C33815"/>
    <w:rsid w:val="00C34A60"/>
    <w:rsid w:val="00C34F4D"/>
    <w:rsid w:val="00C4033B"/>
    <w:rsid w:val="00C42F0D"/>
    <w:rsid w:val="00C43CF4"/>
    <w:rsid w:val="00C4474E"/>
    <w:rsid w:val="00C450CB"/>
    <w:rsid w:val="00C45336"/>
    <w:rsid w:val="00C46E8A"/>
    <w:rsid w:val="00C47095"/>
    <w:rsid w:val="00C50173"/>
    <w:rsid w:val="00C52913"/>
    <w:rsid w:val="00C535F7"/>
    <w:rsid w:val="00C56B8F"/>
    <w:rsid w:val="00C5701C"/>
    <w:rsid w:val="00C57876"/>
    <w:rsid w:val="00C61F8A"/>
    <w:rsid w:val="00C62D3F"/>
    <w:rsid w:val="00C63C35"/>
    <w:rsid w:val="00C63DD6"/>
    <w:rsid w:val="00C64C5C"/>
    <w:rsid w:val="00C66B57"/>
    <w:rsid w:val="00C719EE"/>
    <w:rsid w:val="00C723FE"/>
    <w:rsid w:val="00C73B14"/>
    <w:rsid w:val="00C740C0"/>
    <w:rsid w:val="00C74C6D"/>
    <w:rsid w:val="00C77669"/>
    <w:rsid w:val="00C777B3"/>
    <w:rsid w:val="00C8043D"/>
    <w:rsid w:val="00C805D2"/>
    <w:rsid w:val="00C82173"/>
    <w:rsid w:val="00C82BD7"/>
    <w:rsid w:val="00C837F2"/>
    <w:rsid w:val="00C852B8"/>
    <w:rsid w:val="00C85938"/>
    <w:rsid w:val="00C85A3A"/>
    <w:rsid w:val="00C87487"/>
    <w:rsid w:val="00C9508C"/>
    <w:rsid w:val="00C951ED"/>
    <w:rsid w:val="00C95B74"/>
    <w:rsid w:val="00C973B7"/>
    <w:rsid w:val="00C97831"/>
    <w:rsid w:val="00CA113A"/>
    <w:rsid w:val="00CA1194"/>
    <w:rsid w:val="00CA14B4"/>
    <w:rsid w:val="00CA2AC0"/>
    <w:rsid w:val="00CA2B35"/>
    <w:rsid w:val="00CA35F9"/>
    <w:rsid w:val="00CA3793"/>
    <w:rsid w:val="00CA5D26"/>
    <w:rsid w:val="00CA6BA9"/>
    <w:rsid w:val="00CB07BE"/>
    <w:rsid w:val="00CB21B2"/>
    <w:rsid w:val="00CB238E"/>
    <w:rsid w:val="00CB3F73"/>
    <w:rsid w:val="00CB3FED"/>
    <w:rsid w:val="00CB59EC"/>
    <w:rsid w:val="00CB5B48"/>
    <w:rsid w:val="00CB61D1"/>
    <w:rsid w:val="00CB61D9"/>
    <w:rsid w:val="00CB7630"/>
    <w:rsid w:val="00CB7CEE"/>
    <w:rsid w:val="00CB7F13"/>
    <w:rsid w:val="00CC521C"/>
    <w:rsid w:val="00CC572B"/>
    <w:rsid w:val="00CC6C46"/>
    <w:rsid w:val="00CC7C09"/>
    <w:rsid w:val="00CC7F22"/>
    <w:rsid w:val="00CD65F6"/>
    <w:rsid w:val="00CD7133"/>
    <w:rsid w:val="00CE3781"/>
    <w:rsid w:val="00CE46A1"/>
    <w:rsid w:val="00CE5065"/>
    <w:rsid w:val="00CE5298"/>
    <w:rsid w:val="00CE52BA"/>
    <w:rsid w:val="00CE5347"/>
    <w:rsid w:val="00CE550D"/>
    <w:rsid w:val="00CE59C9"/>
    <w:rsid w:val="00CE5EDA"/>
    <w:rsid w:val="00CE6469"/>
    <w:rsid w:val="00CE6990"/>
    <w:rsid w:val="00CE6AC6"/>
    <w:rsid w:val="00CF5A26"/>
    <w:rsid w:val="00D025E3"/>
    <w:rsid w:val="00D03DED"/>
    <w:rsid w:val="00D05E52"/>
    <w:rsid w:val="00D06815"/>
    <w:rsid w:val="00D068B7"/>
    <w:rsid w:val="00D109D5"/>
    <w:rsid w:val="00D12B03"/>
    <w:rsid w:val="00D161C2"/>
    <w:rsid w:val="00D2026C"/>
    <w:rsid w:val="00D22313"/>
    <w:rsid w:val="00D22674"/>
    <w:rsid w:val="00D2479F"/>
    <w:rsid w:val="00D249CA"/>
    <w:rsid w:val="00D24F1A"/>
    <w:rsid w:val="00D26CCA"/>
    <w:rsid w:val="00D3017B"/>
    <w:rsid w:val="00D30E05"/>
    <w:rsid w:val="00D31A61"/>
    <w:rsid w:val="00D32063"/>
    <w:rsid w:val="00D34B49"/>
    <w:rsid w:val="00D356B4"/>
    <w:rsid w:val="00D36EEA"/>
    <w:rsid w:val="00D370A3"/>
    <w:rsid w:val="00D37255"/>
    <w:rsid w:val="00D376D5"/>
    <w:rsid w:val="00D37CE3"/>
    <w:rsid w:val="00D412D8"/>
    <w:rsid w:val="00D4349B"/>
    <w:rsid w:val="00D4548E"/>
    <w:rsid w:val="00D465C7"/>
    <w:rsid w:val="00D474A7"/>
    <w:rsid w:val="00D51276"/>
    <w:rsid w:val="00D51B7A"/>
    <w:rsid w:val="00D51D85"/>
    <w:rsid w:val="00D52CAC"/>
    <w:rsid w:val="00D52FD3"/>
    <w:rsid w:val="00D532D0"/>
    <w:rsid w:val="00D5471F"/>
    <w:rsid w:val="00D557B5"/>
    <w:rsid w:val="00D6245B"/>
    <w:rsid w:val="00D63564"/>
    <w:rsid w:val="00D707B9"/>
    <w:rsid w:val="00D728B2"/>
    <w:rsid w:val="00D72C97"/>
    <w:rsid w:val="00D72E45"/>
    <w:rsid w:val="00D74CF5"/>
    <w:rsid w:val="00D75607"/>
    <w:rsid w:val="00D760F0"/>
    <w:rsid w:val="00D7628D"/>
    <w:rsid w:val="00D770F0"/>
    <w:rsid w:val="00D77A14"/>
    <w:rsid w:val="00D80092"/>
    <w:rsid w:val="00D80895"/>
    <w:rsid w:val="00D8139E"/>
    <w:rsid w:val="00D82E88"/>
    <w:rsid w:val="00D83C1E"/>
    <w:rsid w:val="00D843C6"/>
    <w:rsid w:val="00D84C4B"/>
    <w:rsid w:val="00D866BB"/>
    <w:rsid w:val="00D86D2B"/>
    <w:rsid w:val="00D90291"/>
    <w:rsid w:val="00D919B8"/>
    <w:rsid w:val="00D93850"/>
    <w:rsid w:val="00D950C9"/>
    <w:rsid w:val="00D962A0"/>
    <w:rsid w:val="00D969E3"/>
    <w:rsid w:val="00D97103"/>
    <w:rsid w:val="00DA072E"/>
    <w:rsid w:val="00DA199D"/>
    <w:rsid w:val="00DA2B12"/>
    <w:rsid w:val="00DA4BDA"/>
    <w:rsid w:val="00DA501F"/>
    <w:rsid w:val="00DA786F"/>
    <w:rsid w:val="00DA78C9"/>
    <w:rsid w:val="00DB04F9"/>
    <w:rsid w:val="00DB064A"/>
    <w:rsid w:val="00DB0F0D"/>
    <w:rsid w:val="00DB36B8"/>
    <w:rsid w:val="00DB4F3E"/>
    <w:rsid w:val="00DB6796"/>
    <w:rsid w:val="00DB76EC"/>
    <w:rsid w:val="00DC15D6"/>
    <w:rsid w:val="00DC177C"/>
    <w:rsid w:val="00DC1F99"/>
    <w:rsid w:val="00DC28DF"/>
    <w:rsid w:val="00DC4496"/>
    <w:rsid w:val="00DD066F"/>
    <w:rsid w:val="00DD0E3D"/>
    <w:rsid w:val="00DD0E95"/>
    <w:rsid w:val="00DD1627"/>
    <w:rsid w:val="00DD194C"/>
    <w:rsid w:val="00DD2F0B"/>
    <w:rsid w:val="00DD35A4"/>
    <w:rsid w:val="00DD4B98"/>
    <w:rsid w:val="00DD6496"/>
    <w:rsid w:val="00DE0184"/>
    <w:rsid w:val="00DE2351"/>
    <w:rsid w:val="00DE3AF3"/>
    <w:rsid w:val="00DE4C37"/>
    <w:rsid w:val="00DE55CF"/>
    <w:rsid w:val="00DE5761"/>
    <w:rsid w:val="00DE7AA8"/>
    <w:rsid w:val="00DE7BED"/>
    <w:rsid w:val="00DF08DF"/>
    <w:rsid w:val="00DF0DAA"/>
    <w:rsid w:val="00DF2F70"/>
    <w:rsid w:val="00DF38BE"/>
    <w:rsid w:val="00DF40B2"/>
    <w:rsid w:val="00DF5BBE"/>
    <w:rsid w:val="00DF6188"/>
    <w:rsid w:val="00DF7F59"/>
    <w:rsid w:val="00E014EC"/>
    <w:rsid w:val="00E01AD1"/>
    <w:rsid w:val="00E020B6"/>
    <w:rsid w:val="00E02956"/>
    <w:rsid w:val="00E04543"/>
    <w:rsid w:val="00E04BC0"/>
    <w:rsid w:val="00E06562"/>
    <w:rsid w:val="00E068A3"/>
    <w:rsid w:val="00E069E1"/>
    <w:rsid w:val="00E06BFC"/>
    <w:rsid w:val="00E07FF1"/>
    <w:rsid w:val="00E11B57"/>
    <w:rsid w:val="00E14523"/>
    <w:rsid w:val="00E157D6"/>
    <w:rsid w:val="00E1619D"/>
    <w:rsid w:val="00E165D1"/>
    <w:rsid w:val="00E1761D"/>
    <w:rsid w:val="00E20794"/>
    <w:rsid w:val="00E2146E"/>
    <w:rsid w:val="00E23D5F"/>
    <w:rsid w:val="00E25F01"/>
    <w:rsid w:val="00E26E94"/>
    <w:rsid w:val="00E26EC4"/>
    <w:rsid w:val="00E27E63"/>
    <w:rsid w:val="00E30105"/>
    <w:rsid w:val="00E34E31"/>
    <w:rsid w:val="00E362BA"/>
    <w:rsid w:val="00E36455"/>
    <w:rsid w:val="00E36DD3"/>
    <w:rsid w:val="00E40E72"/>
    <w:rsid w:val="00E43F8B"/>
    <w:rsid w:val="00E44DAF"/>
    <w:rsid w:val="00E50BF5"/>
    <w:rsid w:val="00E51E60"/>
    <w:rsid w:val="00E52D2B"/>
    <w:rsid w:val="00E54C77"/>
    <w:rsid w:val="00E561E7"/>
    <w:rsid w:val="00E57A60"/>
    <w:rsid w:val="00E60467"/>
    <w:rsid w:val="00E6121D"/>
    <w:rsid w:val="00E64963"/>
    <w:rsid w:val="00E670FD"/>
    <w:rsid w:val="00E7005E"/>
    <w:rsid w:val="00E72938"/>
    <w:rsid w:val="00E73B61"/>
    <w:rsid w:val="00E749CE"/>
    <w:rsid w:val="00E75231"/>
    <w:rsid w:val="00E770FC"/>
    <w:rsid w:val="00E817B2"/>
    <w:rsid w:val="00E818E1"/>
    <w:rsid w:val="00E819C2"/>
    <w:rsid w:val="00E81C66"/>
    <w:rsid w:val="00E82D6A"/>
    <w:rsid w:val="00E830FD"/>
    <w:rsid w:val="00E87C23"/>
    <w:rsid w:val="00E9234F"/>
    <w:rsid w:val="00E93F07"/>
    <w:rsid w:val="00E951F5"/>
    <w:rsid w:val="00E9600C"/>
    <w:rsid w:val="00E96476"/>
    <w:rsid w:val="00EA16B4"/>
    <w:rsid w:val="00EA255A"/>
    <w:rsid w:val="00EA4721"/>
    <w:rsid w:val="00EB2776"/>
    <w:rsid w:val="00EB482B"/>
    <w:rsid w:val="00EB555D"/>
    <w:rsid w:val="00EC3548"/>
    <w:rsid w:val="00EC3551"/>
    <w:rsid w:val="00EC562C"/>
    <w:rsid w:val="00EC5D0F"/>
    <w:rsid w:val="00EC7585"/>
    <w:rsid w:val="00ED08D2"/>
    <w:rsid w:val="00ED13D6"/>
    <w:rsid w:val="00ED223E"/>
    <w:rsid w:val="00ED2CAE"/>
    <w:rsid w:val="00ED5858"/>
    <w:rsid w:val="00ED62B7"/>
    <w:rsid w:val="00ED6677"/>
    <w:rsid w:val="00EE1395"/>
    <w:rsid w:val="00EE2BA8"/>
    <w:rsid w:val="00EE3386"/>
    <w:rsid w:val="00EE445B"/>
    <w:rsid w:val="00EF4DBE"/>
    <w:rsid w:val="00EF69D4"/>
    <w:rsid w:val="00EF6B74"/>
    <w:rsid w:val="00F0139C"/>
    <w:rsid w:val="00F04053"/>
    <w:rsid w:val="00F04A8A"/>
    <w:rsid w:val="00F05E53"/>
    <w:rsid w:val="00F1146B"/>
    <w:rsid w:val="00F11E01"/>
    <w:rsid w:val="00F12011"/>
    <w:rsid w:val="00F12F2B"/>
    <w:rsid w:val="00F141C9"/>
    <w:rsid w:val="00F15362"/>
    <w:rsid w:val="00F175C1"/>
    <w:rsid w:val="00F2095F"/>
    <w:rsid w:val="00F21234"/>
    <w:rsid w:val="00F219B8"/>
    <w:rsid w:val="00F25DB8"/>
    <w:rsid w:val="00F30E2A"/>
    <w:rsid w:val="00F36130"/>
    <w:rsid w:val="00F37DC9"/>
    <w:rsid w:val="00F40C36"/>
    <w:rsid w:val="00F43D75"/>
    <w:rsid w:val="00F45669"/>
    <w:rsid w:val="00F470FF"/>
    <w:rsid w:val="00F515B2"/>
    <w:rsid w:val="00F51EBD"/>
    <w:rsid w:val="00F5271F"/>
    <w:rsid w:val="00F53B99"/>
    <w:rsid w:val="00F53D3C"/>
    <w:rsid w:val="00F554A8"/>
    <w:rsid w:val="00F577E7"/>
    <w:rsid w:val="00F608F2"/>
    <w:rsid w:val="00F60B21"/>
    <w:rsid w:val="00F63884"/>
    <w:rsid w:val="00F65D04"/>
    <w:rsid w:val="00F67678"/>
    <w:rsid w:val="00F7169D"/>
    <w:rsid w:val="00F7275C"/>
    <w:rsid w:val="00F72B83"/>
    <w:rsid w:val="00F72FE3"/>
    <w:rsid w:val="00F735F5"/>
    <w:rsid w:val="00F73BC9"/>
    <w:rsid w:val="00F747AF"/>
    <w:rsid w:val="00F75DBD"/>
    <w:rsid w:val="00F81EDA"/>
    <w:rsid w:val="00F839F0"/>
    <w:rsid w:val="00F870F0"/>
    <w:rsid w:val="00F875BD"/>
    <w:rsid w:val="00F9094F"/>
    <w:rsid w:val="00F9220E"/>
    <w:rsid w:val="00FA1D58"/>
    <w:rsid w:val="00FA2308"/>
    <w:rsid w:val="00FA268C"/>
    <w:rsid w:val="00FA3A54"/>
    <w:rsid w:val="00FA6C39"/>
    <w:rsid w:val="00FA6CC7"/>
    <w:rsid w:val="00FA712F"/>
    <w:rsid w:val="00FA7945"/>
    <w:rsid w:val="00FB0FB3"/>
    <w:rsid w:val="00FB1226"/>
    <w:rsid w:val="00FB1C5C"/>
    <w:rsid w:val="00FB3938"/>
    <w:rsid w:val="00FB396B"/>
    <w:rsid w:val="00FB41A2"/>
    <w:rsid w:val="00FB4546"/>
    <w:rsid w:val="00FB61FC"/>
    <w:rsid w:val="00FC18AD"/>
    <w:rsid w:val="00FC206C"/>
    <w:rsid w:val="00FC21EA"/>
    <w:rsid w:val="00FC2A86"/>
    <w:rsid w:val="00FC341D"/>
    <w:rsid w:val="00FD1CEF"/>
    <w:rsid w:val="00FD5EFC"/>
    <w:rsid w:val="00FD73BA"/>
    <w:rsid w:val="00FD7571"/>
    <w:rsid w:val="00FD7AD4"/>
    <w:rsid w:val="00FD7B7A"/>
    <w:rsid w:val="00FE00D5"/>
    <w:rsid w:val="00FE02D6"/>
    <w:rsid w:val="00FE0459"/>
    <w:rsid w:val="00FE272F"/>
    <w:rsid w:val="00FE3A9D"/>
    <w:rsid w:val="00FE631C"/>
    <w:rsid w:val="00FF0A9E"/>
    <w:rsid w:val="00FF37AB"/>
    <w:rsid w:val="00FF3E48"/>
    <w:rsid w:val="00FF491A"/>
    <w:rsid w:val="00FF6D48"/>
    <w:rsid w:val="00FF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22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B1"/>
    <w:pPr>
      <w:spacing w:before="120" w:after="120"/>
    </w:pPr>
    <w:rPr>
      <w:sz w:val="24"/>
      <w:szCs w:val="21"/>
    </w:rPr>
  </w:style>
  <w:style w:type="paragraph" w:styleId="Heading1">
    <w:name w:val="heading 1"/>
    <w:basedOn w:val="ListNumber"/>
    <w:next w:val="Heading2"/>
    <w:link w:val="Heading1Char"/>
    <w:uiPriority w:val="9"/>
    <w:qFormat/>
    <w:rsid w:val="004502A1"/>
    <w:pPr>
      <w:keepNext/>
      <w:suppressAutoHyphens/>
      <w:spacing w:before="360" w:line="440" w:lineRule="exact"/>
      <w:outlineLvl w:val="0"/>
    </w:pPr>
    <w:rPr>
      <w:rFonts w:ascii="Arial" w:eastAsia="Times New Roman" w:hAnsi="Arial"/>
      <w:bCs/>
      <w:caps/>
      <w:color w:val="482D8C"/>
      <w:spacing w:val="-20"/>
      <w:kern w:val="36"/>
      <w:sz w:val="44"/>
      <w:szCs w:val="48"/>
    </w:rPr>
  </w:style>
  <w:style w:type="paragraph" w:styleId="Heading2">
    <w:name w:val="heading 2"/>
    <w:basedOn w:val="ListNumber2"/>
    <w:next w:val="Heading3"/>
    <w:link w:val="Heading2Char"/>
    <w:uiPriority w:val="9"/>
    <w:unhideWhenUsed/>
    <w:qFormat/>
    <w:rsid w:val="009920BD"/>
    <w:pPr>
      <w:keepNext/>
      <w:suppressAutoHyphens/>
      <w:spacing w:before="480" w:line="300" w:lineRule="exact"/>
      <w:outlineLvl w:val="1"/>
    </w:pPr>
    <w:rPr>
      <w:rFonts w:ascii="Arial" w:hAnsi="Arial"/>
      <w:caps/>
      <w:color w:val="00AEEF"/>
      <w:sz w:val="30"/>
      <w:szCs w:val="36"/>
    </w:rPr>
  </w:style>
  <w:style w:type="paragraph" w:styleId="Heading3">
    <w:name w:val="heading 3"/>
    <w:basedOn w:val="Normal"/>
    <w:next w:val="Normal"/>
    <w:link w:val="Heading3Char"/>
    <w:uiPriority w:val="9"/>
    <w:unhideWhenUsed/>
    <w:rsid w:val="00A80C2F"/>
    <w:pPr>
      <w:keepNext/>
      <w:suppressAutoHyphens/>
      <w:spacing w:before="200" w:after="60" w:line="240" w:lineRule="exact"/>
      <w:outlineLvl w:val="2"/>
    </w:pPr>
    <w:rPr>
      <w:rFonts w:ascii="Arial" w:hAnsi="Arial"/>
      <w:b/>
      <w:caps/>
      <w:color w:val="323232"/>
      <w:szCs w:val="28"/>
    </w:rPr>
  </w:style>
  <w:style w:type="paragraph" w:styleId="Heading4">
    <w:name w:val="heading 4"/>
    <w:basedOn w:val="ListNumber2"/>
    <w:link w:val="Heading4Char"/>
    <w:uiPriority w:val="9"/>
    <w:unhideWhenUsed/>
    <w:qFormat/>
    <w:rsid w:val="00DD4B98"/>
    <w:pPr>
      <w:keepNext/>
      <w:spacing w:before="360" w:line="240" w:lineRule="exact"/>
      <w:outlineLvl w:val="3"/>
    </w:pPr>
    <w:rPr>
      <w:rFonts w:ascii="Arial" w:hAnsi="Arial"/>
      <w:bCs/>
      <w:color w:val="482D8C"/>
      <w:szCs w:val="28"/>
    </w:rPr>
  </w:style>
  <w:style w:type="paragraph" w:styleId="Heading5">
    <w:name w:val="heading 5"/>
    <w:basedOn w:val="Normal"/>
    <w:next w:val="Normal"/>
    <w:link w:val="Heading5Char"/>
    <w:uiPriority w:val="9"/>
    <w:unhideWhenUsed/>
    <w:qFormat/>
    <w:rsid w:val="00FD73BA"/>
    <w:pPr>
      <w:keepNext/>
      <w:keepLines/>
      <w:outlineLvl w:val="4"/>
    </w:pPr>
    <w:rPr>
      <w:rFonts w:ascii="Arial" w:eastAsiaTheme="majorEastAsia" w:hAnsi="Arial" w:cstheme="majorBidi"/>
      <w:color w:val="365F91" w:themeColor="accent1" w:themeShade="BF"/>
      <w:sz w:val="22"/>
    </w:rPr>
  </w:style>
  <w:style w:type="paragraph" w:styleId="Heading6">
    <w:name w:val="heading 6"/>
    <w:basedOn w:val="Normal"/>
    <w:next w:val="Normal"/>
    <w:link w:val="Heading6Char"/>
    <w:uiPriority w:val="9"/>
    <w:unhideWhenUsed/>
    <w:qFormat/>
    <w:rsid w:val="00441C08"/>
    <w:pPr>
      <w:keepNext/>
      <w:keepLines/>
      <w:spacing w:before="40" w:after="0"/>
      <w:outlineLvl w:val="5"/>
    </w:pPr>
    <w:rPr>
      <w:rFonts w:ascii="Arial" w:eastAsiaTheme="majorEastAsia" w:hAnsi="Arial" w:cstheme="majorBidi"/>
      <w:i/>
      <w:color w:val="243F60" w:themeColor="accent1" w:themeShade="7F"/>
      <w:sz w:val="22"/>
    </w:rPr>
  </w:style>
  <w:style w:type="paragraph" w:styleId="Heading7">
    <w:name w:val="heading 7"/>
    <w:basedOn w:val="Normal"/>
    <w:next w:val="Normal"/>
    <w:link w:val="Heading7Char"/>
    <w:uiPriority w:val="9"/>
    <w:unhideWhenUsed/>
    <w:qFormat/>
    <w:rsid w:val="00336DBD"/>
    <w:pPr>
      <w:keepNext/>
      <w:keepLines/>
      <w:spacing w:before="40" w:after="0"/>
      <w:outlineLvl w:val="6"/>
    </w:pPr>
    <w:rPr>
      <w:rFonts w:ascii="Arial" w:eastAsiaTheme="majorEastAsia" w:hAnsi="Arial"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0C2F"/>
    <w:rPr>
      <w:rFonts w:ascii="Arial" w:hAnsi="Arial" w:cs="Times New Roman"/>
      <w:b/>
      <w:caps/>
      <w:color w:val="323232"/>
      <w:sz w:val="24"/>
      <w:szCs w:val="28"/>
      <w:lang w:eastAsia="en-AU"/>
    </w:rPr>
  </w:style>
  <w:style w:type="character" w:customStyle="1" w:styleId="Heading2Char">
    <w:name w:val="Heading 2 Char"/>
    <w:basedOn w:val="DefaultParagraphFont"/>
    <w:link w:val="Heading2"/>
    <w:uiPriority w:val="9"/>
    <w:rsid w:val="0087479E"/>
    <w:rPr>
      <w:rFonts w:ascii="Arial" w:hAnsi="Arial"/>
      <w:caps/>
      <w:color w:val="00AEEF"/>
      <w:sz w:val="30"/>
      <w:szCs w:val="36"/>
    </w:rPr>
  </w:style>
  <w:style w:type="character" w:customStyle="1" w:styleId="Heading1Char">
    <w:name w:val="Heading 1 Char"/>
    <w:basedOn w:val="DefaultParagraphFont"/>
    <w:link w:val="Heading1"/>
    <w:uiPriority w:val="9"/>
    <w:rsid w:val="00AF4128"/>
    <w:rPr>
      <w:rFonts w:ascii="Arial" w:eastAsia="Times New Roman" w:hAnsi="Arial"/>
      <w:bCs/>
      <w:caps/>
      <w:color w:val="482D8C"/>
      <w:spacing w:val="-20"/>
      <w:kern w:val="36"/>
      <w:sz w:val="44"/>
      <w:szCs w:val="48"/>
    </w:rPr>
  </w:style>
  <w:style w:type="character" w:customStyle="1" w:styleId="Heading4Char">
    <w:name w:val="Heading 4 Char"/>
    <w:basedOn w:val="DefaultParagraphFont"/>
    <w:link w:val="Heading4"/>
    <w:uiPriority w:val="9"/>
    <w:rsid w:val="00D412D8"/>
    <w:rPr>
      <w:rFonts w:ascii="Arial" w:hAnsi="Arial"/>
      <w:bCs/>
      <w:color w:val="482D8C"/>
      <w:sz w:val="24"/>
      <w:szCs w:val="28"/>
    </w:rPr>
  </w:style>
  <w:style w:type="character" w:customStyle="1" w:styleId="Heading5Char">
    <w:name w:val="Heading 5 Char"/>
    <w:basedOn w:val="DefaultParagraphFont"/>
    <w:link w:val="Heading5"/>
    <w:uiPriority w:val="9"/>
    <w:rsid w:val="00FD73BA"/>
    <w:rPr>
      <w:rFonts w:ascii="Arial" w:eastAsiaTheme="majorEastAsia" w:hAnsi="Arial" w:cstheme="majorBidi"/>
      <w:color w:val="365F91" w:themeColor="accent1" w:themeShade="BF"/>
      <w:sz w:val="22"/>
      <w:szCs w:val="21"/>
    </w:rPr>
  </w:style>
  <w:style w:type="character" w:customStyle="1" w:styleId="Heading6Char">
    <w:name w:val="Heading 6 Char"/>
    <w:basedOn w:val="DefaultParagraphFont"/>
    <w:link w:val="Heading6"/>
    <w:uiPriority w:val="9"/>
    <w:rsid w:val="00441C08"/>
    <w:rPr>
      <w:rFonts w:ascii="Arial" w:eastAsiaTheme="majorEastAsia" w:hAnsi="Arial" w:cstheme="majorBidi"/>
      <w:i/>
      <w:color w:val="243F60" w:themeColor="accent1" w:themeShade="7F"/>
      <w:sz w:val="22"/>
      <w:szCs w:val="21"/>
    </w:rPr>
  </w:style>
  <w:style w:type="character" w:customStyle="1" w:styleId="Heading7Char">
    <w:name w:val="Heading 7 Char"/>
    <w:basedOn w:val="DefaultParagraphFont"/>
    <w:link w:val="Heading7"/>
    <w:uiPriority w:val="9"/>
    <w:rsid w:val="00336DBD"/>
    <w:rPr>
      <w:rFonts w:ascii="Arial" w:eastAsiaTheme="majorEastAsia" w:hAnsi="Arial" w:cstheme="majorBidi"/>
      <w:i/>
      <w:iCs/>
      <w:sz w:val="22"/>
      <w:szCs w:val="21"/>
    </w:rPr>
  </w:style>
  <w:style w:type="character" w:styleId="Hyperlink">
    <w:name w:val="Hyperlink"/>
    <w:basedOn w:val="DefaultParagraphFont"/>
    <w:uiPriority w:val="99"/>
    <w:unhideWhenUsed/>
    <w:rsid w:val="0037744F"/>
    <w:rPr>
      <w:rFonts w:ascii="Calibri" w:hAnsi="Calibri"/>
      <w:color w:val="005677"/>
      <w:u w:val="single"/>
    </w:rPr>
  </w:style>
  <w:style w:type="paragraph" w:styleId="TOC1">
    <w:name w:val="toc 1"/>
    <w:basedOn w:val="Normal"/>
    <w:autoRedefine/>
    <w:uiPriority w:val="39"/>
    <w:unhideWhenUsed/>
    <w:rsid w:val="00482E0B"/>
    <w:pPr>
      <w:keepNext/>
      <w:tabs>
        <w:tab w:val="right" w:leader="dot" w:pos="9060"/>
      </w:tabs>
      <w:spacing w:before="360" w:line="440" w:lineRule="exact"/>
    </w:pPr>
    <w:rPr>
      <w:rFonts w:ascii="Arial" w:hAnsi="Arial"/>
      <w:caps/>
      <w:noProof/>
      <w:color w:val="482D8C"/>
      <w:sz w:val="36"/>
      <w:szCs w:val="40"/>
    </w:rPr>
  </w:style>
  <w:style w:type="paragraph" w:styleId="TOC2">
    <w:name w:val="toc 2"/>
    <w:basedOn w:val="Normal"/>
    <w:autoRedefine/>
    <w:uiPriority w:val="39"/>
    <w:unhideWhenUsed/>
    <w:rsid w:val="00C63C35"/>
    <w:pPr>
      <w:keepNext/>
      <w:tabs>
        <w:tab w:val="right" w:leader="dot" w:pos="9060"/>
      </w:tabs>
      <w:spacing w:before="200" w:line="320" w:lineRule="exact"/>
      <w:ind w:left="210"/>
    </w:pPr>
    <w:rPr>
      <w:rFonts w:ascii="Arial" w:hAnsi="Arial"/>
      <w:caps/>
      <w:color w:val="00AEEF"/>
      <w:sz w:val="28"/>
      <w:szCs w:val="32"/>
    </w:rPr>
  </w:style>
  <w:style w:type="paragraph" w:styleId="TOC3">
    <w:name w:val="toc 3"/>
    <w:basedOn w:val="Normal"/>
    <w:autoRedefine/>
    <w:uiPriority w:val="39"/>
    <w:unhideWhenUsed/>
    <w:rsid w:val="00D5471F"/>
    <w:pPr>
      <w:keepNext/>
      <w:spacing w:before="200" w:line="240" w:lineRule="exact"/>
      <w:ind w:left="420"/>
    </w:pPr>
    <w:rPr>
      <w:rFonts w:ascii="Arial" w:hAnsi="Arial"/>
      <w:caps/>
      <w:color w:val="323232"/>
      <w:szCs w:val="24"/>
    </w:rPr>
  </w:style>
  <w:style w:type="paragraph" w:styleId="Title">
    <w:name w:val="Title"/>
    <w:basedOn w:val="Normal"/>
    <w:link w:val="TitleChar"/>
    <w:uiPriority w:val="10"/>
    <w:qFormat/>
    <w:rsid w:val="004502A1"/>
    <w:pPr>
      <w:spacing w:line="680" w:lineRule="exact"/>
    </w:pPr>
    <w:rPr>
      <w:rFonts w:ascii="Arial" w:hAnsi="Arial"/>
      <w:caps/>
      <w:color w:val="00AEEF"/>
      <w:sz w:val="72"/>
      <w:szCs w:val="72"/>
    </w:rPr>
  </w:style>
  <w:style w:type="character" w:customStyle="1" w:styleId="TitleChar">
    <w:name w:val="Title Char"/>
    <w:basedOn w:val="DefaultParagraphFont"/>
    <w:link w:val="Title"/>
    <w:uiPriority w:val="10"/>
    <w:rsid w:val="004502A1"/>
    <w:rPr>
      <w:rFonts w:ascii="Arial" w:hAnsi="Arial" w:cs="Times New Roman"/>
      <w:caps/>
      <w:color w:val="00AEEF"/>
      <w:sz w:val="72"/>
      <w:szCs w:val="72"/>
      <w:lang w:eastAsia="en-AU"/>
    </w:rPr>
  </w:style>
  <w:style w:type="paragraph" w:styleId="Subtitle">
    <w:name w:val="Subtitle"/>
    <w:basedOn w:val="Normal"/>
    <w:link w:val="SubtitleChar"/>
    <w:uiPriority w:val="11"/>
    <w:qFormat/>
    <w:rsid w:val="00632F54"/>
    <w:pPr>
      <w:spacing w:line="360" w:lineRule="exact"/>
    </w:pPr>
    <w:rPr>
      <w:rFonts w:ascii="Arial" w:hAnsi="Arial"/>
      <w:caps/>
      <w:color w:val="262626"/>
      <w:spacing w:val="15"/>
      <w:sz w:val="40"/>
      <w:szCs w:val="40"/>
    </w:rPr>
  </w:style>
  <w:style w:type="character" w:customStyle="1" w:styleId="SubtitleChar">
    <w:name w:val="Subtitle Char"/>
    <w:basedOn w:val="DefaultParagraphFont"/>
    <w:link w:val="Subtitle"/>
    <w:uiPriority w:val="11"/>
    <w:rsid w:val="00632F54"/>
    <w:rPr>
      <w:rFonts w:ascii="Arial" w:hAnsi="Arial" w:cs="Times New Roman"/>
      <w:caps/>
      <w:color w:val="262626"/>
      <w:spacing w:val="15"/>
      <w:sz w:val="40"/>
      <w:szCs w:val="40"/>
      <w:lang w:eastAsia="en-AU"/>
    </w:rPr>
  </w:style>
  <w:style w:type="paragraph" w:styleId="TOCHeading">
    <w:name w:val="TOC Heading"/>
    <w:basedOn w:val="Normal"/>
    <w:uiPriority w:val="39"/>
    <w:unhideWhenUsed/>
    <w:qFormat/>
    <w:rsid w:val="00AE6BD7"/>
    <w:pPr>
      <w:keepNext/>
      <w:spacing w:before="480" w:line="276" w:lineRule="auto"/>
    </w:pPr>
    <w:rPr>
      <w:rFonts w:ascii="Cambria" w:hAnsi="Cambria"/>
      <w:b/>
      <w:bCs/>
      <w:color w:val="365F91"/>
      <w:sz w:val="28"/>
      <w:szCs w:val="28"/>
    </w:rPr>
  </w:style>
  <w:style w:type="paragraph" w:customStyle="1" w:styleId="Intro">
    <w:name w:val="Intro"/>
    <w:basedOn w:val="Normal"/>
    <w:rsid w:val="00AE2693"/>
    <w:pPr>
      <w:spacing w:line="300" w:lineRule="exact"/>
    </w:pPr>
    <w:rPr>
      <w:color w:val="323232"/>
      <w:sz w:val="25"/>
      <w:szCs w:val="24"/>
    </w:rPr>
  </w:style>
  <w:style w:type="paragraph" w:styleId="TOC4">
    <w:name w:val="toc 4"/>
    <w:basedOn w:val="Normal"/>
    <w:next w:val="Normal"/>
    <w:autoRedefine/>
    <w:uiPriority w:val="39"/>
    <w:unhideWhenUsed/>
    <w:rsid w:val="00D5471F"/>
    <w:pPr>
      <w:spacing w:after="100"/>
      <w:ind w:left="630"/>
    </w:pPr>
    <w:rPr>
      <w:color w:val="482D8C"/>
    </w:rPr>
  </w:style>
  <w:style w:type="paragraph" w:customStyle="1" w:styleId="bulletnumbers">
    <w:name w:val="bullet numbers"/>
    <w:basedOn w:val="Normal"/>
    <w:qFormat/>
    <w:rsid w:val="0031181D"/>
    <w:pPr>
      <w:numPr>
        <w:numId w:val="5"/>
      </w:numPr>
    </w:pPr>
  </w:style>
  <w:style w:type="paragraph" w:styleId="Header">
    <w:name w:val="header"/>
    <w:basedOn w:val="Normal"/>
    <w:link w:val="HeaderChar"/>
    <w:uiPriority w:val="99"/>
    <w:unhideWhenUsed/>
    <w:rsid w:val="00665B9F"/>
    <w:pPr>
      <w:tabs>
        <w:tab w:val="center" w:pos="4513"/>
        <w:tab w:val="right" w:pos="9026"/>
      </w:tabs>
      <w:spacing w:after="0"/>
    </w:pPr>
  </w:style>
  <w:style w:type="character" w:customStyle="1" w:styleId="HeaderChar">
    <w:name w:val="Header Char"/>
    <w:basedOn w:val="DefaultParagraphFont"/>
    <w:link w:val="Header"/>
    <w:uiPriority w:val="99"/>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632F54"/>
    <w:pPr>
      <w:widowControl w:val="0"/>
    </w:pPr>
    <w:rPr>
      <w:rFonts w:eastAsia="Montserrat Light"/>
      <w:color w:val="262626"/>
      <w:szCs w:val="22"/>
      <w:lang w:val="en-US" w:eastAsia="en-US"/>
    </w:rPr>
  </w:style>
  <w:style w:type="paragraph" w:styleId="BodyText">
    <w:name w:val="Body Text"/>
    <w:basedOn w:val="Normal"/>
    <w:link w:val="BodyTextChar"/>
    <w:uiPriority w:val="99"/>
    <w:unhideWhenUsed/>
    <w:rsid w:val="00632F54"/>
  </w:style>
  <w:style w:type="character" w:customStyle="1" w:styleId="BodyTextChar">
    <w:name w:val="Body Text Char"/>
    <w:basedOn w:val="DefaultParagraphFont"/>
    <w:link w:val="BodyText"/>
    <w:uiPriority w:val="99"/>
    <w:rsid w:val="00632F54"/>
    <w:rPr>
      <w:rFonts w:ascii="Source Sans Pro" w:hAnsi="Source Sans Pro" w:cs="Times New Roman"/>
      <w:sz w:val="21"/>
      <w:szCs w:val="21"/>
      <w:lang w:eastAsia="en-AU"/>
    </w:rPr>
  </w:style>
  <w:style w:type="paragraph" w:styleId="TOAHeading">
    <w:name w:val="toa heading"/>
    <w:basedOn w:val="Normal"/>
    <w:next w:val="Normal"/>
    <w:uiPriority w:val="99"/>
    <w:semiHidden/>
    <w:unhideWhenUsed/>
    <w:rsid w:val="00632F54"/>
    <w:rPr>
      <w:rFonts w:ascii="Arial" w:eastAsia="Times New Roman" w:hAnsi="Arial"/>
      <w:b/>
      <w:bCs/>
      <w:szCs w:val="24"/>
    </w:rPr>
  </w:style>
  <w:style w:type="table" w:styleId="TableGrid">
    <w:name w:val="Table Grid"/>
    <w:basedOn w:val="TableNormal"/>
    <w:uiPriority w:val="39"/>
    <w:rsid w:val="00632F54"/>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B02277"/>
    <w:rPr>
      <w:rFonts w:ascii="Arial" w:hAnsi="Arial"/>
      <w:color w:val="FFFFFF"/>
      <w:szCs w:val="24"/>
    </w:rPr>
  </w:style>
  <w:style w:type="paragraph" w:customStyle="1" w:styleId="Bullet1">
    <w:name w:val="Bullet 1"/>
    <w:basedOn w:val="Normal"/>
    <w:link w:val="Bullet1Char"/>
    <w:qFormat/>
    <w:rsid w:val="00F53D3C"/>
    <w:pPr>
      <w:numPr>
        <w:numId w:val="1"/>
      </w:numPr>
      <w:spacing w:after="60"/>
      <w:ind w:left="357" w:hanging="357"/>
    </w:pPr>
    <w:rPr>
      <w:rFonts w:eastAsia="Times New Roman"/>
      <w:sz w:val="22"/>
      <w:szCs w:val="20"/>
      <w:lang w:eastAsia="en-US"/>
    </w:rPr>
  </w:style>
  <w:style w:type="character" w:customStyle="1" w:styleId="Bullet1Char">
    <w:name w:val="Bullet 1 Char"/>
    <w:basedOn w:val="DefaultParagraphFont"/>
    <w:link w:val="Bullet1"/>
    <w:rsid w:val="00F53D3C"/>
    <w:rPr>
      <w:rFonts w:eastAsia="Times New Roman"/>
      <w:sz w:val="22"/>
      <w:lang w:eastAsia="en-US"/>
    </w:rPr>
  </w:style>
  <w:style w:type="paragraph" w:customStyle="1" w:styleId="Bullet2">
    <w:name w:val="Bullet 2"/>
    <w:basedOn w:val="Bullet1"/>
    <w:link w:val="Bullet2Char"/>
    <w:qFormat/>
    <w:rsid w:val="00BF0624"/>
    <w:pPr>
      <w:numPr>
        <w:numId w:val="2"/>
      </w:numPr>
      <w:spacing w:after="0"/>
    </w:pPr>
    <w:rPr>
      <w:sz w:val="24"/>
    </w:rPr>
  </w:style>
  <w:style w:type="character" w:customStyle="1" w:styleId="Bullet2Char">
    <w:name w:val="Bullet 2 Char"/>
    <w:basedOn w:val="Bullet1Char"/>
    <w:link w:val="Bullet2"/>
    <w:rsid w:val="00BF0624"/>
    <w:rPr>
      <w:rFonts w:eastAsia="Times New Roman"/>
      <w:sz w:val="24"/>
      <w:lang w:eastAsia="en-US"/>
    </w:rPr>
  </w:style>
  <w:style w:type="paragraph" w:customStyle="1" w:styleId="Bullet3">
    <w:name w:val="Bullet 3"/>
    <w:basedOn w:val="Bullet2"/>
    <w:qFormat/>
    <w:rsid w:val="002A5458"/>
    <w:pPr>
      <w:numPr>
        <w:numId w:val="3"/>
      </w:numPr>
      <w:tabs>
        <w:tab w:val="num" w:pos="360"/>
      </w:tabs>
      <w:ind w:left="993" w:hanging="276"/>
    </w:pPr>
  </w:style>
  <w:style w:type="paragraph" w:customStyle="1" w:styleId="Footnotes">
    <w:name w:val="Footnotes"/>
    <w:basedOn w:val="Normal"/>
    <w:link w:val="FootnotesChar"/>
    <w:uiPriority w:val="15"/>
    <w:qFormat/>
    <w:rsid w:val="00250D7E"/>
    <w:pPr>
      <w:keepNext/>
      <w:spacing w:before="0" w:after="0"/>
    </w:pPr>
    <w:rPr>
      <w:rFonts w:eastAsia="Times New Roman"/>
      <w:sz w:val="18"/>
      <w:szCs w:val="16"/>
    </w:rPr>
  </w:style>
  <w:style w:type="character" w:customStyle="1" w:styleId="FootnotesChar">
    <w:name w:val="Footnotes Char"/>
    <w:link w:val="Footnotes"/>
    <w:uiPriority w:val="15"/>
    <w:rsid w:val="00250D7E"/>
    <w:rPr>
      <w:rFonts w:eastAsia="Times New Roman"/>
      <w:sz w:val="18"/>
      <w:szCs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0419C1"/>
    <w:pPr>
      <w:spacing w:after="0"/>
      <w:ind w:left="227" w:hanging="227"/>
    </w:pPr>
    <w:rPr>
      <w:rFonts w:eastAsia="Times New Roman"/>
      <w:bCs/>
      <w:szCs w:val="20"/>
    </w:rPr>
  </w:style>
  <w:style w:type="character" w:customStyle="1" w:styleId="TabletextChar">
    <w:name w:val="Table text Char"/>
    <w:basedOn w:val="DefaultParagraphFont"/>
    <w:link w:val="Tabletext"/>
    <w:rsid w:val="000419C1"/>
    <w:rPr>
      <w:rFonts w:eastAsia="Times New Roman" w:cs="Times New Roman"/>
      <w:bCs/>
      <w:sz w:val="21"/>
      <w:szCs w:val="20"/>
      <w:lang w:eastAsia="en-AU"/>
    </w:rPr>
  </w:style>
  <w:style w:type="character" w:customStyle="1" w:styleId="TablefiguresChar">
    <w:name w:val="Table figures Char"/>
    <w:basedOn w:val="DefaultParagraphFont"/>
    <w:link w:val="Tablefigures"/>
    <w:rsid w:val="0086024E"/>
    <w:rPr>
      <w:rFonts w:eastAsia="Times New Roman" w:cs="Times New Roman"/>
      <w:sz w:val="20"/>
      <w:szCs w:val="20"/>
      <w:lang w:eastAsia="en-AU"/>
    </w:rPr>
  </w:style>
  <w:style w:type="paragraph" w:customStyle="1" w:styleId="Noteslist">
    <w:name w:val="Notes list"/>
    <w:basedOn w:val="Normal"/>
    <w:link w:val="NoteslistChar"/>
    <w:qFormat/>
    <w:rsid w:val="0086024E"/>
    <w:pPr>
      <w:numPr>
        <w:numId w:val="4"/>
      </w:numPr>
      <w:spacing w:after="0"/>
    </w:pPr>
    <w:rPr>
      <w:rFonts w:eastAsia="Times New Roman"/>
      <w:sz w:val="18"/>
      <w:szCs w:val="24"/>
      <w:lang w:eastAsia="en-US"/>
    </w:rPr>
  </w:style>
  <w:style w:type="character" w:customStyle="1" w:styleId="NoteslistChar">
    <w:name w:val="Notes list Char"/>
    <w:basedOn w:val="DefaultParagraphFont"/>
    <w:link w:val="Noteslist"/>
    <w:rsid w:val="0086024E"/>
    <w:rPr>
      <w:rFonts w:eastAsia="Times New Roman"/>
      <w:sz w:val="18"/>
      <w:szCs w:val="24"/>
      <w:lang w:eastAsia="en-US"/>
    </w:rPr>
  </w:style>
  <w:style w:type="paragraph" w:customStyle="1" w:styleId="TableFiguresheading">
    <w:name w:val="Table Figures_heading"/>
    <w:basedOn w:val="Normal"/>
    <w:link w:val="TableFiguresheadingChar"/>
    <w:qFormat/>
    <w:rsid w:val="007E76A2"/>
    <w:pPr>
      <w:spacing w:after="0"/>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pPr>
    <w:rPr>
      <w:rFonts w:eastAsia="Times New Roman"/>
      <w:color w:val="482D8C"/>
      <w:sz w:val="22"/>
      <w:lang w:eastAsia="en-US"/>
    </w:rPr>
  </w:style>
  <w:style w:type="paragraph" w:styleId="Caption">
    <w:name w:val="caption"/>
    <w:basedOn w:val="Normal"/>
    <w:next w:val="Normal"/>
    <w:link w:val="CaptionChar"/>
    <w:uiPriority w:val="99"/>
    <w:unhideWhenUsed/>
    <w:qFormat/>
    <w:rsid w:val="005E5305"/>
    <w:pPr>
      <w:spacing w:before="200" w:line="220" w:lineRule="exact"/>
    </w:pPr>
    <w:rPr>
      <w:bCs/>
      <w:i/>
      <w:color w:val="323232"/>
      <w:sz w:val="18"/>
      <w:szCs w:val="18"/>
    </w:rPr>
  </w:style>
  <w:style w:type="character" w:customStyle="1" w:styleId="CaptionChar">
    <w:name w:val="Caption Char"/>
    <w:link w:val="Caption"/>
    <w:uiPriority w:val="99"/>
    <w:locked/>
    <w:rsid w:val="009953A8"/>
    <w:rPr>
      <w:bCs/>
      <w:i/>
      <w:color w:val="323232"/>
      <w:sz w:val="18"/>
      <w:szCs w:val="18"/>
    </w:rPr>
  </w:style>
  <w:style w:type="table" w:customStyle="1" w:styleId="ARTableText">
    <w:name w:val="AR_Table_Text"/>
    <w:basedOn w:val="TableNormal"/>
    <w:uiPriority w:val="99"/>
    <w:qFormat/>
    <w:rsid w:val="000419C1"/>
    <w:rPr>
      <w:rFonts w:ascii="Arial" w:eastAsia="Times New Roman" w:hAnsi="Arial"/>
      <w:b/>
      <w:sz w:val="21"/>
    </w:rPr>
    <w:tblPr>
      <w:tblStyleRowBandSize w:val="1"/>
      <w:tblCellMar>
        <w:top w:w="57" w:type="dxa"/>
        <w:bottom w:w="57" w:type="dxa"/>
      </w:tblCellMar>
    </w:tblPr>
    <w:tcPr>
      <w:shd w:val="clear" w:color="auto" w:fill="E0E0E0"/>
      <w:vAlign w:val="center"/>
    </w:tcPr>
    <w:tblStylePr w:type="firstRow">
      <w:pPr>
        <w:jc w:val="center"/>
      </w:pPr>
      <w:rPr>
        <w:rFonts w:ascii="Calibri" w:hAnsi="Calibri"/>
        <w:b/>
        <w:sz w:val="20"/>
      </w:rPr>
      <w:tblPr/>
      <w:tcPr>
        <w:tcBorders>
          <w:top w:val="single" w:sz="4" w:space="0" w:color="000000"/>
          <w:left w:val="nil"/>
          <w:bottom w:val="single" w:sz="18" w:space="0" w:color="auto"/>
          <w:right w:val="nil"/>
        </w:tcBorders>
        <w:shd w:val="clear" w:color="auto" w:fill="auto"/>
      </w:tcPr>
    </w:tblStylePr>
    <w:tblStylePr w:type="lastRow">
      <w:rPr>
        <w:rFonts w:ascii="Calibri" w:hAnsi="Calibri"/>
        <w:sz w:val="20"/>
      </w:rPr>
      <w:tblPr/>
      <w:tcPr>
        <w:tcBorders>
          <w:bottom w:val="dotted" w:sz="6" w:space="0" w:color="auto"/>
        </w:tcBorders>
        <w:shd w:val="clear" w:color="auto" w:fill="ECECEC"/>
      </w:tcPr>
    </w:tblStylePr>
    <w:tblStylePr w:type="firstCol">
      <w:pPr>
        <w:jc w:val="left"/>
      </w:pPr>
      <w:rPr>
        <w:rFonts w:ascii="Calibri" w:hAnsi="Calibri"/>
        <w:sz w:val="20"/>
      </w:rPr>
      <w:tblPr/>
      <w:tcPr>
        <w:vAlign w:val="center"/>
      </w:tcPr>
    </w:tblStylePr>
    <w:tblStylePr w:type="band1Horz">
      <w:pPr>
        <w:jc w:val="left"/>
      </w:pPr>
      <w:rPr>
        <w:rFonts w:ascii="Calibri" w:hAnsi="Calibri"/>
        <w:sz w:val="18"/>
      </w:rPr>
      <w:tblPr/>
      <w:tcPr>
        <w:tcBorders>
          <w:bottom w:val="dotted" w:sz="6" w:space="0" w:color="auto"/>
        </w:tcBorders>
        <w:shd w:val="clear" w:color="auto" w:fill="auto"/>
      </w:tcPr>
    </w:tblStylePr>
    <w:tblStylePr w:type="band2Horz">
      <w:rPr>
        <w:rFonts w:ascii="Calibri" w:hAnsi="Calibri"/>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line="276" w:lineRule="auto"/>
    </w:pPr>
    <w:rPr>
      <w:rFonts w:eastAsia="Times New Roman"/>
      <w:sz w:val="21"/>
      <w:szCs w:val="21"/>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Calibri" w:hAnsi="Calibri"/>
        <w:b/>
        <w:sz w:val="20"/>
      </w:rPr>
      <w:tblPr/>
      <w:tcPr>
        <w:tcBorders>
          <w:top w:val="single" w:sz="4" w:space="0" w:color="000000"/>
          <w:left w:val="nil"/>
          <w:bottom w:val="single" w:sz="18" w:space="0" w:color="auto"/>
          <w:right w:val="nil"/>
        </w:tcBorders>
        <w:shd w:val="clear" w:color="auto" w:fill="auto"/>
      </w:tcPr>
    </w:tblStylePr>
    <w:tblStylePr w:type="lastRow">
      <w:rPr>
        <w:rFonts w:ascii="Calibri" w:hAnsi="Calibri"/>
        <w:sz w:val="20"/>
      </w:rPr>
      <w:tblPr/>
      <w:tcPr>
        <w:tcBorders>
          <w:bottom w:val="dotted" w:sz="6" w:space="0" w:color="auto"/>
        </w:tcBorders>
        <w:shd w:val="clear" w:color="auto" w:fill="D9D9D9"/>
      </w:tcPr>
    </w:tblStylePr>
    <w:tblStylePr w:type="firstCol">
      <w:pPr>
        <w:jc w:val="left"/>
      </w:pPr>
      <w:rPr>
        <w:rFonts w:ascii="Calibri" w:hAnsi="Calibri"/>
        <w:sz w:val="20"/>
      </w:rPr>
      <w:tblPr/>
      <w:tcPr>
        <w:vAlign w:val="center"/>
      </w:tcPr>
    </w:tblStylePr>
    <w:tblStylePr w:type="band1Horz">
      <w:pPr>
        <w:jc w:val="right"/>
      </w:pPr>
      <w:rPr>
        <w:rFonts w:ascii="Calibri" w:hAnsi="Calibri"/>
        <w:sz w:val="18"/>
      </w:rPr>
      <w:tblPr/>
      <w:tcPr>
        <w:tcBorders>
          <w:bottom w:val="dotted" w:sz="6" w:space="0" w:color="auto"/>
        </w:tcBorders>
        <w:shd w:val="clear" w:color="auto" w:fill="auto"/>
        <w:vAlign w:val="center"/>
      </w:tcPr>
    </w:tblStylePr>
    <w:tblStylePr w:type="band2Horz">
      <w:pPr>
        <w:jc w:val="right"/>
      </w:pPr>
      <w:rPr>
        <w:rFonts w:ascii="Calibri" w:hAnsi="Calibr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Heading">
    <w:name w:val="Note Heading"/>
    <w:basedOn w:val="Normal"/>
    <w:next w:val="Normal"/>
    <w:link w:val="NoteHeadingChar"/>
    <w:uiPriority w:val="99"/>
    <w:semiHidden/>
    <w:unhideWhenUsed/>
    <w:rsid w:val="007D5985"/>
    <w:pPr>
      <w:spacing w:after="0"/>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table" w:styleId="LightShading-Accent2">
    <w:name w:val="Light Shading Accent 2"/>
    <w:basedOn w:val="TableNormal"/>
    <w:uiPriority w:val="60"/>
    <w:rsid w:val="001912A2"/>
    <w:rPr>
      <w:color w:val="6D6F63"/>
    </w:rPr>
    <w:tblPr>
      <w:tblStyleRowBandSize w:val="1"/>
      <w:tblStyleColBandSize w:val="1"/>
      <w:tblBorders>
        <w:top w:val="single" w:sz="8" w:space="0" w:color="929487"/>
        <w:bottom w:val="single" w:sz="8" w:space="0" w:color="929487"/>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left w:val="nil"/>
          <w:bottom w:val="single" w:sz="8" w:space="0" w:color="929487"/>
          <w:right w:val="nil"/>
          <w:insideH w:val="nil"/>
          <w:insideV w:val="nil"/>
        </w:tcBorders>
      </w:tcPr>
    </w:tblStylePr>
    <w:tblStylePr w:type="lastRow">
      <w:pPr>
        <w:spacing w:before="0" w:after="0" w:line="240" w:lineRule="auto"/>
      </w:pPr>
      <w:rPr>
        <w:b/>
        <w:bCs/>
      </w:rPr>
      <w:tblPr/>
      <w:tcPr>
        <w:tcBorders>
          <w:top w:val="single" w:sz="8" w:space="0" w:color="929487"/>
          <w:left w:val="nil"/>
          <w:bottom w:val="single" w:sz="8" w:space="0" w:color="92948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cPr>
    </w:tblStylePr>
    <w:tblStylePr w:type="band1Horz">
      <w:tblPr/>
      <w:tcPr>
        <w:tcBorders>
          <w:left w:val="nil"/>
          <w:right w:val="nil"/>
          <w:insideH w:val="nil"/>
          <w:insideV w:val="nil"/>
        </w:tcBorders>
        <w:shd w:val="clear" w:color="auto" w:fill="E3E4E1"/>
      </w:tcPr>
    </w:tblStylePr>
  </w:style>
  <w:style w:type="table" w:styleId="LightList-Accent2">
    <w:name w:val="Light List Accent 2"/>
    <w:basedOn w:val="TableNormal"/>
    <w:uiPriority w:val="61"/>
    <w:rsid w:val="009B7419"/>
    <w:tblPr>
      <w:tblStyleRowBandSize w:val="1"/>
      <w:tblStyleColBandSize w:val="1"/>
      <w:tblBorders>
        <w:top w:val="single" w:sz="8" w:space="0" w:color="929487"/>
        <w:left w:val="single" w:sz="8" w:space="0" w:color="929487"/>
        <w:bottom w:val="single" w:sz="8" w:space="0" w:color="929487"/>
        <w:right w:val="single" w:sz="8" w:space="0" w:color="929487"/>
      </w:tblBorders>
    </w:tblPr>
    <w:tblStylePr w:type="firstRow">
      <w:pPr>
        <w:spacing w:before="0" w:after="0" w:line="240" w:lineRule="auto"/>
      </w:pPr>
      <w:rPr>
        <w:b/>
        <w:bCs/>
        <w:color w:val="FFFFFF"/>
      </w:rPr>
      <w:tblPr/>
      <w:tcPr>
        <w:shd w:val="clear" w:color="auto" w:fill="929487"/>
      </w:tcPr>
    </w:tblStylePr>
    <w:tblStylePr w:type="lastRow">
      <w:pPr>
        <w:spacing w:before="0" w:after="0" w:line="240" w:lineRule="auto"/>
      </w:pPr>
      <w:rPr>
        <w:b/>
        <w:bCs/>
      </w:rPr>
      <w:tblPr/>
      <w:tcPr>
        <w:tcBorders>
          <w:top w:val="double" w:sz="6" w:space="0" w:color="929487"/>
          <w:left w:val="single" w:sz="8" w:space="0" w:color="929487"/>
          <w:bottom w:val="single" w:sz="8" w:space="0" w:color="929487"/>
          <w:right w:val="single" w:sz="8" w:space="0" w:color="929487"/>
        </w:tcBorders>
      </w:tcPr>
    </w:tblStylePr>
    <w:tblStylePr w:type="firstCol">
      <w:rPr>
        <w:b/>
        <w:bCs/>
      </w:rPr>
    </w:tblStylePr>
    <w:tblStylePr w:type="lastCol">
      <w:rPr>
        <w:b/>
        <w:bCs/>
      </w:rPr>
    </w:tblStylePr>
    <w:tblStylePr w:type="band1Vert">
      <w:tblPr/>
      <w:tcPr>
        <w:tcBorders>
          <w:top w:val="single" w:sz="8" w:space="0" w:color="929487"/>
          <w:left w:val="single" w:sz="8" w:space="0" w:color="929487"/>
          <w:bottom w:val="single" w:sz="8" w:space="0" w:color="929487"/>
          <w:right w:val="single" w:sz="8" w:space="0" w:color="929487"/>
        </w:tcBorders>
      </w:tcPr>
    </w:tblStylePr>
    <w:tblStylePr w:type="band1Horz">
      <w:tblPr/>
      <w:tcPr>
        <w:tcBorders>
          <w:top w:val="single" w:sz="8" w:space="0" w:color="929487"/>
          <w:left w:val="single" w:sz="8" w:space="0" w:color="929487"/>
          <w:bottom w:val="single" w:sz="8" w:space="0" w:color="929487"/>
          <w:right w:val="single" w:sz="8" w:space="0" w:color="929487"/>
        </w:tcBorders>
      </w:tcPr>
    </w:tblStylePr>
  </w:style>
  <w:style w:type="table" w:styleId="MediumShading1-Accent2">
    <w:name w:val="Medium Shading 1 Accent 2"/>
    <w:basedOn w:val="TableNormal"/>
    <w:uiPriority w:val="63"/>
    <w:rsid w:val="009B7419"/>
    <w:tblPr>
      <w:tblStyleRowBandSize w:val="1"/>
      <w:tblStyleColBandSize w:val="1"/>
      <w:tblBorders>
        <w:insideH w:val="single" w:sz="8" w:space="0" w:color="929487"/>
      </w:tblBorders>
    </w:tblPr>
    <w:tblStylePr w:type="firstRow">
      <w:pPr>
        <w:spacing w:before="0" w:after="0" w:line="240" w:lineRule="auto"/>
      </w:pPr>
      <w:rPr>
        <w:b/>
        <w:bCs/>
        <w:color w:val="FFFFFF"/>
      </w:rPr>
      <w:tblPr/>
      <w:tcPr>
        <w:tcBorders>
          <w:top w:val="single" w:sz="8" w:space="0" w:color="ADAEA4"/>
          <w:left w:val="single" w:sz="8" w:space="0" w:color="ADAEA4"/>
          <w:bottom w:val="single" w:sz="8" w:space="0" w:color="ADAEA4"/>
          <w:right w:val="single" w:sz="8" w:space="0" w:color="ADAEA4"/>
          <w:insideH w:val="nil"/>
          <w:insideV w:val="nil"/>
        </w:tcBorders>
        <w:shd w:val="clear" w:color="auto" w:fill="929487"/>
      </w:tcPr>
    </w:tblStylePr>
    <w:tblStylePr w:type="lastRow">
      <w:pPr>
        <w:spacing w:before="0" w:after="0" w:line="240" w:lineRule="auto"/>
      </w:pPr>
      <w:rPr>
        <w:b/>
        <w:bCs/>
      </w:rPr>
      <w:tblPr/>
      <w:tcPr>
        <w:tcBorders>
          <w:top w:val="double" w:sz="6" w:space="0" w:color="ADAEA4"/>
          <w:left w:val="single" w:sz="8" w:space="0" w:color="ADAEA4"/>
          <w:bottom w:val="single" w:sz="8" w:space="0" w:color="ADAEA4"/>
          <w:right w:val="single" w:sz="8" w:space="0" w:color="ADAEA4"/>
          <w:insideH w:val="nil"/>
          <w:insideV w:val="nil"/>
        </w:tcBorders>
      </w:tcPr>
    </w:tblStylePr>
    <w:tblStylePr w:type="firstCol">
      <w:rPr>
        <w:b/>
        <w:bCs/>
      </w:rPr>
    </w:tblStylePr>
    <w:tblStylePr w:type="lastCol">
      <w:rPr>
        <w:b/>
        <w:bCs/>
      </w:rPr>
    </w:tblStylePr>
    <w:tblStylePr w:type="band1Vert">
      <w:tblPr/>
      <w:tcPr>
        <w:shd w:val="clear" w:color="auto" w:fill="E3E4E1"/>
      </w:tcPr>
    </w:tblStylePr>
    <w:tblStylePr w:type="band1Horz">
      <w:tblPr/>
      <w:tcPr>
        <w:tcBorders>
          <w:insideH w:val="nil"/>
          <w:insideV w:val="nil"/>
        </w:tcBorders>
        <w:shd w:val="clear" w:color="auto" w:fill="E3E4E1"/>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22"/>
    <w:qFormat/>
    <w:rsid w:val="00C85938"/>
    <w:rPr>
      <w:b/>
      <w:bCs/>
    </w:rPr>
  </w:style>
  <w:style w:type="paragraph" w:styleId="NoSpacing">
    <w:name w:val="No Spacing"/>
    <w:link w:val="NoSpacingChar"/>
    <w:uiPriority w:val="1"/>
    <w:qFormat/>
    <w:rsid w:val="00F875BD"/>
    <w:rPr>
      <w:rFonts w:eastAsia="Times New Roman"/>
      <w:sz w:val="22"/>
      <w:szCs w:val="22"/>
      <w:lang w:val="en-US" w:eastAsia="en-US"/>
    </w:rPr>
  </w:style>
  <w:style w:type="character" w:customStyle="1" w:styleId="NoSpacingChar">
    <w:name w:val="No Spacing Char"/>
    <w:basedOn w:val="DefaultParagraphFont"/>
    <w:link w:val="NoSpacing"/>
    <w:uiPriority w:val="1"/>
    <w:rsid w:val="00F875BD"/>
    <w:rPr>
      <w:rFonts w:eastAsia="Times New Roman"/>
      <w:sz w:val="22"/>
      <w:szCs w:val="22"/>
      <w:lang w:val="en-US" w:eastAsia="en-US" w:bidi="ar-SA"/>
    </w:rPr>
  </w:style>
  <w:style w:type="paragraph" w:styleId="ListParagraph">
    <w:name w:val="List Paragraph"/>
    <w:aliases w:val="List Paragraph1,Recommendation,List Paragraph11,Bullet point,L,Heading 2.,Bullets,NAST Quote,CV text,F5 List Paragraph,Dot pt,List Paragraph111,Medium Grid 1 - Accent 21,Numbered Paragraph,List Paragraph2,NFP GP Bulleted List,列"/>
    <w:basedOn w:val="Normal"/>
    <w:link w:val="ListParagraphChar"/>
    <w:uiPriority w:val="34"/>
    <w:qFormat/>
    <w:rsid w:val="00AA6E5F"/>
    <w:pPr>
      <w:ind w:left="720"/>
      <w:contextualSpacing/>
    </w:pPr>
  </w:style>
  <w:style w:type="character" w:customStyle="1" w:styleId="ListParagraphChar">
    <w:name w:val="List Paragraph Char"/>
    <w:aliases w:val="List Paragraph1 Char,Recommendation Char,List Paragraph11 Char,Bullet point Char,L Char,Heading 2. Char,Bullets Char,NAST Quote Char,CV text Char,F5 List Paragraph Char,Dot pt Char,List Paragraph111 Char,Numbered Paragraph Char"/>
    <w:basedOn w:val="DefaultParagraphFont"/>
    <w:link w:val="ListParagraph"/>
    <w:uiPriority w:val="34"/>
    <w:locked/>
    <w:rsid w:val="00CB61D1"/>
    <w:rPr>
      <w:sz w:val="21"/>
      <w:szCs w:val="21"/>
    </w:rPr>
  </w:style>
  <w:style w:type="paragraph" w:customStyle="1" w:styleId="Tableheadbold">
    <w:name w:val="Table head bold"/>
    <w:basedOn w:val="Normal"/>
    <w:next w:val="Tablebody"/>
    <w:qFormat/>
    <w:rsid w:val="004B4981"/>
    <w:pPr>
      <w:spacing w:after="0"/>
    </w:pPr>
    <w:rPr>
      <w:rFonts w:ascii="Arial" w:eastAsia="Times New Roman" w:hAnsi="Arial"/>
      <w:b/>
    </w:rPr>
  </w:style>
  <w:style w:type="paragraph" w:customStyle="1" w:styleId="Tableheadblack">
    <w:name w:val="Table head black"/>
    <w:basedOn w:val="Tablehead"/>
    <w:qFormat/>
    <w:rsid w:val="00B70B52"/>
    <w:rPr>
      <w:rFonts w:cs="Arial"/>
      <w:b/>
      <w:color w:val="auto"/>
      <w:szCs w:val="21"/>
    </w:rPr>
  </w:style>
  <w:style w:type="paragraph" w:customStyle="1" w:styleId="Tableheadtext">
    <w:name w:val="Table head text"/>
    <w:basedOn w:val="Footnotes"/>
    <w:qFormat/>
    <w:rsid w:val="00452B15"/>
    <w:rPr>
      <w:rFonts w:ascii="Arial" w:hAnsi="Arial" w:cs="Arial"/>
      <w:sz w:val="21"/>
      <w:szCs w:val="21"/>
    </w:rPr>
  </w:style>
  <w:style w:type="table" w:styleId="ColorfulList-Accent3">
    <w:name w:val="Colorful List Accent 3"/>
    <w:aliases w:val="Colorful List - ACT Gov"/>
    <w:basedOn w:val="TableNormal"/>
    <w:uiPriority w:val="72"/>
    <w:rsid w:val="00214A8E"/>
    <w:rPr>
      <w:color w:val="000000"/>
    </w:rPr>
    <w:tblPr>
      <w:tblStyleRowBandSize w:val="1"/>
      <w:tblStyleColBandSize w:val="1"/>
    </w:tblPr>
    <w:tcPr>
      <w:shd w:val="clear" w:color="auto" w:fill="FFFFFF"/>
    </w:tcPr>
    <w:tblStylePr w:type="firstRow">
      <w:rPr>
        <w:b/>
        <w:bCs/>
        <w:color w:val="FFFFFF"/>
      </w:rPr>
      <w:tblPr/>
      <w:tcPr>
        <w:tcBorders>
          <w:bottom w:val="single" w:sz="12" w:space="0" w:color="FFFFFF"/>
        </w:tcBorders>
        <w:shd w:val="clear" w:color="auto" w:fill="282674"/>
      </w:tcPr>
    </w:tblStylePr>
    <w:tblStylePr w:type="lastRow">
      <w:rPr>
        <w:b/>
        <w:bCs/>
        <w:color w:val="28267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cPr>
    </w:tblStylePr>
    <w:tblStylePr w:type="band1Horz">
      <w:tblPr/>
      <w:tcPr>
        <w:shd w:val="clear" w:color="auto" w:fill="EFD7EB"/>
      </w:tcPr>
    </w:tblStylePr>
  </w:style>
  <w:style w:type="table" w:styleId="ColorfulList-Accent5">
    <w:name w:val="Colorful List Accent 5"/>
    <w:basedOn w:val="TableNormal"/>
    <w:uiPriority w:val="72"/>
    <w:rsid w:val="0079069F"/>
    <w:rPr>
      <w:color w:val="000000"/>
    </w:rPr>
    <w:tblPr>
      <w:tblStyleRowBandSize w:val="1"/>
      <w:tblBorders>
        <w:insideV w:val="single" w:sz="4" w:space="0" w:color="FFFFFF"/>
      </w:tblBorders>
      <w:tblCellMar>
        <w:top w:w="113" w:type="dxa"/>
        <w:bottom w:w="113" w:type="dxa"/>
      </w:tblCellMar>
    </w:tblPr>
    <w:tcPr>
      <w:shd w:val="clear" w:color="auto" w:fill="E9E9E6"/>
      <w:vAlign w:val="center"/>
    </w:tcPr>
    <w:tblStylePr w:type="firstRow">
      <w:pPr>
        <w:jc w:val="left"/>
      </w:pPr>
      <w:rPr>
        <w:rFonts w:ascii="Arial" w:hAnsi="Arial"/>
        <w:b w:val="0"/>
        <w:bCs/>
        <w:color w:val="FFFFFF"/>
        <w:sz w:val="21"/>
      </w:rPr>
      <w:tblPr/>
      <w:tcPr>
        <w:shd w:val="clear" w:color="auto" w:fill="00AEEF"/>
      </w:tcPr>
    </w:tblStylePr>
    <w:tblStylePr w:type="lastRow">
      <w:rPr>
        <w:b/>
        <w:bCs/>
        <w:color w:val="00AEEF"/>
      </w:rPr>
      <w:tblPr/>
      <w:tcPr>
        <w:tcBorders>
          <w:top w:val="single" w:sz="12" w:space="0" w:color="000000"/>
        </w:tcBorders>
        <w:shd w:val="clear" w:color="auto" w:fill="FFFFFF"/>
      </w:tcPr>
    </w:tblStylePr>
    <w:tblStylePr w:type="firstCol">
      <w:rPr>
        <w:b/>
        <w:bCs/>
      </w:rPr>
    </w:tblStylePr>
    <w:tblStylePr w:type="lastCol">
      <w:rPr>
        <w:b/>
        <w:bCs/>
      </w:rPr>
    </w:tblStylePr>
    <w:tblStylePr w:type="band1Horz">
      <w:tblPr/>
      <w:tcPr>
        <w:shd w:val="clear" w:color="auto" w:fill="FFFFFF"/>
      </w:tcPr>
    </w:tblStylePr>
  </w:style>
  <w:style w:type="table" w:styleId="ColorfulList-Accent6">
    <w:name w:val="Colorful List Accent 6"/>
    <w:basedOn w:val="TableNormal"/>
    <w:uiPriority w:val="72"/>
    <w:rsid w:val="001E7690"/>
    <w:rPr>
      <w:color w:val="000000"/>
    </w:rPr>
    <w:tblPr>
      <w:tblStyleRowBandSize w:val="1"/>
      <w:tblStyleColBandSize w:val="1"/>
    </w:tblPr>
    <w:tcPr>
      <w:shd w:val="clear" w:color="auto" w:fill="DDFFFC"/>
    </w:tcPr>
    <w:tblStylePr w:type="firstRow">
      <w:rPr>
        <w:b/>
        <w:bCs/>
        <w:color w:val="FFFFFF"/>
      </w:rPr>
      <w:tblPr/>
      <w:tcPr>
        <w:tcBorders>
          <w:bottom w:val="single" w:sz="12" w:space="0" w:color="FFFFFF"/>
        </w:tcBorders>
        <w:shd w:val="clear" w:color="auto" w:fill="D2510B"/>
      </w:tcPr>
    </w:tblStylePr>
    <w:tblStylePr w:type="lastRow">
      <w:rPr>
        <w:b/>
        <w:bCs/>
        <w:color w:val="D251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cPr>
    </w:tblStylePr>
    <w:tblStylePr w:type="band1Horz">
      <w:tblPr/>
      <w:tcPr>
        <w:shd w:val="clear" w:color="auto" w:fill="BAFFF9"/>
      </w:tcPr>
    </w:tblStylePr>
  </w:style>
  <w:style w:type="table" w:customStyle="1" w:styleId="ACTGovblue">
    <w:name w:val="ACT Gov blue"/>
    <w:basedOn w:val="TableNormal"/>
    <w:uiPriority w:val="99"/>
    <w:qFormat/>
    <w:rsid w:val="001E7690"/>
    <w:tblPr/>
  </w:style>
  <w:style w:type="paragraph" w:customStyle="1" w:styleId="Introreverse">
    <w:name w:val="Intro reverse"/>
    <w:basedOn w:val="Intro"/>
    <w:qFormat/>
    <w:rsid w:val="0058377A"/>
    <w:rPr>
      <w:b/>
      <w:noProof/>
      <w:color w:val="FFFFFF"/>
      <w:sz w:val="28"/>
      <w:szCs w:val="28"/>
    </w:rPr>
  </w:style>
  <w:style w:type="paragraph" w:customStyle="1" w:styleId="Heading1reverse">
    <w:name w:val="Heading 1 reverse"/>
    <w:basedOn w:val="Heading1"/>
    <w:qFormat/>
    <w:rsid w:val="000B13CB"/>
    <w:pPr>
      <w:numPr>
        <w:numId w:val="0"/>
      </w:numPr>
      <w:contextualSpacing w:val="0"/>
    </w:pPr>
    <w:rPr>
      <w:color w:val="FFFFFF"/>
    </w:rPr>
  </w:style>
  <w:style w:type="paragraph" w:customStyle="1" w:styleId="Heading3reverse">
    <w:name w:val="Heading 3 reverse"/>
    <w:basedOn w:val="Heading3"/>
    <w:qFormat/>
    <w:rsid w:val="00A56436"/>
    <w:rPr>
      <w:color w:val="FFFFFF"/>
    </w:rPr>
  </w:style>
  <w:style w:type="paragraph" w:customStyle="1" w:styleId="bodytextreverse">
    <w:name w:val="body text reverse"/>
    <w:basedOn w:val="Normal"/>
    <w:qFormat/>
    <w:rsid w:val="004C1925"/>
    <w:pPr>
      <w:spacing w:line="270" w:lineRule="exact"/>
    </w:pPr>
    <w:rPr>
      <w:rFonts w:ascii="Arial" w:hAnsi="Arial"/>
      <w:noProof/>
      <w:color w:val="FFFFFF"/>
      <w:kern w:val="22"/>
      <w:sz w:val="22"/>
    </w:rPr>
  </w:style>
  <w:style w:type="paragraph" w:styleId="EnvelopeReturn">
    <w:name w:val="envelope return"/>
    <w:basedOn w:val="Normal"/>
    <w:uiPriority w:val="99"/>
    <w:unhideWhenUsed/>
    <w:rsid w:val="005E5305"/>
    <w:pPr>
      <w:spacing w:after="0"/>
    </w:pPr>
    <w:rPr>
      <w:rFonts w:ascii="Arial" w:eastAsia="Times New Roman" w:hAnsi="Arial"/>
      <w:sz w:val="20"/>
      <w:szCs w:val="20"/>
    </w:rPr>
  </w:style>
  <w:style w:type="paragraph" w:styleId="ListBullet">
    <w:name w:val="List Bullet"/>
    <w:basedOn w:val="Normal"/>
    <w:uiPriority w:val="99"/>
    <w:unhideWhenUsed/>
    <w:rsid w:val="0089332C"/>
    <w:pPr>
      <w:numPr>
        <w:numId w:val="6"/>
      </w:numPr>
      <w:contextualSpacing/>
    </w:pPr>
  </w:style>
  <w:style w:type="paragraph" w:styleId="Revision">
    <w:name w:val="Revision"/>
    <w:hidden/>
    <w:uiPriority w:val="99"/>
    <w:semiHidden/>
    <w:rsid w:val="00AD09B3"/>
    <w:rPr>
      <w:sz w:val="21"/>
      <w:szCs w:val="21"/>
    </w:rPr>
  </w:style>
  <w:style w:type="character" w:styleId="Emphasis">
    <w:name w:val="Emphasis"/>
    <w:basedOn w:val="DefaultParagraphFont"/>
    <w:uiPriority w:val="20"/>
    <w:qFormat/>
    <w:rsid w:val="001501D9"/>
    <w:rPr>
      <w:i/>
      <w:iCs/>
    </w:rPr>
  </w:style>
  <w:style w:type="character" w:styleId="IntenseEmphasis">
    <w:name w:val="Intense Emphasis"/>
    <w:basedOn w:val="DefaultParagraphFont"/>
    <w:uiPriority w:val="21"/>
    <w:qFormat/>
    <w:rsid w:val="0037744F"/>
    <w:rPr>
      <w:b/>
      <w:bCs/>
      <w:i/>
      <w:iCs/>
      <w:color w:val="323232"/>
    </w:rPr>
  </w:style>
  <w:style w:type="character" w:styleId="CommentReference">
    <w:name w:val="annotation reference"/>
    <w:basedOn w:val="DefaultParagraphFont"/>
    <w:uiPriority w:val="99"/>
    <w:semiHidden/>
    <w:unhideWhenUsed/>
    <w:rsid w:val="00A13087"/>
    <w:rPr>
      <w:sz w:val="16"/>
      <w:szCs w:val="16"/>
    </w:rPr>
  </w:style>
  <w:style w:type="paragraph" w:styleId="CommentText">
    <w:name w:val="annotation text"/>
    <w:basedOn w:val="Normal"/>
    <w:link w:val="CommentTextChar"/>
    <w:uiPriority w:val="99"/>
    <w:unhideWhenUsed/>
    <w:rsid w:val="00A13087"/>
    <w:pPr>
      <w:spacing w:line="276" w:lineRule="auto"/>
    </w:pPr>
    <w:rPr>
      <w:sz w:val="20"/>
      <w:szCs w:val="20"/>
      <w:lang w:eastAsia="en-US"/>
    </w:rPr>
  </w:style>
  <w:style w:type="character" w:customStyle="1" w:styleId="CommentTextChar">
    <w:name w:val="Comment Text Char"/>
    <w:basedOn w:val="DefaultParagraphFont"/>
    <w:link w:val="CommentText"/>
    <w:uiPriority w:val="99"/>
    <w:rsid w:val="00A13087"/>
    <w:rPr>
      <w:rFonts w:ascii="Calibri" w:eastAsia="Calibri" w:hAnsi="Calibri" w:cs="Times New Roman"/>
      <w:sz w:val="20"/>
      <w:szCs w:val="20"/>
    </w:rPr>
  </w:style>
  <w:style w:type="paragraph" w:styleId="Quote">
    <w:name w:val="Quote"/>
    <w:basedOn w:val="Normal"/>
    <w:next w:val="Normal"/>
    <w:link w:val="QuoteChar"/>
    <w:uiPriority w:val="29"/>
    <w:qFormat/>
    <w:rsid w:val="001173D8"/>
    <w:rPr>
      <w:i/>
      <w:iCs/>
      <w:color w:val="000000"/>
    </w:rPr>
  </w:style>
  <w:style w:type="character" w:customStyle="1" w:styleId="QuoteChar">
    <w:name w:val="Quote Char"/>
    <w:basedOn w:val="DefaultParagraphFont"/>
    <w:link w:val="Quote"/>
    <w:uiPriority w:val="29"/>
    <w:rsid w:val="001173D8"/>
    <w:rPr>
      <w:i/>
      <w:iCs/>
      <w:color w:val="000000"/>
      <w:sz w:val="21"/>
      <w:szCs w:val="21"/>
    </w:rPr>
  </w:style>
  <w:style w:type="paragraph" w:styleId="FootnoteText">
    <w:name w:val="footnote text"/>
    <w:basedOn w:val="Normal"/>
    <w:link w:val="FootnoteTextChar"/>
    <w:uiPriority w:val="99"/>
    <w:semiHidden/>
    <w:unhideWhenUsed/>
    <w:rsid w:val="0064083B"/>
    <w:pPr>
      <w:spacing w:after="0"/>
    </w:pPr>
    <w:rPr>
      <w:sz w:val="20"/>
      <w:szCs w:val="20"/>
    </w:rPr>
  </w:style>
  <w:style w:type="character" w:customStyle="1" w:styleId="FootnoteTextChar">
    <w:name w:val="Footnote Text Char"/>
    <w:basedOn w:val="DefaultParagraphFont"/>
    <w:link w:val="FootnoteText"/>
    <w:uiPriority w:val="99"/>
    <w:semiHidden/>
    <w:rsid w:val="0064083B"/>
  </w:style>
  <w:style w:type="character" w:styleId="FootnoteReference">
    <w:name w:val="footnote reference"/>
    <w:basedOn w:val="DefaultParagraphFont"/>
    <w:uiPriority w:val="99"/>
    <w:semiHidden/>
    <w:unhideWhenUsed/>
    <w:rsid w:val="0064083B"/>
    <w:rPr>
      <w:vertAlign w:val="superscript"/>
    </w:rPr>
  </w:style>
  <w:style w:type="table" w:customStyle="1" w:styleId="GridTable4-Accent11">
    <w:name w:val="Grid Table 4 - Accent 11"/>
    <w:basedOn w:val="TableNormal"/>
    <w:uiPriority w:val="49"/>
    <w:rsid w:val="006D3E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B61D1"/>
    <w:pPr>
      <w:spacing w:before="100" w:beforeAutospacing="1" w:after="100" w:afterAutospacing="1"/>
    </w:pPr>
    <w:rPr>
      <w:rFonts w:ascii="Times New Roman" w:eastAsia="Times New Roman" w:hAnsi="Times New Roman"/>
      <w:szCs w:val="24"/>
    </w:rPr>
  </w:style>
  <w:style w:type="paragraph" w:customStyle="1" w:styleId="Default">
    <w:name w:val="Default"/>
    <w:rsid w:val="00CE5EDA"/>
    <w:pPr>
      <w:autoSpaceDE w:val="0"/>
      <w:autoSpaceDN w:val="0"/>
      <w:adjustRightInd w:val="0"/>
    </w:pPr>
    <w:rPr>
      <w:rFonts w:ascii="Segoe UI" w:hAnsi="Segoe UI" w:cs="Segoe UI"/>
      <w:color w:val="000000"/>
      <w:sz w:val="24"/>
      <w:szCs w:val="24"/>
    </w:rPr>
  </w:style>
  <w:style w:type="character" w:customStyle="1" w:styleId="Calibri12">
    <w:name w:val="Calibri 12"/>
    <w:basedOn w:val="DefaultParagraphFont"/>
    <w:uiPriority w:val="1"/>
    <w:qFormat/>
    <w:rsid w:val="009C7FFA"/>
    <w:rPr>
      <w:rFonts w:ascii="Calibri" w:hAnsi="Calibri"/>
      <w:sz w:val="24"/>
    </w:rPr>
  </w:style>
  <w:style w:type="character" w:customStyle="1" w:styleId="NotesChar">
    <w:name w:val="Notes Char"/>
    <w:link w:val="Notes"/>
    <w:locked/>
    <w:rsid w:val="00302F49"/>
    <w:rPr>
      <w:rFonts w:ascii="Times New Roman" w:eastAsia="Times New Roman" w:hAnsi="Times New Roman"/>
      <w:lang w:val="x-none" w:eastAsia="en-US"/>
    </w:rPr>
  </w:style>
  <w:style w:type="paragraph" w:customStyle="1" w:styleId="Notes">
    <w:name w:val="Notes"/>
    <w:basedOn w:val="Normal"/>
    <w:link w:val="NotesChar"/>
    <w:qFormat/>
    <w:rsid w:val="00302F49"/>
    <w:pPr>
      <w:spacing w:after="0"/>
    </w:pPr>
    <w:rPr>
      <w:rFonts w:ascii="Times New Roman" w:eastAsia="Times New Roman" w:hAnsi="Times New Roman"/>
      <w:sz w:val="20"/>
      <w:szCs w:val="20"/>
      <w:lang w:val="x-none" w:eastAsia="en-US"/>
    </w:rPr>
  </w:style>
  <w:style w:type="character" w:customStyle="1" w:styleId="NoteLabel">
    <w:name w:val="Note Label"/>
    <w:uiPriority w:val="15"/>
    <w:rsid w:val="009953A8"/>
    <w:rPr>
      <w:rFonts w:ascii="Franklin Gothic Demi" w:hAnsi="Franklin Gothic Demi" w:hint="default"/>
      <w:b w:val="0"/>
      <w:bCs w:val="0"/>
      <w:i w:val="0"/>
      <w:iCs w:val="0"/>
      <w:color w:val="9B917E"/>
      <w:position w:val="4"/>
      <w:sz w:val="14"/>
      <w:szCs w:val="16"/>
    </w:rPr>
  </w:style>
  <w:style w:type="character" w:customStyle="1" w:styleId="NoteCharChar">
    <w:name w:val="Note Char Char"/>
    <w:uiPriority w:val="15"/>
    <w:locked/>
    <w:rsid w:val="009953A8"/>
    <w:rPr>
      <w:rFonts w:ascii="Franklin Gothic Book" w:eastAsia="Times New Roman" w:hAnsi="Franklin Gothic Book"/>
      <w:sz w:val="14"/>
      <w:szCs w:val="16"/>
      <w:lang w:eastAsia="en-US"/>
    </w:rPr>
  </w:style>
  <w:style w:type="paragraph" w:customStyle="1" w:styleId="Source">
    <w:name w:val="Source"/>
    <w:basedOn w:val="Footnotes"/>
    <w:next w:val="BodyText"/>
    <w:link w:val="SourceChar"/>
    <w:uiPriority w:val="16"/>
    <w:rsid w:val="009953A8"/>
    <w:pPr>
      <w:keepNext w:val="0"/>
      <w:keepLines/>
      <w:spacing w:before="40" w:after="60" w:line="180" w:lineRule="atLeast"/>
    </w:pPr>
    <w:rPr>
      <w:rFonts w:ascii="Franklin Gothic Book" w:hAnsi="Franklin Gothic Book"/>
      <w:sz w:val="14"/>
      <w:lang w:eastAsia="en-US"/>
    </w:rPr>
  </w:style>
  <w:style w:type="character" w:customStyle="1" w:styleId="SourceChar">
    <w:name w:val="Source Char"/>
    <w:link w:val="Source"/>
    <w:uiPriority w:val="16"/>
    <w:locked/>
    <w:rsid w:val="009953A8"/>
    <w:rPr>
      <w:rFonts w:ascii="Franklin Gothic Book" w:eastAsia="Times New Roman" w:hAnsi="Franklin Gothic Book"/>
      <w:sz w:val="14"/>
      <w:szCs w:val="16"/>
      <w:lang w:eastAsia="en-US"/>
    </w:rPr>
  </w:style>
  <w:style w:type="paragraph" w:customStyle="1" w:styleId="TableDataEntries">
    <w:name w:val="Table Data Entries"/>
    <w:basedOn w:val="Normal"/>
    <w:rsid w:val="009953A8"/>
    <w:pPr>
      <w:keepLines/>
      <w:spacing w:before="40" w:after="40" w:line="200" w:lineRule="atLeast"/>
      <w:jc w:val="right"/>
    </w:pPr>
    <w:rPr>
      <w:rFonts w:ascii="Franklin Gothic Book" w:eastAsia="Times New Roman" w:hAnsi="Franklin Gothic Book"/>
      <w:sz w:val="16"/>
      <w:szCs w:val="18"/>
      <w:lang w:eastAsia="en-US"/>
    </w:rPr>
  </w:style>
  <w:style w:type="paragraph" w:customStyle="1" w:styleId="TableDataColumnHeading">
    <w:name w:val="Table Data Column Heading"/>
    <w:basedOn w:val="TableDataEntries"/>
    <w:uiPriority w:val="11"/>
    <w:rsid w:val="009953A8"/>
    <w:pPr>
      <w:keepNext/>
      <w:spacing w:before="80" w:after="80"/>
    </w:pPr>
    <w:rPr>
      <w:rFonts w:ascii="Franklin Gothic Demi" w:hAnsi="Franklin Gothic Demi"/>
      <w:color w:val="FFFFFF"/>
    </w:rPr>
  </w:style>
  <w:style w:type="paragraph" w:customStyle="1" w:styleId="TableHeading1">
    <w:name w:val="Table Heading 1"/>
    <w:basedOn w:val="Normal"/>
    <w:next w:val="Normal"/>
    <w:uiPriority w:val="10"/>
    <w:rsid w:val="009953A8"/>
    <w:pPr>
      <w:keepLines/>
      <w:spacing w:before="140" w:after="80" w:line="200" w:lineRule="atLeast"/>
    </w:pPr>
    <w:rPr>
      <w:rFonts w:ascii="Franklin Gothic Demi" w:eastAsia="Times New Roman" w:hAnsi="Franklin Gothic Demi"/>
      <w:color w:val="6F6652"/>
      <w:sz w:val="16"/>
      <w:szCs w:val="18"/>
      <w:lang w:eastAsia="en-US"/>
    </w:rPr>
  </w:style>
  <w:style w:type="paragraph" w:customStyle="1" w:styleId="TableUnit">
    <w:name w:val="Table Unit"/>
    <w:basedOn w:val="TableDataColumnHeading"/>
    <w:next w:val="TableDataEntries"/>
    <w:uiPriority w:val="11"/>
    <w:rsid w:val="009953A8"/>
    <w:rPr>
      <w:rFonts w:ascii="Franklin Gothic Book" w:hAnsi="Franklin Gothic Book"/>
      <w:color w:val="auto"/>
      <w:szCs w:val="17"/>
    </w:rPr>
  </w:style>
  <w:style w:type="paragraph" w:styleId="CommentSubject">
    <w:name w:val="annotation subject"/>
    <w:basedOn w:val="CommentText"/>
    <w:next w:val="CommentText"/>
    <w:link w:val="CommentSubjectChar"/>
    <w:uiPriority w:val="99"/>
    <w:semiHidden/>
    <w:unhideWhenUsed/>
    <w:rsid w:val="00A209FA"/>
    <w:pPr>
      <w:spacing w:line="240" w:lineRule="auto"/>
    </w:pPr>
    <w:rPr>
      <w:b/>
      <w:bCs/>
      <w:lang w:eastAsia="en-AU"/>
    </w:rPr>
  </w:style>
  <w:style w:type="character" w:customStyle="1" w:styleId="CommentSubjectChar">
    <w:name w:val="Comment Subject Char"/>
    <w:basedOn w:val="CommentTextChar"/>
    <w:link w:val="CommentSubject"/>
    <w:uiPriority w:val="99"/>
    <w:semiHidden/>
    <w:rsid w:val="00A209F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07B5B"/>
    <w:rPr>
      <w:color w:val="800080" w:themeColor="followedHyperlink"/>
      <w:u w:val="single"/>
    </w:rPr>
  </w:style>
  <w:style w:type="character" w:styleId="SubtleEmphasis">
    <w:name w:val="Subtle Emphasis"/>
    <w:basedOn w:val="DefaultParagraphFont"/>
    <w:uiPriority w:val="19"/>
    <w:qFormat/>
    <w:rsid w:val="00A638B8"/>
    <w:rPr>
      <w:i/>
      <w:iCs/>
      <w:color w:val="404040" w:themeColor="text1" w:themeTint="BF"/>
    </w:rPr>
  </w:style>
  <w:style w:type="paragraph" w:customStyle="1" w:styleId="subsection">
    <w:name w:val="subsection"/>
    <w:basedOn w:val="Normal"/>
    <w:rsid w:val="008D6264"/>
    <w:pPr>
      <w:spacing w:before="100" w:beforeAutospacing="1" w:after="100" w:afterAutospacing="1"/>
    </w:pPr>
    <w:rPr>
      <w:rFonts w:ascii="Times New Roman" w:eastAsiaTheme="minorHAnsi" w:hAnsi="Times New Roman"/>
      <w:szCs w:val="24"/>
    </w:rPr>
  </w:style>
  <w:style w:type="paragraph" w:customStyle="1" w:styleId="paragraph">
    <w:name w:val="paragraph"/>
    <w:basedOn w:val="Normal"/>
    <w:rsid w:val="008D6264"/>
    <w:pPr>
      <w:spacing w:before="100" w:beforeAutospacing="1" w:after="100" w:afterAutospacing="1"/>
    </w:pPr>
    <w:rPr>
      <w:rFonts w:ascii="Times New Roman" w:eastAsiaTheme="minorHAnsi" w:hAnsi="Times New Roman"/>
      <w:szCs w:val="24"/>
    </w:rPr>
  </w:style>
  <w:style w:type="paragraph" w:customStyle="1" w:styleId="paragraphsub">
    <w:name w:val="paragraphsub"/>
    <w:basedOn w:val="Normal"/>
    <w:rsid w:val="008D6264"/>
    <w:pPr>
      <w:spacing w:before="100" w:beforeAutospacing="1" w:after="100" w:afterAutospacing="1"/>
    </w:pPr>
    <w:rPr>
      <w:rFonts w:ascii="Times New Roman" w:eastAsiaTheme="minorHAnsi" w:hAnsi="Times New Roman"/>
      <w:szCs w:val="24"/>
    </w:rPr>
  </w:style>
  <w:style w:type="paragraph" w:styleId="ListNumber">
    <w:name w:val="List Number"/>
    <w:basedOn w:val="Normal"/>
    <w:uiPriority w:val="99"/>
    <w:unhideWhenUsed/>
    <w:rsid w:val="00AF4128"/>
    <w:pPr>
      <w:numPr>
        <w:numId w:val="9"/>
      </w:numPr>
      <w:contextualSpacing/>
    </w:pPr>
  </w:style>
  <w:style w:type="paragraph" w:styleId="ListNumber2">
    <w:name w:val="List Number 2"/>
    <w:basedOn w:val="Normal"/>
    <w:uiPriority w:val="99"/>
    <w:semiHidden/>
    <w:unhideWhenUsed/>
    <w:rsid w:val="00D412D8"/>
    <w:pPr>
      <w:numPr>
        <w:numId w:val="8"/>
      </w:numPr>
      <w:contextualSpacing/>
    </w:pPr>
  </w:style>
  <w:style w:type="character" w:customStyle="1" w:styleId="source0">
    <w:name w:val="source"/>
    <w:basedOn w:val="DefaultParagraphFont"/>
    <w:rsid w:val="00111CE9"/>
  </w:style>
  <w:style w:type="paragraph" w:customStyle="1" w:styleId="first">
    <w:name w:val="first"/>
    <w:basedOn w:val="Normal"/>
    <w:rsid w:val="00111CE9"/>
    <w:pPr>
      <w:spacing w:before="100" w:beforeAutospacing="1" w:after="100" w:afterAutospacing="1"/>
    </w:pPr>
    <w:rPr>
      <w:rFonts w:ascii="Times New Roman" w:eastAsia="Times New Roman" w:hAnsi="Times New Roman"/>
      <w:szCs w:val="24"/>
    </w:rPr>
  </w:style>
  <w:style w:type="paragraph" w:styleId="EndnoteText">
    <w:name w:val="endnote text"/>
    <w:basedOn w:val="Normal"/>
    <w:link w:val="EndnoteTextChar"/>
    <w:uiPriority w:val="99"/>
    <w:semiHidden/>
    <w:unhideWhenUsed/>
    <w:rsid w:val="007C62CF"/>
    <w:pPr>
      <w:spacing w:before="0" w:after="0"/>
    </w:pPr>
    <w:rPr>
      <w:sz w:val="20"/>
      <w:szCs w:val="20"/>
    </w:rPr>
  </w:style>
  <w:style w:type="character" w:customStyle="1" w:styleId="EndnoteTextChar">
    <w:name w:val="Endnote Text Char"/>
    <w:basedOn w:val="DefaultParagraphFont"/>
    <w:link w:val="EndnoteText"/>
    <w:uiPriority w:val="99"/>
    <w:semiHidden/>
    <w:rsid w:val="007C62CF"/>
  </w:style>
  <w:style w:type="character" w:styleId="EndnoteReference">
    <w:name w:val="endnote reference"/>
    <w:basedOn w:val="DefaultParagraphFont"/>
    <w:uiPriority w:val="99"/>
    <w:semiHidden/>
    <w:unhideWhenUsed/>
    <w:rsid w:val="007C6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267">
      <w:bodyDiv w:val="1"/>
      <w:marLeft w:val="0"/>
      <w:marRight w:val="0"/>
      <w:marTop w:val="0"/>
      <w:marBottom w:val="0"/>
      <w:divBdr>
        <w:top w:val="none" w:sz="0" w:space="0" w:color="auto"/>
        <w:left w:val="none" w:sz="0" w:space="0" w:color="auto"/>
        <w:bottom w:val="none" w:sz="0" w:space="0" w:color="auto"/>
        <w:right w:val="none" w:sz="0" w:space="0" w:color="auto"/>
      </w:divBdr>
    </w:div>
    <w:div w:id="83772040">
      <w:bodyDiv w:val="1"/>
      <w:marLeft w:val="0"/>
      <w:marRight w:val="0"/>
      <w:marTop w:val="0"/>
      <w:marBottom w:val="0"/>
      <w:divBdr>
        <w:top w:val="none" w:sz="0" w:space="0" w:color="auto"/>
        <w:left w:val="none" w:sz="0" w:space="0" w:color="auto"/>
        <w:bottom w:val="none" w:sz="0" w:space="0" w:color="auto"/>
        <w:right w:val="none" w:sz="0" w:space="0" w:color="auto"/>
      </w:divBdr>
    </w:div>
    <w:div w:id="149446426">
      <w:bodyDiv w:val="1"/>
      <w:marLeft w:val="0"/>
      <w:marRight w:val="0"/>
      <w:marTop w:val="0"/>
      <w:marBottom w:val="0"/>
      <w:divBdr>
        <w:top w:val="none" w:sz="0" w:space="0" w:color="auto"/>
        <w:left w:val="none" w:sz="0" w:space="0" w:color="auto"/>
        <w:bottom w:val="none" w:sz="0" w:space="0" w:color="auto"/>
        <w:right w:val="none" w:sz="0" w:space="0" w:color="auto"/>
      </w:divBdr>
    </w:div>
    <w:div w:id="211574907">
      <w:bodyDiv w:val="1"/>
      <w:marLeft w:val="0"/>
      <w:marRight w:val="0"/>
      <w:marTop w:val="0"/>
      <w:marBottom w:val="0"/>
      <w:divBdr>
        <w:top w:val="none" w:sz="0" w:space="0" w:color="auto"/>
        <w:left w:val="none" w:sz="0" w:space="0" w:color="auto"/>
        <w:bottom w:val="none" w:sz="0" w:space="0" w:color="auto"/>
        <w:right w:val="none" w:sz="0" w:space="0" w:color="auto"/>
      </w:divBdr>
    </w:div>
    <w:div w:id="305398921">
      <w:bodyDiv w:val="1"/>
      <w:marLeft w:val="0"/>
      <w:marRight w:val="0"/>
      <w:marTop w:val="0"/>
      <w:marBottom w:val="0"/>
      <w:divBdr>
        <w:top w:val="none" w:sz="0" w:space="0" w:color="auto"/>
        <w:left w:val="none" w:sz="0" w:space="0" w:color="auto"/>
        <w:bottom w:val="none" w:sz="0" w:space="0" w:color="auto"/>
        <w:right w:val="none" w:sz="0" w:space="0" w:color="auto"/>
      </w:divBdr>
    </w:div>
    <w:div w:id="475800872">
      <w:bodyDiv w:val="1"/>
      <w:marLeft w:val="0"/>
      <w:marRight w:val="0"/>
      <w:marTop w:val="0"/>
      <w:marBottom w:val="0"/>
      <w:divBdr>
        <w:top w:val="none" w:sz="0" w:space="0" w:color="auto"/>
        <w:left w:val="none" w:sz="0" w:space="0" w:color="auto"/>
        <w:bottom w:val="none" w:sz="0" w:space="0" w:color="auto"/>
        <w:right w:val="none" w:sz="0" w:space="0" w:color="auto"/>
      </w:divBdr>
    </w:div>
    <w:div w:id="486286060">
      <w:bodyDiv w:val="1"/>
      <w:marLeft w:val="0"/>
      <w:marRight w:val="0"/>
      <w:marTop w:val="0"/>
      <w:marBottom w:val="0"/>
      <w:divBdr>
        <w:top w:val="none" w:sz="0" w:space="0" w:color="auto"/>
        <w:left w:val="none" w:sz="0" w:space="0" w:color="auto"/>
        <w:bottom w:val="none" w:sz="0" w:space="0" w:color="auto"/>
        <w:right w:val="none" w:sz="0" w:space="0" w:color="auto"/>
      </w:divBdr>
    </w:div>
    <w:div w:id="506672148">
      <w:bodyDiv w:val="1"/>
      <w:marLeft w:val="0"/>
      <w:marRight w:val="0"/>
      <w:marTop w:val="0"/>
      <w:marBottom w:val="0"/>
      <w:divBdr>
        <w:top w:val="none" w:sz="0" w:space="0" w:color="auto"/>
        <w:left w:val="none" w:sz="0" w:space="0" w:color="auto"/>
        <w:bottom w:val="none" w:sz="0" w:space="0" w:color="auto"/>
        <w:right w:val="none" w:sz="0" w:space="0" w:color="auto"/>
      </w:divBdr>
    </w:div>
    <w:div w:id="632097105">
      <w:bodyDiv w:val="1"/>
      <w:marLeft w:val="0"/>
      <w:marRight w:val="0"/>
      <w:marTop w:val="0"/>
      <w:marBottom w:val="0"/>
      <w:divBdr>
        <w:top w:val="none" w:sz="0" w:space="0" w:color="auto"/>
        <w:left w:val="none" w:sz="0" w:space="0" w:color="auto"/>
        <w:bottom w:val="none" w:sz="0" w:space="0" w:color="auto"/>
        <w:right w:val="none" w:sz="0" w:space="0" w:color="auto"/>
      </w:divBdr>
    </w:div>
    <w:div w:id="656348361">
      <w:bodyDiv w:val="1"/>
      <w:marLeft w:val="0"/>
      <w:marRight w:val="0"/>
      <w:marTop w:val="0"/>
      <w:marBottom w:val="0"/>
      <w:divBdr>
        <w:top w:val="none" w:sz="0" w:space="0" w:color="auto"/>
        <w:left w:val="none" w:sz="0" w:space="0" w:color="auto"/>
        <w:bottom w:val="none" w:sz="0" w:space="0" w:color="auto"/>
        <w:right w:val="none" w:sz="0" w:space="0" w:color="auto"/>
      </w:divBdr>
    </w:div>
    <w:div w:id="734820358">
      <w:bodyDiv w:val="1"/>
      <w:marLeft w:val="0"/>
      <w:marRight w:val="0"/>
      <w:marTop w:val="0"/>
      <w:marBottom w:val="0"/>
      <w:divBdr>
        <w:top w:val="none" w:sz="0" w:space="0" w:color="auto"/>
        <w:left w:val="none" w:sz="0" w:space="0" w:color="auto"/>
        <w:bottom w:val="none" w:sz="0" w:space="0" w:color="auto"/>
        <w:right w:val="none" w:sz="0" w:space="0" w:color="auto"/>
      </w:divBdr>
      <w:divsChild>
        <w:div w:id="1577205465">
          <w:marLeft w:val="0"/>
          <w:marRight w:val="0"/>
          <w:marTop w:val="0"/>
          <w:marBottom w:val="0"/>
          <w:divBdr>
            <w:top w:val="none" w:sz="0" w:space="0" w:color="auto"/>
            <w:left w:val="none" w:sz="0" w:space="0" w:color="auto"/>
            <w:bottom w:val="none" w:sz="0" w:space="0" w:color="auto"/>
            <w:right w:val="none" w:sz="0" w:space="0" w:color="auto"/>
          </w:divBdr>
          <w:divsChild>
            <w:div w:id="237643371">
              <w:marLeft w:val="0"/>
              <w:marRight w:val="0"/>
              <w:marTop w:val="0"/>
              <w:marBottom w:val="0"/>
              <w:divBdr>
                <w:top w:val="none" w:sz="0" w:space="0" w:color="auto"/>
                <w:left w:val="none" w:sz="0" w:space="0" w:color="auto"/>
                <w:bottom w:val="none" w:sz="0" w:space="0" w:color="auto"/>
                <w:right w:val="none" w:sz="0" w:space="0" w:color="auto"/>
              </w:divBdr>
              <w:divsChild>
                <w:div w:id="825129576">
                  <w:marLeft w:val="0"/>
                  <w:marRight w:val="0"/>
                  <w:marTop w:val="0"/>
                  <w:marBottom w:val="0"/>
                  <w:divBdr>
                    <w:top w:val="none" w:sz="0" w:space="0" w:color="auto"/>
                    <w:left w:val="none" w:sz="0" w:space="0" w:color="auto"/>
                    <w:bottom w:val="none" w:sz="0" w:space="0" w:color="auto"/>
                    <w:right w:val="none" w:sz="0" w:space="0" w:color="auto"/>
                  </w:divBdr>
                  <w:divsChild>
                    <w:div w:id="701827421">
                      <w:marLeft w:val="0"/>
                      <w:marRight w:val="0"/>
                      <w:marTop w:val="0"/>
                      <w:marBottom w:val="0"/>
                      <w:divBdr>
                        <w:top w:val="none" w:sz="0" w:space="0" w:color="auto"/>
                        <w:left w:val="none" w:sz="0" w:space="0" w:color="auto"/>
                        <w:bottom w:val="none" w:sz="0" w:space="0" w:color="auto"/>
                        <w:right w:val="none" w:sz="0" w:space="0" w:color="auto"/>
                      </w:divBdr>
                      <w:divsChild>
                        <w:div w:id="1601570027">
                          <w:marLeft w:val="0"/>
                          <w:marRight w:val="0"/>
                          <w:marTop w:val="0"/>
                          <w:marBottom w:val="0"/>
                          <w:divBdr>
                            <w:top w:val="none" w:sz="0" w:space="0" w:color="auto"/>
                            <w:left w:val="none" w:sz="0" w:space="0" w:color="auto"/>
                            <w:bottom w:val="none" w:sz="0" w:space="0" w:color="auto"/>
                            <w:right w:val="none" w:sz="0" w:space="0" w:color="auto"/>
                          </w:divBdr>
                          <w:divsChild>
                            <w:div w:id="1329792106">
                              <w:marLeft w:val="0"/>
                              <w:marRight w:val="0"/>
                              <w:marTop w:val="0"/>
                              <w:marBottom w:val="0"/>
                              <w:divBdr>
                                <w:top w:val="none" w:sz="0" w:space="0" w:color="auto"/>
                                <w:left w:val="none" w:sz="0" w:space="0" w:color="auto"/>
                                <w:bottom w:val="none" w:sz="0" w:space="0" w:color="auto"/>
                                <w:right w:val="none" w:sz="0" w:space="0" w:color="auto"/>
                              </w:divBdr>
                              <w:divsChild>
                                <w:div w:id="4309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88130">
      <w:bodyDiv w:val="1"/>
      <w:marLeft w:val="0"/>
      <w:marRight w:val="0"/>
      <w:marTop w:val="0"/>
      <w:marBottom w:val="0"/>
      <w:divBdr>
        <w:top w:val="none" w:sz="0" w:space="0" w:color="auto"/>
        <w:left w:val="none" w:sz="0" w:space="0" w:color="auto"/>
        <w:bottom w:val="none" w:sz="0" w:space="0" w:color="auto"/>
        <w:right w:val="none" w:sz="0" w:space="0" w:color="auto"/>
      </w:divBdr>
    </w:div>
    <w:div w:id="803425791">
      <w:bodyDiv w:val="1"/>
      <w:marLeft w:val="0"/>
      <w:marRight w:val="0"/>
      <w:marTop w:val="0"/>
      <w:marBottom w:val="0"/>
      <w:divBdr>
        <w:top w:val="none" w:sz="0" w:space="0" w:color="auto"/>
        <w:left w:val="none" w:sz="0" w:space="0" w:color="auto"/>
        <w:bottom w:val="none" w:sz="0" w:space="0" w:color="auto"/>
        <w:right w:val="none" w:sz="0" w:space="0" w:color="auto"/>
      </w:divBdr>
    </w:div>
    <w:div w:id="803428690">
      <w:bodyDiv w:val="1"/>
      <w:marLeft w:val="0"/>
      <w:marRight w:val="0"/>
      <w:marTop w:val="0"/>
      <w:marBottom w:val="0"/>
      <w:divBdr>
        <w:top w:val="none" w:sz="0" w:space="0" w:color="auto"/>
        <w:left w:val="none" w:sz="0" w:space="0" w:color="auto"/>
        <w:bottom w:val="none" w:sz="0" w:space="0" w:color="auto"/>
        <w:right w:val="none" w:sz="0" w:space="0" w:color="auto"/>
      </w:divBdr>
    </w:div>
    <w:div w:id="809714048">
      <w:bodyDiv w:val="1"/>
      <w:marLeft w:val="0"/>
      <w:marRight w:val="0"/>
      <w:marTop w:val="0"/>
      <w:marBottom w:val="0"/>
      <w:divBdr>
        <w:top w:val="none" w:sz="0" w:space="0" w:color="auto"/>
        <w:left w:val="none" w:sz="0" w:space="0" w:color="auto"/>
        <w:bottom w:val="none" w:sz="0" w:space="0" w:color="auto"/>
        <w:right w:val="none" w:sz="0" w:space="0" w:color="auto"/>
      </w:divBdr>
      <w:divsChild>
        <w:div w:id="462429037">
          <w:marLeft w:val="0"/>
          <w:marRight w:val="0"/>
          <w:marTop w:val="0"/>
          <w:marBottom w:val="0"/>
          <w:divBdr>
            <w:top w:val="none" w:sz="0" w:space="0" w:color="auto"/>
            <w:left w:val="none" w:sz="0" w:space="0" w:color="auto"/>
            <w:bottom w:val="none" w:sz="0" w:space="0" w:color="auto"/>
            <w:right w:val="none" w:sz="0" w:space="0" w:color="auto"/>
          </w:divBdr>
        </w:div>
      </w:divsChild>
    </w:div>
    <w:div w:id="833181592">
      <w:bodyDiv w:val="1"/>
      <w:marLeft w:val="0"/>
      <w:marRight w:val="0"/>
      <w:marTop w:val="0"/>
      <w:marBottom w:val="0"/>
      <w:divBdr>
        <w:top w:val="none" w:sz="0" w:space="0" w:color="auto"/>
        <w:left w:val="none" w:sz="0" w:space="0" w:color="auto"/>
        <w:bottom w:val="none" w:sz="0" w:space="0" w:color="auto"/>
        <w:right w:val="none" w:sz="0" w:space="0" w:color="auto"/>
      </w:divBdr>
    </w:div>
    <w:div w:id="846864757">
      <w:bodyDiv w:val="1"/>
      <w:marLeft w:val="0"/>
      <w:marRight w:val="0"/>
      <w:marTop w:val="0"/>
      <w:marBottom w:val="0"/>
      <w:divBdr>
        <w:top w:val="none" w:sz="0" w:space="0" w:color="auto"/>
        <w:left w:val="none" w:sz="0" w:space="0" w:color="auto"/>
        <w:bottom w:val="none" w:sz="0" w:space="0" w:color="auto"/>
        <w:right w:val="none" w:sz="0" w:space="0" w:color="auto"/>
      </w:divBdr>
    </w:div>
    <w:div w:id="856692810">
      <w:bodyDiv w:val="1"/>
      <w:marLeft w:val="0"/>
      <w:marRight w:val="0"/>
      <w:marTop w:val="0"/>
      <w:marBottom w:val="0"/>
      <w:divBdr>
        <w:top w:val="none" w:sz="0" w:space="0" w:color="auto"/>
        <w:left w:val="none" w:sz="0" w:space="0" w:color="auto"/>
        <w:bottom w:val="none" w:sz="0" w:space="0" w:color="auto"/>
        <w:right w:val="none" w:sz="0" w:space="0" w:color="auto"/>
      </w:divBdr>
    </w:div>
    <w:div w:id="917439260">
      <w:bodyDiv w:val="1"/>
      <w:marLeft w:val="0"/>
      <w:marRight w:val="0"/>
      <w:marTop w:val="0"/>
      <w:marBottom w:val="0"/>
      <w:divBdr>
        <w:top w:val="none" w:sz="0" w:space="0" w:color="auto"/>
        <w:left w:val="none" w:sz="0" w:space="0" w:color="auto"/>
        <w:bottom w:val="none" w:sz="0" w:space="0" w:color="auto"/>
        <w:right w:val="none" w:sz="0" w:space="0" w:color="auto"/>
      </w:divBdr>
    </w:div>
    <w:div w:id="974220049">
      <w:bodyDiv w:val="1"/>
      <w:marLeft w:val="0"/>
      <w:marRight w:val="0"/>
      <w:marTop w:val="0"/>
      <w:marBottom w:val="0"/>
      <w:divBdr>
        <w:top w:val="none" w:sz="0" w:space="0" w:color="auto"/>
        <w:left w:val="none" w:sz="0" w:space="0" w:color="auto"/>
        <w:bottom w:val="none" w:sz="0" w:space="0" w:color="auto"/>
        <w:right w:val="none" w:sz="0" w:space="0" w:color="auto"/>
      </w:divBdr>
    </w:div>
    <w:div w:id="1036347020">
      <w:bodyDiv w:val="1"/>
      <w:marLeft w:val="0"/>
      <w:marRight w:val="0"/>
      <w:marTop w:val="0"/>
      <w:marBottom w:val="0"/>
      <w:divBdr>
        <w:top w:val="none" w:sz="0" w:space="0" w:color="auto"/>
        <w:left w:val="none" w:sz="0" w:space="0" w:color="auto"/>
        <w:bottom w:val="none" w:sz="0" w:space="0" w:color="auto"/>
        <w:right w:val="none" w:sz="0" w:space="0" w:color="auto"/>
      </w:divBdr>
    </w:div>
    <w:div w:id="1058282122">
      <w:bodyDiv w:val="1"/>
      <w:marLeft w:val="0"/>
      <w:marRight w:val="0"/>
      <w:marTop w:val="0"/>
      <w:marBottom w:val="0"/>
      <w:divBdr>
        <w:top w:val="none" w:sz="0" w:space="0" w:color="auto"/>
        <w:left w:val="none" w:sz="0" w:space="0" w:color="auto"/>
        <w:bottom w:val="none" w:sz="0" w:space="0" w:color="auto"/>
        <w:right w:val="none" w:sz="0" w:space="0" w:color="auto"/>
      </w:divBdr>
    </w:div>
    <w:div w:id="1120488311">
      <w:bodyDiv w:val="1"/>
      <w:marLeft w:val="0"/>
      <w:marRight w:val="0"/>
      <w:marTop w:val="0"/>
      <w:marBottom w:val="0"/>
      <w:divBdr>
        <w:top w:val="none" w:sz="0" w:space="0" w:color="auto"/>
        <w:left w:val="none" w:sz="0" w:space="0" w:color="auto"/>
        <w:bottom w:val="none" w:sz="0" w:space="0" w:color="auto"/>
        <w:right w:val="none" w:sz="0" w:space="0" w:color="auto"/>
      </w:divBdr>
    </w:div>
    <w:div w:id="1131287277">
      <w:bodyDiv w:val="1"/>
      <w:marLeft w:val="0"/>
      <w:marRight w:val="0"/>
      <w:marTop w:val="0"/>
      <w:marBottom w:val="0"/>
      <w:divBdr>
        <w:top w:val="none" w:sz="0" w:space="0" w:color="auto"/>
        <w:left w:val="none" w:sz="0" w:space="0" w:color="auto"/>
        <w:bottom w:val="none" w:sz="0" w:space="0" w:color="auto"/>
        <w:right w:val="none" w:sz="0" w:space="0" w:color="auto"/>
      </w:divBdr>
    </w:div>
    <w:div w:id="1145660846">
      <w:bodyDiv w:val="1"/>
      <w:marLeft w:val="0"/>
      <w:marRight w:val="0"/>
      <w:marTop w:val="0"/>
      <w:marBottom w:val="0"/>
      <w:divBdr>
        <w:top w:val="none" w:sz="0" w:space="0" w:color="auto"/>
        <w:left w:val="none" w:sz="0" w:space="0" w:color="auto"/>
        <w:bottom w:val="none" w:sz="0" w:space="0" w:color="auto"/>
        <w:right w:val="none" w:sz="0" w:space="0" w:color="auto"/>
      </w:divBdr>
    </w:div>
    <w:div w:id="1173492298">
      <w:bodyDiv w:val="1"/>
      <w:marLeft w:val="0"/>
      <w:marRight w:val="0"/>
      <w:marTop w:val="0"/>
      <w:marBottom w:val="0"/>
      <w:divBdr>
        <w:top w:val="none" w:sz="0" w:space="0" w:color="auto"/>
        <w:left w:val="none" w:sz="0" w:space="0" w:color="auto"/>
        <w:bottom w:val="none" w:sz="0" w:space="0" w:color="auto"/>
        <w:right w:val="none" w:sz="0" w:space="0" w:color="auto"/>
      </w:divBdr>
    </w:div>
    <w:div w:id="1184704682">
      <w:bodyDiv w:val="1"/>
      <w:marLeft w:val="0"/>
      <w:marRight w:val="0"/>
      <w:marTop w:val="0"/>
      <w:marBottom w:val="0"/>
      <w:divBdr>
        <w:top w:val="none" w:sz="0" w:space="0" w:color="auto"/>
        <w:left w:val="none" w:sz="0" w:space="0" w:color="auto"/>
        <w:bottom w:val="none" w:sz="0" w:space="0" w:color="auto"/>
        <w:right w:val="none" w:sz="0" w:space="0" w:color="auto"/>
      </w:divBdr>
    </w:div>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 w:id="1251352743">
      <w:bodyDiv w:val="1"/>
      <w:marLeft w:val="0"/>
      <w:marRight w:val="0"/>
      <w:marTop w:val="0"/>
      <w:marBottom w:val="0"/>
      <w:divBdr>
        <w:top w:val="none" w:sz="0" w:space="0" w:color="auto"/>
        <w:left w:val="none" w:sz="0" w:space="0" w:color="auto"/>
        <w:bottom w:val="none" w:sz="0" w:space="0" w:color="auto"/>
        <w:right w:val="none" w:sz="0" w:space="0" w:color="auto"/>
      </w:divBdr>
    </w:div>
    <w:div w:id="1267812758">
      <w:bodyDiv w:val="1"/>
      <w:marLeft w:val="0"/>
      <w:marRight w:val="0"/>
      <w:marTop w:val="0"/>
      <w:marBottom w:val="0"/>
      <w:divBdr>
        <w:top w:val="none" w:sz="0" w:space="0" w:color="auto"/>
        <w:left w:val="none" w:sz="0" w:space="0" w:color="auto"/>
        <w:bottom w:val="none" w:sz="0" w:space="0" w:color="auto"/>
        <w:right w:val="none" w:sz="0" w:space="0" w:color="auto"/>
      </w:divBdr>
    </w:div>
    <w:div w:id="1348562551">
      <w:bodyDiv w:val="1"/>
      <w:marLeft w:val="0"/>
      <w:marRight w:val="0"/>
      <w:marTop w:val="0"/>
      <w:marBottom w:val="0"/>
      <w:divBdr>
        <w:top w:val="none" w:sz="0" w:space="0" w:color="auto"/>
        <w:left w:val="none" w:sz="0" w:space="0" w:color="auto"/>
        <w:bottom w:val="none" w:sz="0" w:space="0" w:color="auto"/>
        <w:right w:val="none" w:sz="0" w:space="0" w:color="auto"/>
      </w:divBdr>
    </w:div>
    <w:div w:id="1374187784">
      <w:bodyDiv w:val="1"/>
      <w:marLeft w:val="0"/>
      <w:marRight w:val="0"/>
      <w:marTop w:val="0"/>
      <w:marBottom w:val="0"/>
      <w:divBdr>
        <w:top w:val="none" w:sz="0" w:space="0" w:color="auto"/>
        <w:left w:val="none" w:sz="0" w:space="0" w:color="auto"/>
        <w:bottom w:val="none" w:sz="0" w:space="0" w:color="auto"/>
        <w:right w:val="none" w:sz="0" w:space="0" w:color="auto"/>
      </w:divBdr>
      <w:divsChild>
        <w:div w:id="1481576671">
          <w:marLeft w:val="300"/>
          <w:marRight w:val="0"/>
          <w:marTop w:val="0"/>
          <w:marBottom w:val="300"/>
          <w:divBdr>
            <w:top w:val="none" w:sz="0" w:space="0" w:color="auto"/>
            <w:left w:val="none" w:sz="0" w:space="0" w:color="auto"/>
            <w:bottom w:val="dotted" w:sz="6" w:space="0" w:color="E0E0E0"/>
            <w:right w:val="none" w:sz="0" w:space="0" w:color="auto"/>
          </w:divBdr>
          <w:divsChild>
            <w:div w:id="1537813316">
              <w:marLeft w:val="0"/>
              <w:marRight w:val="0"/>
              <w:marTop w:val="0"/>
              <w:marBottom w:val="300"/>
              <w:divBdr>
                <w:top w:val="dotted" w:sz="6" w:space="6" w:color="E0E0E0"/>
                <w:left w:val="none" w:sz="0" w:space="0" w:color="auto"/>
                <w:bottom w:val="none" w:sz="0" w:space="0" w:color="auto"/>
                <w:right w:val="none" w:sz="0" w:space="0" w:color="auto"/>
              </w:divBdr>
            </w:div>
            <w:div w:id="1645624720">
              <w:marLeft w:val="0"/>
              <w:marRight w:val="0"/>
              <w:marTop w:val="0"/>
              <w:marBottom w:val="300"/>
              <w:divBdr>
                <w:top w:val="dotted" w:sz="6" w:space="6" w:color="E0E0E0"/>
                <w:left w:val="none" w:sz="0" w:space="0" w:color="auto"/>
                <w:bottom w:val="none" w:sz="0" w:space="0" w:color="auto"/>
                <w:right w:val="none" w:sz="0" w:space="0" w:color="auto"/>
              </w:divBdr>
            </w:div>
          </w:divsChild>
        </w:div>
      </w:divsChild>
    </w:div>
    <w:div w:id="1532179906">
      <w:bodyDiv w:val="1"/>
      <w:marLeft w:val="0"/>
      <w:marRight w:val="0"/>
      <w:marTop w:val="0"/>
      <w:marBottom w:val="0"/>
      <w:divBdr>
        <w:top w:val="none" w:sz="0" w:space="0" w:color="auto"/>
        <w:left w:val="none" w:sz="0" w:space="0" w:color="auto"/>
        <w:bottom w:val="none" w:sz="0" w:space="0" w:color="auto"/>
        <w:right w:val="none" w:sz="0" w:space="0" w:color="auto"/>
      </w:divBdr>
    </w:div>
    <w:div w:id="1549102408">
      <w:bodyDiv w:val="1"/>
      <w:marLeft w:val="0"/>
      <w:marRight w:val="0"/>
      <w:marTop w:val="0"/>
      <w:marBottom w:val="0"/>
      <w:divBdr>
        <w:top w:val="none" w:sz="0" w:space="0" w:color="auto"/>
        <w:left w:val="none" w:sz="0" w:space="0" w:color="auto"/>
        <w:bottom w:val="none" w:sz="0" w:space="0" w:color="auto"/>
        <w:right w:val="none" w:sz="0" w:space="0" w:color="auto"/>
      </w:divBdr>
    </w:div>
    <w:div w:id="1608267521">
      <w:bodyDiv w:val="1"/>
      <w:marLeft w:val="0"/>
      <w:marRight w:val="0"/>
      <w:marTop w:val="0"/>
      <w:marBottom w:val="0"/>
      <w:divBdr>
        <w:top w:val="none" w:sz="0" w:space="0" w:color="auto"/>
        <w:left w:val="none" w:sz="0" w:space="0" w:color="auto"/>
        <w:bottom w:val="none" w:sz="0" w:space="0" w:color="auto"/>
        <w:right w:val="none" w:sz="0" w:space="0" w:color="auto"/>
      </w:divBdr>
      <w:divsChild>
        <w:div w:id="1663309371">
          <w:marLeft w:val="0"/>
          <w:marRight w:val="0"/>
          <w:marTop w:val="0"/>
          <w:marBottom w:val="0"/>
          <w:divBdr>
            <w:top w:val="none" w:sz="0" w:space="0" w:color="auto"/>
            <w:left w:val="none" w:sz="0" w:space="0" w:color="auto"/>
            <w:bottom w:val="none" w:sz="0" w:space="0" w:color="auto"/>
            <w:right w:val="none" w:sz="0" w:space="0" w:color="auto"/>
          </w:divBdr>
          <w:divsChild>
            <w:div w:id="915167651">
              <w:marLeft w:val="0"/>
              <w:marRight w:val="0"/>
              <w:marTop w:val="0"/>
              <w:marBottom w:val="0"/>
              <w:divBdr>
                <w:top w:val="none" w:sz="0" w:space="0" w:color="auto"/>
                <w:left w:val="none" w:sz="0" w:space="0" w:color="auto"/>
                <w:bottom w:val="none" w:sz="0" w:space="0" w:color="auto"/>
                <w:right w:val="none" w:sz="0" w:space="0" w:color="auto"/>
              </w:divBdr>
              <w:divsChild>
                <w:div w:id="19677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7484">
      <w:bodyDiv w:val="1"/>
      <w:marLeft w:val="0"/>
      <w:marRight w:val="0"/>
      <w:marTop w:val="0"/>
      <w:marBottom w:val="0"/>
      <w:divBdr>
        <w:top w:val="none" w:sz="0" w:space="0" w:color="auto"/>
        <w:left w:val="none" w:sz="0" w:space="0" w:color="auto"/>
        <w:bottom w:val="none" w:sz="0" w:space="0" w:color="auto"/>
        <w:right w:val="none" w:sz="0" w:space="0" w:color="auto"/>
      </w:divBdr>
    </w:div>
    <w:div w:id="1646811040">
      <w:bodyDiv w:val="1"/>
      <w:marLeft w:val="0"/>
      <w:marRight w:val="0"/>
      <w:marTop w:val="0"/>
      <w:marBottom w:val="0"/>
      <w:divBdr>
        <w:top w:val="none" w:sz="0" w:space="0" w:color="auto"/>
        <w:left w:val="none" w:sz="0" w:space="0" w:color="auto"/>
        <w:bottom w:val="none" w:sz="0" w:space="0" w:color="auto"/>
        <w:right w:val="none" w:sz="0" w:space="0" w:color="auto"/>
      </w:divBdr>
      <w:divsChild>
        <w:div w:id="954600194">
          <w:marLeft w:val="0"/>
          <w:marRight w:val="0"/>
          <w:marTop w:val="0"/>
          <w:marBottom w:val="0"/>
          <w:divBdr>
            <w:top w:val="none" w:sz="0" w:space="0" w:color="auto"/>
            <w:left w:val="none" w:sz="0" w:space="0" w:color="auto"/>
            <w:bottom w:val="none" w:sz="0" w:space="0" w:color="auto"/>
            <w:right w:val="none" w:sz="0" w:space="0" w:color="auto"/>
          </w:divBdr>
          <w:divsChild>
            <w:div w:id="455374391">
              <w:marLeft w:val="0"/>
              <w:marRight w:val="0"/>
              <w:marTop w:val="0"/>
              <w:marBottom w:val="0"/>
              <w:divBdr>
                <w:top w:val="none" w:sz="0" w:space="0" w:color="auto"/>
                <w:left w:val="none" w:sz="0" w:space="0" w:color="auto"/>
                <w:bottom w:val="none" w:sz="0" w:space="0" w:color="auto"/>
                <w:right w:val="none" w:sz="0" w:space="0" w:color="auto"/>
              </w:divBdr>
              <w:divsChild>
                <w:div w:id="2006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1998">
      <w:bodyDiv w:val="1"/>
      <w:marLeft w:val="0"/>
      <w:marRight w:val="0"/>
      <w:marTop w:val="0"/>
      <w:marBottom w:val="0"/>
      <w:divBdr>
        <w:top w:val="none" w:sz="0" w:space="0" w:color="auto"/>
        <w:left w:val="none" w:sz="0" w:space="0" w:color="auto"/>
        <w:bottom w:val="none" w:sz="0" w:space="0" w:color="auto"/>
        <w:right w:val="none" w:sz="0" w:space="0" w:color="auto"/>
      </w:divBdr>
    </w:div>
    <w:div w:id="1693653014">
      <w:bodyDiv w:val="1"/>
      <w:marLeft w:val="0"/>
      <w:marRight w:val="0"/>
      <w:marTop w:val="0"/>
      <w:marBottom w:val="0"/>
      <w:divBdr>
        <w:top w:val="none" w:sz="0" w:space="0" w:color="auto"/>
        <w:left w:val="none" w:sz="0" w:space="0" w:color="auto"/>
        <w:bottom w:val="none" w:sz="0" w:space="0" w:color="auto"/>
        <w:right w:val="none" w:sz="0" w:space="0" w:color="auto"/>
      </w:divBdr>
    </w:div>
    <w:div w:id="1700887322">
      <w:bodyDiv w:val="1"/>
      <w:marLeft w:val="0"/>
      <w:marRight w:val="0"/>
      <w:marTop w:val="0"/>
      <w:marBottom w:val="0"/>
      <w:divBdr>
        <w:top w:val="none" w:sz="0" w:space="0" w:color="auto"/>
        <w:left w:val="none" w:sz="0" w:space="0" w:color="auto"/>
        <w:bottom w:val="none" w:sz="0" w:space="0" w:color="auto"/>
        <w:right w:val="none" w:sz="0" w:space="0" w:color="auto"/>
      </w:divBdr>
      <w:divsChild>
        <w:div w:id="1394737515">
          <w:marLeft w:val="0"/>
          <w:marRight w:val="0"/>
          <w:marTop w:val="0"/>
          <w:marBottom w:val="0"/>
          <w:divBdr>
            <w:top w:val="none" w:sz="0" w:space="0" w:color="auto"/>
            <w:left w:val="none" w:sz="0" w:space="0" w:color="auto"/>
            <w:bottom w:val="none" w:sz="0" w:space="0" w:color="auto"/>
            <w:right w:val="none" w:sz="0" w:space="0" w:color="auto"/>
          </w:divBdr>
          <w:divsChild>
            <w:div w:id="547569921">
              <w:marLeft w:val="0"/>
              <w:marRight w:val="0"/>
              <w:marTop w:val="0"/>
              <w:marBottom w:val="0"/>
              <w:divBdr>
                <w:top w:val="none" w:sz="0" w:space="0" w:color="auto"/>
                <w:left w:val="none" w:sz="0" w:space="0" w:color="auto"/>
                <w:bottom w:val="none" w:sz="0" w:space="0" w:color="auto"/>
                <w:right w:val="none" w:sz="0" w:space="0" w:color="auto"/>
              </w:divBdr>
              <w:divsChild>
                <w:div w:id="729035348">
                  <w:marLeft w:val="0"/>
                  <w:marRight w:val="0"/>
                  <w:marTop w:val="0"/>
                  <w:marBottom w:val="0"/>
                  <w:divBdr>
                    <w:top w:val="none" w:sz="0" w:space="0" w:color="auto"/>
                    <w:left w:val="none" w:sz="0" w:space="0" w:color="auto"/>
                    <w:bottom w:val="none" w:sz="0" w:space="0" w:color="auto"/>
                    <w:right w:val="none" w:sz="0" w:space="0" w:color="auto"/>
                  </w:divBdr>
                </w:div>
                <w:div w:id="11563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39849">
      <w:bodyDiv w:val="1"/>
      <w:marLeft w:val="0"/>
      <w:marRight w:val="0"/>
      <w:marTop w:val="0"/>
      <w:marBottom w:val="0"/>
      <w:divBdr>
        <w:top w:val="none" w:sz="0" w:space="0" w:color="auto"/>
        <w:left w:val="none" w:sz="0" w:space="0" w:color="auto"/>
        <w:bottom w:val="none" w:sz="0" w:space="0" w:color="auto"/>
        <w:right w:val="none" w:sz="0" w:space="0" w:color="auto"/>
      </w:divBdr>
    </w:div>
    <w:div w:id="1887449768">
      <w:bodyDiv w:val="1"/>
      <w:marLeft w:val="0"/>
      <w:marRight w:val="0"/>
      <w:marTop w:val="0"/>
      <w:marBottom w:val="0"/>
      <w:divBdr>
        <w:top w:val="none" w:sz="0" w:space="0" w:color="auto"/>
        <w:left w:val="none" w:sz="0" w:space="0" w:color="auto"/>
        <w:bottom w:val="none" w:sz="0" w:space="0" w:color="auto"/>
        <w:right w:val="none" w:sz="0" w:space="0" w:color="auto"/>
      </w:divBdr>
    </w:div>
    <w:div w:id="1922761056">
      <w:bodyDiv w:val="1"/>
      <w:marLeft w:val="0"/>
      <w:marRight w:val="0"/>
      <w:marTop w:val="0"/>
      <w:marBottom w:val="0"/>
      <w:divBdr>
        <w:top w:val="none" w:sz="0" w:space="0" w:color="auto"/>
        <w:left w:val="none" w:sz="0" w:space="0" w:color="auto"/>
        <w:bottom w:val="none" w:sz="0" w:space="0" w:color="auto"/>
        <w:right w:val="none" w:sz="0" w:space="0" w:color="auto"/>
      </w:divBdr>
    </w:div>
    <w:div w:id="1946882016">
      <w:bodyDiv w:val="1"/>
      <w:marLeft w:val="0"/>
      <w:marRight w:val="0"/>
      <w:marTop w:val="0"/>
      <w:marBottom w:val="0"/>
      <w:divBdr>
        <w:top w:val="none" w:sz="0" w:space="0" w:color="auto"/>
        <w:left w:val="none" w:sz="0" w:space="0" w:color="auto"/>
        <w:bottom w:val="none" w:sz="0" w:space="0" w:color="auto"/>
        <w:right w:val="none" w:sz="0" w:space="0" w:color="auto"/>
      </w:divBdr>
      <w:divsChild>
        <w:div w:id="714156358">
          <w:marLeft w:val="0"/>
          <w:marRight w:val="0"/>
          <w:marTop w:val="0"/>
          <w:marBottom w:val="0"/>
          <w:divBdr>
            <w:top w:val="none" w:sz="0" w:space="0" w:color="auto"/>
            <w:left w:val="none" w:sz="0" w:space="0" w:color="auto"/>
            <w:bottom w:val="none" w:sz="0" w:space="0" w:color="auto"/>
            <w:right w:val="none" w:sz="0" w:space="0" w:color="auto"/>
          </w:divBdr>
        </w:div>
      </w:divsChild>
    </w:div>
    <w:div w:id="1956785854">
      <w:bodyDiv w:val="1"/>
      <w:marLeft w:val="0"/>
      <w:marRight w:val="0"/>
      <w:marTop w:val="0"/>
      <w:marBottom w:val="0"/>
      <w:divBdr>
        <w:top w:val="none" w:sz="0" w:space="0" w:color="auto"/>
        <w:left w:val="none" w:sz="0" w:space="0" w:color="auto"/>
        <w:bottom w:val="none" w:sz="0" w:space="0" w:color="auto"/>
        <w:right w:val="none" w:sz="0" w:space="0" w:color="auto"/>
      </w:divBdr>
    </w:div>
    <w:div w:id="2105615381">
      <w:bodyDiv w:val="1"/>
      <w:marLeft w:val="0"/>
      <w:marRight w:val="0"/>
      <w:marTop w:val="0"/>
      <w:marBottom w:val="0"/>
      <w:divBdr>
        <w:top w:val="none" w:sz="0" w:space="0" w:color="auto"/>
        <w:left w:val="none" w:sz="0" w:space="0" w:color="auto"/>
        <w:bottom w:val="none" w:sz="0" w:space="0" w:color="auto"/>
        <w:right w:val="none" w:sz="0" w:space="0" w:color="auto"/>
      </w:divBdr>
    </w:div>
    <w:div w:id="21382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taact.org.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yoursay.act.gov.au" TargetMode="External"/><Relationship Id="rId2" Type="http://schemas.openxmlformats.org/officeDocument/2006/relationships/numbering" Target="numbering.xml"/><Relationship Id="rId16" Type="http://schemas.openxmlformats.org/officeDocument/2006/relationships/hyperlink" Target="mailto:regulatoryreform@ac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cesscanberra.act.gov.au/app/answers/detail/a_id/23/session" TargetMode="External"/><Relationship Id="rId10" Type="http://schemas.openxmlformats.org/officeDocument/2006/relationships/hyperlink" Target="mailto:regulatoryreform@a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library.act.gov.au/how_to_use_the_library/library_locations_and_opening_hour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cmd.act.gov.au/policystrategic/regreform/2015-taxi-industry-innovation-reforms/taxi-industry-innovation-review-discussion-paper" TargetMode="External"/><Relationship Id="rId13" Type="http://schemas.openxmlformats.org/officeDocument/2006/relationships/hyperlink" Target="https://transport.nt.gov.au/transport/transport-strategies-and-plans/commercial-passenger-vehicle-reforms/taxi-fare-review" TargetMode="External"/><Relationship Id="rId3" Type="http://schemas.openxmlformats.org/officeDocument/2006/relationships/hyperlink" Target="http://taxi.vic.gov.au/about-us/news" TargetMode="External"/><Relationship Id="rId7" Type="http://schemas.openxmlformats.org/officeDocument/2006/relationships/hyperlink" Target="http://www.legislation.act.gov.au/di/2017-247/current/pdf/2017-247.pdf" TargetMode="External"/><Relationship Id="rId12" Type="http://schemas.openxmlformats.org/officeDocument/2006/relationships/hyperlink" Target="https://dpti.sa.gov.au/__data/assets/pdf_file/0003/256746/Taxi_Review_factsheet_4_Oct_2016.pdf" TargetMode="External"/><Relationship Id="rId2" Type="http://schemas.openxmlformats.org/officeDocument/2006/relationships/hyperlink" Target="https://www.accesscanberra.act.gov.au/app/answers/detail/a_id/3225/~/taxi-industry-reforms" TargetMode="External"/><Relationship Id="rId16" Type="http://schemas.openxmlformats.org/officeDocument/2006/relationships/hyperlink" Target="https://transport.nt.gov.au/transport/transport-strategies-and-plans/commercial-passenger-vehicle-reforms/taxi-fare-review" TargetMode="External"/><Relationship Id="rId1" Type="http://schemas.openxmlformats.org/officeDocument/2006/relationships/hyperlink" Target="https://www.pc.gov.au/research/completed/taxi-regulation/taxiregulation.pdf" TargetMode="External"/><Relationship Id="rId6" Type="http://schemas.openxmlformats.org/officeDocument/2006/relationships/hyperlink" Target="https://www.transport.tas.gov.au/passenger/taxi" TargetMode="External"/><Relationship Id="rId11" Type="http://schemas.openxmlformats.org/officeDocument/2006/relationships/hyperlink" Target="https://www.tmr.qld.gov.au/business-industry/Taxi-and-limousine/Industry-information/Taxi/Taxi-fares-service-areas-and-maps" TargetMode="External"/><Relationship Id="rId5" Type="http://schemas.openxmlformats.org/officeDocument/2006/relationships/hyperlink" Target="https://www.transport.wa.gov.au/mediaFiles/taxis/%20ODT_P_Reform_FAQs_b.pdf" TargetMode="External"/><Relationship Id="rId15" Type="http://schemas.openxmlformats.org/officeDocument/2006/relationships/hyperlink" Target="https://www.ipart.nsw.gov.au/files/sharedassets/website/shared-files/pricing-reviews-transport-services-admin-taxi-fares-and-licences-from-july-2018/publications-taxi-fares-and-licences-from-july-2018/final-report-taxi-fares-in-nsw-and-taxi-licences-outside-sydney-from-1-july-2018.pdf" TargetMode="External"/><Relationship Id="rId10" Type="http://schemas.openxmlformats.org/officeDocument/2006/relationships/hyperlink" Target="https://www.transport.wa.gov.au/mediaFiles/taxis/ODT_P_Reform_Customers_QandA_d.pdf" TargetMode="External"/><Relationship Id="rId4" Type="http://schemas.openxmlformats.org/officeDocument/2006/relationships/hyperlink" Target="https://dipl.nt.gov.au/transport/transport-strategies-and-plans/commercial-passenger-vehicle-reforms/ridesharing" TargetMode="External"/><Relationship Id="rId9" Type="http://schemas.openxmlformats.org/officeDocument/2006/relationships/hyperlink" Target="https://www.transport.act.gov.au/myway-and-fares/mywayguide/concessions" TargetMode="External"/><Relationship Id="rId14" Type="http://schemas.openxmlformats.org/officeDocument/2006/relationships/hyperlink" Target="http://www.transport.tas.gov.au/passenger/taxi/taxi_and_hire_vehicle_industries_regulatory_re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C22DC-E720-45CC-BAF1-ECD3DC79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5916</Words>
  <Characters>33725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39562</CharactersWithSpaces>
  <SharedDoc>false</SharedDoc>
  <HLinks>
    <vt:vector size="30" baseType="variant">
      <vt:variant>
        <vt:i4>7077941</vt:i4>
      </vt:variant>
      <vt:variant>
        <vt:i4>66</vt:i4>
      </vt:variant>
      <vt:variant>
        <vt:i4>0</vt:i4>
      </vt:variant>
      <vt:variant>
        <vt:i4>5</vt:i4>
      </vt:variant>
      <vt:variant>
        <vt:lpwstr>http://www.data.act.gov.au/</vt:lpwstr>
      </vt:variant>
      <vt:variant>
        <vt:lpwstr/>
      </vt:variant>
      <vt:variant>
        <vt:i4>2752552</vt:i4>
      </vt:variant>
      <vt:variant>
        <vt:i4>63</vt:i4>
      </vt:variant>
      <vt:variant>
        <vt:i4>0</vt:i4>
      </vt:variant>
      <vt:variant>
        <vt:i4>5</vt:i4>
      </vt:variant>
      <vt:variant>
        <vt:lpwstr>http://www.innovation-cities.com/innovation-cities-index-2015-asia/9614</vt:lpwstr>
      </vt:variant>
      <vt:variant>
        <vt:lpwstr>reproducing-list</vt:lpwstr>
      </vt:variant>
      <vt:variant>
        <vt:i4>6553721</vt:i4>
      </vt:variant>
      <vt:variant>
        <vt:i4>60</vt:i4>
      </vt:variant>
      <vt:variant>
        <vt:i4>0</vt:i4>
      </vt:variant>
      <vt:variant>
        <vt:i4>5</vt:i4>
      </vt:variant>
      <vt:variant>
        <vt:lpwstr>../3. Resources/Smart City Indices/2015 Canberra's Competitiveness in the National Context.pdf</vt:lpwstr>
      </vt:variant>
      <vt:variant>
        <vt:lpwstr/>
      </vt:variant>
      <vt:variant>
        <vt:i4>4915284</vt:i4>
      </vt:variant>
      <vt:variant>
        <vt:i4>57</vt:i4>
      </vt:variant>
      <vt:variant>
        <vt:i4>0</vt:i4>
      </vt:variant>
      <vt:variant>
        <vt:i4>5</vt:i4>
      </vt:variant>
      <vt:variant>
        <vt:lpwstr>../3. Resources/Smart City Indices/Mercer's 2016 Quality of Living City Rankings.htm</vt:lpwstr>
      </vt:variant>
      <vt:variant>
        <vt:lpwstr/>
      </vt:variant>
      <vt:variant>
        <vt:i4>5832721</vt:i4>
      </vt:variant>
      <vt:variant>
        <vt:i4>54</vt:i4>
      </vt:variant>
      <vt:variant>
        <vt:i4>0</vt:i4>
      </vt:variant>
      <vt:variant>
        <vt:i4>5</vt:i4>
      </vt:variant>
      <vt:variant>
        <vt:lpwstr>https://www.arcadis.com/en/global/our-perspectives/sustainable-cities-index-2016/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2018-09-17T01:33:00Z</dcterms:created>
  <dcterms:modified xsi:type="dcterms:W3CDTF">2018-09-17T02:29:00Z</dcterms:modified>
</cp:coreProperties>
</file>