
<file path=[Content_Types].xml><?xml version="1.0" encoding="utf-8"?>
<Types xmlns="http://schemas.openxmlformats.org/package/2006/content-types">
  <Default Extension="bin" ContentType="application/vnd.openxmlformats-officedocument.oleObject"/>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oter6.xml" ContentType="application/vnd.openxmlformats-officedocument.wordprocessingml.footer+xml"/>
  <Override PartName="/word/footer7.xml" ContentType="application/vnd.openxmlformats-officedocument.wordprocessingml.footer+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Ex1.xml" ContentType="application/vnd.ms-office.chartex+xml"/>
  <Override PartName="/word/charts/style8.xml" ContentType="application/vnd.ms-office.chartstyle+xml"/>
  <Override PartName="/word/charts/colors8.xml" ContentType="application/vnd.ms-office.chartcolorstyle+xml"/>
  <Override PartName="/word/charts/chart8.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9.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0.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1.xml" ContentType="application/vnd.openxmlformats-officedocument.drawingml.chart+xml"/>
  <Override PartName="/word/charts/style12.xml" ContentType="application/vnd.ms-office.chartstyle+xml"/>
  <Override PartName="/word/charts/colors12.xml" ContentType="application/vnd.ms-office.chartcolorstyle+xml"/>
  <Override PartName="/word/drawings/drawing1.xml" ContentType="application/vnd.openxmlformats-officedocument.drawingml.chartshapes+xml"/>
  <Override PartName="/word/charts/chart12.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3.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4.xml" ContentType="application/vnd.openxmlformats-officedocument.drawingml.chart+xml"/>
  <Override PartName="/word/charts/style15.xml" ContentType="application/vnd.ms-office.chartstyle+xml"/>
  <Override PartName="/word/charts/colors15.xml" ContentType="application/vnd.ms-office.chartcolorstyle+xml"/>
  <Override PartName="/word/drawings/drawing2.xml" ContentType="application/vnd.openxmlformats-officedocument.drawingml.chartshapes+xml"/>
  <Override PartName="/word/charts/chart15.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6.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7.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8.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19.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0.xml" ContentType="application/vnd.openxmlformats-officedocument.drawingml.chart+xml"/>
  <Override PartName="/word/charts/style21.xml" ContentType="application/vnd.ms-office.chartstyle+xml"/>
  <Override PartName="/word/charts/colors21.xml" ContentType="application/vnd.ms-office.chartcolorstyle+xml"/>
  <Override PartName="/word/footer8.xml" ContentType="application/vnd.openxmlformats-officedocument.wordprocessingml.footer+xml"/>
  <Override PartName="/word/footer9.xml" ContentType="application/vnd.openxmlformats-officedocument.wordprocessingml.footer+xml"/>
  <Override PartName="/word/charts/chart21.xml" ContentType="application/vnd.openxmlformats-officedocument.drawingml.chart+xml"/>
  <Override PartName="/word/charts/style22.xml" ContentType="application/vnd.ms-office.chartstyle+xml"/>
  <Override PartName="/word/charts/colors22.xml" ContentType="application/vnd.ms-office.chartcolorstyle+xml"/>
  <Override PartName="/word/theme/themeOverride1.xml" ContentType="application/vnd.openxmlformats-officedocument.themeOverride+xml"/>
  <Override PartName="/word/charts/chart22.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3.xml" ContentType="application/vnd.openxmlformats-officedocument.drawingml.chart+xml"/>
  <Override PartName="/word/charts/style24.xml" ContentType="application/vnd.ms-office.chartstyle+xml"/>
  <Override PartName="/word/charts/colors24.xml" ContentType="application/vnd.ms-office.chartcolorstyle+xml"/>
  <Override PartName="/word/footer10.xml" ContentType="application/vnd.openxmlformats-officedocument.wordprocessingml.footer+xml"/>
  <Override PartName="/word/footer11.xml" ContentType="application/vnd.openxmlformats-officedocument.wordprocessingml.footer+xml"/>
  <Override PartName="/word/charts/chart24.xml" ContentType="application/vnd.openxmlformats-officedocument.drawingml.chart+xml"/>
  <Override PartName="/word/drawings/drawing3.xml" ContentType="application/vnd.openxmlformats-officedocument.drawingml.chartshapes+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charts/chart26.xml" ContentType="application/vnd.openxmlformats-officedocument.drawingml.chart+xml"/>
  <Override PartName="/word/theme/themeOverride2.xml" ContentType="application/vnd.openxmlformats-officedocument.themeOverride+xml"/>
  <Override PartName="/word/charts/chart27.xml" ContentType="application/vnd.openxmlformats-officedocument.drawingml.chart+xml"/>
  <Override PartName="/word/charts/style26.xml" ContentType="application/vnd.ms-office.chartstyle+xml"/>
  <Override PartName="/word/charts/colors26.xml" ContentType="application/vnd.ms-office.chartcolorstyle+xml"/>
  <Override PartName="/word/theme/themeOverride3.xml" ContentType="application/vnd.openxmlformats-officedocument.themeOverride+xml"/>
  <Override PartName="/word/charts/chart28.xml" ContentType="application/vnd.openxmlformats-officedocument.drawingml.chart+xml"/>
  <Override PartName="/word/theme/themeOverride4.xml" ContentType="application/vnd.openxmlformats-officedocument.themeOverride+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1809CE" w14:textId="77777777" w:rsidR="00FD45A0" w:rsidRDefault="00FD45A0" w:rsidP="00FD45A0">
      <w:pPr>
        <w:keepLines w:val="0"/>
        <w:rPr>
          <w:rFonts w:asciiTheme="majorHAnsi" w:hAnsiTheme="majorHAnsi"/>
          <w:bCs/>
          <w:caps/>
          <w:sz w:val="32"/>
          <w:szCs w:val="32"/>
        </w:rPr>
      </w:pPr>
      <w:r>
        <w:rPr>
          <w:noProof/>
          <w:sz w:val="32"/>
          <w:szCs w:val="32"/>
        </w:rPr>
        <w:drawing>
          <wp:anchor distT="0" distB="0" distL="114300" distR="114300" simplePos="0" relativeHeight="251659264" behindDoc="1" locked="0" layoutInCell="1" allowOverlap="1" wp14:anchorId="2FB80586" wp14:editId="4DC78518">
            <wp:simplePos x="0" y="0"/>
            <wp:positionH relativeFrom="page">
              <wp:align>right</wp:align>
            </wp:positionH>
            <wp:positionV relativeFrom="paragraph">
              <wp:posOffset>-722934</wp:posOffset>
            </wp:positionV>
            <wp:extent cx="6336792" cy="9000744"/>
            <wp:effectExtent l="0" t="0" r="6985" b="0"/>
            <wp:wrapNone/>
            <wp:docPr id="1118061469" name="Picture 2" descr="Budget Paper No. 2 Strategy and Outlook front cover, grey and 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061469" name="Picture 2" descr="Budget Paper No. 2 Strategy and Outlook front cover, grey and red"/>
                    <pic:cNvPicPr/>
                  </pic:nvPicPr>
                  <pic:blipFill>
                    <a:blip r:embed="rId16"/>
                    <a:stretch>
                      <a:fillRect/>
                    </a:stretch>
                  </pic:blipFill>
                  <pic:spPr>
                    <a:xfrm>
                      <a:off x="0" y="0"/>
                      <a:ext cx="6336792" cy="9000744"/>
                    </a:xfrm>
                    <a:prstGeom prst="rect">
                      <a:avLst/>
                    </a:prstGeom>
                  </pic:spPr>
                </pic:pic>
              </a:graphicData>
            </a:graphic>
            <wp14:sizeRelH relativeFrom="margin">
              <wp14:pctWidth>0</wp14:pctWidth>
            </wp14:sizeRelH>
            <wp14:sizeRelV relativeFrom="margin">
              <wp14:pctHeight>0</wp14:pctHeight>
            </wp14:sizeRelV>
          </wp:anchor>
        </w:drawing>
      </w:r>
      <w:r>
        <w:rPr>
          <w:sz w:val="32"/>
          <w:szCs w:val="32"/>
        </w:rPr>
        <w:br w:type="page"/>
      </w:r>
    </w:p>
    <w:p w14:paraId="6A3CF7FA" w14:textId="77777777" w:rsidR="00FD45A0" w:rsidRPr="00011509" w:rsidRDefault="00FD45A0" w:rsidP="00FD45A0">
      <w:pPr>
        <w:pStyle w:val="Acknowledgement"/>
        <w:spacing w:before="400"/>
        <w:rPr>
          <w:b/>
          <w:sz w:val="32"/>
          <w:szCs w:val="32"/>
        </w:rPr>
      </w:pPr>
      <w:r w:rsidRPr="00011509">
        <w:rPr>
          <w:sz w:val="32"/>
          <w:szCs w:val="32"/>
        </w:rPr>
        <w:lastRenderedPageBreak/>
        <w:t xml:space="preserve">ACKNOWLEDGEMENT </w:t>
      </w:r>
      <w:r w:rsidRPr="00011509">
        <w:rPr>
          <w:sz w:val="32"/>
          <w:szCs w:val="32"/>
        </w:rPr>
        <w:br/>
        <w:t>OF COUNTRY</w:t>
      </w:r>
    </w:p>
    <w:p w14:paraId="40023159" w14:textId="77777777" w:rsidR="00FD45A0" w:rsidRDefault="00FD45A0" w:rsidP="00FD45A0">
      <w:pPr>
        <w:pStyle w:val="Acknowledgementtext"/>
        <w:sectPr w:rsidR="00FD45A0" w:rsidSect="00FD45A0">
          <w:type w:val="oddPage"/>
          <w:pgSz w:w="9979" w:h="14175" w:code="34"/>
          <w:pgMar w:top="1138" w:right="1138" w:bottom="1138" w:left="1138" w:header="619" w:footer="562" w:gutter="0"/>
          <w:pgNumType w:fmt="lowerRoman" w:start="1"/>
          <w:cols w:num="2" w:space="707" w:equalWidth="0">
            <w:col w:w="3498" w:space="707"/>
            <w:col w:w="3498"/>
          </w:cols>
          <w:docGrid w:linePitch="360"/>
        </w:sectPr>
      </w:pPr>
    </w:p>
    <w:p w14:paraId="2F2C0304" w14:textId="77777777" w:rsidR="00FD45A0" w:rsidRPr="00E1431D" w:rsidRDefault="00FD45A0" w:rsidP="00FD45A0">
      <w:pPr>
        <w:pStyle w:val="Acknowledgementtext"/>
      </w:pPr>
      <w:r w:rsidRPr="00E1431D">
        <w:t>The Victorian Department of Treasury and Finance acknowledges that Aboriginal and Torres Strait Islander peoples are the First Peoples and Traditional Custodians of Australia, and the oldest continuing culture in human history. We proudly acknowledge Victoria’s Aboriginal communities and recognise the value and ongoing contribution of Aboriginal people and communities to Victorian life. We pay our respect to Elders past and present and emerging.</w:t>
      </w:r>
    </w:p>
    <w:p w14:paraId="467C8892" w14:textId="77777777" w:rsidR="00FD45A0" w:rsidRPr="00E1431D" w:rsidRDefault="00FD45A0" w:rsidP="00FD45A0">
      <w:pPr>
        <w:pStyle w:val="Acknowledgementtext"/>
        <w:spacing w:after="2000"/>
      </w:pPr>
      <w:r w:rsidRPr="00E1431D">
        <w:t>As we work to ensure Victorian Aboriginal communities continue to thrive, the Government acknowledges the invaluable contributions of generations that have come before us, who have fought tirelessly for the rights of their people</w:t>
      </w:r>
      <w:r>
        <w:t xml:space="preserve"> </w:t>
      </w:r>
      <w:r w:rsidRPr="00E1431D">
        <w:t>and communities towards self-determination.</w:t>
      </w:r>
      <w:r>
        <w:t xml:space="preserve"> </w:t>
      </w:r>
      <w:r w:rsidRPr="00E1431D">
        <w:t>We reflect on the continuing impact of government policies and practices and recognise our responsibility to work together with and</w:t>
      </w:r>
      <w:r>
        <w:t xml:space="preserve"> </w:t>
      </w:r>
      <w:r w:rsidRPr="00E1431D">
        <w:t>for Aboriginal and Torres Strait Islander</w:t>
      </w:r>
      <w:r>
        <w:t xml:space="preserve"> </w:t>
      </w:r>
      <w:r w:rsidRPr="00E1431D">
        <w:t>peoples towards improved cultural, social</w:t>
      </w:r>
      <w:r>
        <w:t xml:space="preserve"> </w:t>
      </w:r>
      <w:r w:rsidRPr="00E1431D">
        <w:t>and economic outcomes.</w:t>
      </w:r>
    </w:p>
    <w:p w14:paraId="329013E5" w14:textId="77777777" w:rsidR="00FD45A0" w:rsidRDefault="00FD45A0" w:rsidP="00FD45A0">
      <w:pPr>
        <w:jc w:val="center"/>
        <w:rPr>
          <w:rFonts w:ascii="Calibri Light" w:hAnsi="Calibri Light"/>
          <w:sz w:val="19"/>
          <w:szCs w:val="19"/>
        </w:rPr>
      </w:pPr>
      <w:r>
        <w:rPr>
          <w:rFonts w:ascii="Calibri Light" w:hAnsi="Calibri Light"/>
          <w:sz w:val="19"/>
          <w:szCs w:val="19"/>
        </w:rPr>
        <w:br w:type="column"/>
      </w:r>
      <w:r>
        <w:rPr>
          <w:rFonts w:ascii="Calibri Light" w:hAnsi="Calibri Light"/>
          <w:noProof/>
          <w:sz w:val="19"/>
          <w:szCs w:val="19"/>
        </w:rPr>
        <w:drawing>
          <wp:inline distT="0" distB="0" distL="0" distR="0" wp14:anchorId="63EF0D26" wp14:editId="64D844F1">
            <wp:extent cx="1971040" cy="1883588"/>
            <wp:effectExtent l="0" t="0" r="0" b="2540"/>
            <wp:docPr id="1641571799" name="Picture 2" descr="Aboriginal artwork ‘lim-ba nindee thana warn-ga-ilee’ (Preserve our Dreaming Lore) – Gunnai Langu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boriginal artwork ‘lim-ba nindee thana warn-ga-ilee’ (Preserve our Dreaming Lore) – Gunnai Language&#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81125" cy="1893226"/>
                    </a:xfrm>
                    <a:prstGeom prst="rect">
                      <a:avLst/>
                    </a:prstGeom>
                    <a:noFill/>
                    <a:ln>
                      <a:noFill/>
                    </a:ln>
                  </pic:spPr>
                </pic:pic>
              </a:graphicData>
            </a:graphic>
          </wp:inline>
        </w:drawing>
      </w:r>
    </w:p>
    <w:p w14:paraId="5C57FD46" w14:textId="77777777" w:rsidR="00FD45A0" w:rsidRPr="006A3047" w:rsidRDefault="00FD45A0" w:rsidP="00FD45A0">
      <w:pPr>
        <w:spacing w:after="120"/>
        <w:ind w:left="-180" w:right="-98"/>
        <w:jc w:val="center"/>
        <w:rPr>
          <w:rFonts w:ascii="Calibri Light" w:hAnsi="Calibri Light"/>
          <w:i/>
          <w:iCs/>
          <w:sz w:val="16"/>
          <w:szCs w:val="18"/>
        </w:rPr>
      </w:pPr>
      <w:r w:rsidRPr="006A3047">
        <w:rPr>
          <w:rFonts w:ascii="Calibri Light" w:hAnsi="Calibri Light"/>
          <w:i/>
          <w:iCs/>
          <w:sz w:val="16"/>
          <w:szCs w:val="18"/>
        </w:rPr>
        <w:t xml:space="preserve">‘lim-ba nindee thana warn-ga-ilee’ </w:t>
      </w:r>
      <w:r w:rsidRPr="006A3047">
        <w:rPr>
          <w:rFonts w:ascii="Calibri Light" w:hAnsi="Calibri Light"/>
          <w:i/>
          <w:iCs/>
          <w:sz w:val="16"/>
          <w:szCs w:val="18"/>
        </w:rPr>
        <w:br/>
        <w:t>(Preserve our Dreaming Lore) – Gunnai Language</w:t>
      </w:r>
    </w:p>
    <w:p w14:paraId="369C5267" w14:textId="77777777" w:rsidR="00FD45A0" w:rsidRPr="006A3047" w:rsidRDefault="00FD45A0" w:rsidP="00FD45A0">
      <w:pPr>
        <w:spacing w:after="120"/>
        <w:ind w:left="-180" w:right="-98"/>
        <w:jc w:val="center"/>
        <w:rPr>
          <w:rFonts w:ascii="Calibri Light" w:hAnsi="Calibri Light"/>
          <w:i/>
          <w:iCs/>
          <w:sz w:val="16"/>
          <w:szCs w:val="18"/>
        </w:rPr>
      </w:pPr>
      <w:r w:rsidRPr="006A3047">
        <w:rPr>
          <w:rFonts w:ascii="Calibri Light" w:hAnsi="Calibri Light"/>
          <w:i/>
          <w:iCs/>
          <w:sz w:val="16"/>
          <w:szCs w:val="18"/>
        </w:rPr>
        <w:t xml:space="preserve">Bitja (Dixon Patten Jnr) Yorta Yorta, Gunnai, </w:t>
      </w:r>
      <w:r w:rsidRPr="006A3047">
        <w:rPr>
          <w:rFonts w:ascii="Calibri Light" w:hAnsi="Calibri Light"/>
          <w:i/>
          <w:iCs/>
          <w:sz w:val="16"/>
          <w:szCs w:val="18"/>
        </w:rPr>
        <w:br/>
        <w:t>Gunditjmara and Dhudhuroa of Bayila Creative</w:t>
      </w:r>
    </w:p>
    <w:p w14:paraId="26120971" w14:textId="77777777" w:rsidR="00FD45A0" w:rsidRDefault="00FD45A0" w:rsidP="00FD45A0"/>
    <w:p w14:paraId="1D010D98" w14:textId="77777777" w:rsidR="00FD45A0" w:rsidRDefault="00FD45A0" w:rsidP="00FD45A0">
      <w:pPr>
        <w:sectPr w:rsidR="00FD45A0" w:rsidSect="00FD45A0">
          <w:type w:val="continuous"/>
          <w:pgSz w:w="9979" w:h="14175" w:code="34"/>
          <w:pgMar w:top="1138" w:right="1138" w:bottom="1138" w:left="1138" w:header="619" w:footer="562" w:gutter="0"/>
          <w:pgNumType w:fmt="lowerRoman" w:start="1"/>
          <w:cols w:num="2" w:space="707" w:equalWidth="0">
            <w:col w:w="3498" w:space="707"/>
            <w:col w:w="3498"/>
          </w:cols>
          <w:docGrid w:linePitch="360"/>
        </w:sectPr>
      </w:pPr>
    </w:p>
    <w:p w14:paraId="4C733604" w14:textId="77777777" w:rsidR="00FD45A0" w:rsidRDefault="00FD45A0" w:rsidP="00FD45A0">
      <w:pPr>
        <w:pStyle w:val="Acknowledgementtext"/>
        <w:contextualSpacing/>
      </w:pPr>
      <w:r>
        <w:t>The Secretary</w:t>
      </w:r>
    </w:p>
    <w:p w14:paraId="7AEC2153" w14:textId="77777777" w:rsidR="00FD45A0" w:rsidRDefault="00FD45A0" w:rsidP="00FD45A0">
      <w:pPr>
        <w:pStyle w:val="Acknowledgementtext"/>
        <w:contextualSpacing/>
      </w:pPr>
      <w:r>
        <w:t>Department of Treasury and Finance</w:t>
      </w:r>
    </w:p>
    <w:p w14:paraId="4FC7603E" w14:textId="77777777" w:rsidR="00FD45A0" w:rsidRDefault="00FD45A0" w:rsidP="00FD45A0">
      <w:pPr>
        <w:pStyle w:val="Acknowledgementtext"/>
        <w:contextualSpacing/>
      </w:pPr>
      <w:r>
        <w:t>1 Treasury Place</w:t>
      </w:r>
    </w:p>
    <w:p w14:paraId="2EC4045D" w14:textId="77777777" w:rsidR="00FD45A0" w:rsidRDefault="00FD45A0" w:rsidP="00FD45A0">
      <w:pPr>
        <w:pStyle w:val="Acknowledgementtext"/>
        <w:contextualSpacing/>
      </w:pPr>
      <w:r>
        <w:t>Melbourne, Victoria, 3002</w:t>
      </w:r>
    </w:p>
    <w:p w14:paraId="30E83575" w14:textId="77777777" w:rsidR="00FD45A0" w:rsidRDefault="00FD45A0" w:rsidP="00FD45A0">
      <w:pPr>
        <w:pStyle w:val="Acknowledgementtext"/>
        <w:contextualSpacing/>
      </w:pPr>
      <w:r>
        <w:t>Australia</w:t>
      </w:r>
    </w:p>
    <w:p w14:paraId="5757A2E4" w14:textId="77777777" w:rsidR="00FD45A0" w:rsidRDefault="00FD45A0" w:rsidP="00FD45A0">
      <w:pPr>
        <w:pStyle w:val="Acknowledgementtext"/>
        <w:contextualSpacing/>
      </w:pPr>
      <w:r>
        <w:t>Tel: +61 3 9651 5111</w:t>
      </w:r>
    </w:p>
    <w:p w14:paraId="5810F96A" w14:textId="77777777" w:rsidR="00FD45A0" w:rsidRDefault="00FD45A0" w:rsidP="00FD45A0">
      <w:pPr>
        <w:pStyle w:val="Acknowledgementtext"/>
      </w:pPr>
      <w:r>
        <w:t>Website: budget.vic.gov.au</w:t>
      </w:r>
    </w:p>
    <w:p w14:paraId="1E3D49A0" w14:textId="77777777" w:rsidR="00FD45A0" w:rsidRDefault="00FD45A0" w:rsidP="00FD45A0">
      <w:pPr>
        <w:pStyle w:val="Acknowledgementtext"/>
        <w:contextualSpacing/>
      </w:pPr>
      <w:r>
        <w:t>Authorised by the Victorian Government</w:t>
      </w:r>
    </w:p>
    <w:p w14:paraId="303E4B1B" w14:textId="77777777" w:rsidR="00FD45A0" w:rsidRDefault="00FD45A0" w:rsidP="00FD45A0">
      <w:pPr>
        <w:pStyle w:val="Acknowledgementtext"/>
        <w:contextualSpacing/>
      </w:pPr>
      <w:r>
        <w:t>1 Treasury Place, Melbourne, 3002</w:t>
      </w:r>
    </w:p>
    <w:p w14:paraId="60D40553" w14:textId="77777777" w:rsidR="00FD45A0" w:rsidRDefault="00FD45A0" w:rsidP="00FD45A0">
      <w:pPr>
        <w:pStyle w:val="Acknowledgementtext"/>
      </w:pPr>
      <w:r>
        <w:t>Printed by Valiant Doculink, Mulgrave</w:t>
      </w:r>
    </w:p>
    <w:p w14:paraId="40DD3C09" w14:textId="77777777" w:rsidR="00FD45A0" w:rsidRDefault="00FD45A0" w:rsidP="00FD45A0">
      <w:pPr>
        <w:pStyle w:val="Acknowledgementtext"/>
        <w:contextualSpacing/>
      </w:pPr>
      <w:r>
        <w:t>This publication makes reference to the 2026/27 Budget paper set which includes:</w:t>
      </w:r>
    </w:p>
    <w:p w14:paraId="0254FAEB" w14:textId="77777777" w:rsidR="00FD45A0" w:rsidRDefault="00FD45A0" w:rsidP="00FD45A0">
      <w:pPr>
        <w:pStyle w:val="Acknowledgementtext"/>
        <w:contextualSpacing/>
      </w:pPr>
      <w:r>
        <w:t>Budget Paper No. 1 – Treasurer’s Speech</w:t>
      </w:r>
    </w:p>
    <w:p w14:paraId="112AAE17" w14:textId="77777777" w:rsidR="00FD45A0" w:rsidRDefault="00FD45A0" w:rsidP="00FD45A0">
      <w:pPr>
        <w:pStyle w:val="Acknowledgementtext"/>
        <w:contextualSpacing/>
      </w:pPr>
      <w:r>
        <w:t>Budget Paper No. 2 – Strategy and Outlook</w:t>
      </w:r>
    </w:p>
    <w:p w14:paraId="2D655BFC" w14:textId="77777777" w:rsidR="00FD45A0" w:rsidRDefault="00FD45A0" w:rsidP="00FD45A0">
      <w:pPr>
        <w:pStyle w:val="Acknowledgementtext"/>
        <w:contextualSpacing/>
      </w:pPr>
      <w:r>
        <w:t>Budget Paper No. 3 – Service Delivery</w:t>
      </w:r>
    </w:p>
    <w:p w14:paraId="2486A2CC" w14:textId="77777777" w:rsidR="00FD45A0" w:rsidRDefault="00FD45A0" w:rsidP="00FD45A0">
      <w:pPr>
        <w:pStyle w:val="Acknowledgementtext"/>
        <w:contextualSpacing/>
      </w:pPr>
      <w:r>
        <w:t>Budget Paper No. 4 – State Capital Program</w:t>
      </w:r>
    </w:p>
    <w:p w14:paraId="5C203430" w14:textId="77777777" w:rsidR="00FD45A0" w:rsidRDefault="00FD45A0" w:rsidP="00FD45A0">
      <w:pPr>
        <w:pStyle w:val="Acknowledgementtext"/>
        <w:contextualSpacing/>
      </w:pPr>
      <w:r>
        <w:t>Budget Paper No. 5 – Statement of Finances</w:t>
      </w:r>
    </w:p>
    <w:p w14:paraId="5A7F0B99" w14:textId="77777777" w:rsidR="00FD45A0" w:rsidRDefault="00FD45A0" w:rsidP="00FD45A0">
      <w:pPr>
        <w:pStyle w:val="Acknowledgementtext"/>
        <w:contextualSpacing/>
      </w:pPr>
      <w:r>
        <w:t>(incorporating Quarterly Financial Report No. 3)</w:t>
      </w:r>
    </w:p>
    <w:p w14:paraId="56ECD794" w14:textId="77777777" w:rsidR="00FD45A0" w:rsidRPr="00F14021" w:rsidRDefault="00FD45A0" w:rsidP="00FD45A0">
      <w:pPr>
        <w:pStyle w:val="Acknowledgementtext"/>
        <w:contextualSpacing/>
        <w:rPr>
          <w:sz w:val="10"/>
        </w:rPr>
      </w:pPr>
      <w:r>
        <w:br w:type="column"/>
      </w:r>
    </w:p>
    <w:p w14:paraId="5717314A" w14:textId="77777777" w:rsidR="00FD45A0" w:rsidRDefault="00FD45A0" w:rsidP="00FD45A0">
      <w:pPr>
        <w:pStyle w:val="Acknowledgementtext"/>
        <w:contextualSpacing/>
      </w:pPr>
      <w:r>
        <w:t>© State of Victoria 2026</w:t>
      </w:r>
    </w:p>
    <w:p w14:paraId="2FCACCA2" w14:textId="77777777" w:rsidR="00FD45A0" w:rsidRDefault="00FD45A0" w:rsidP="00FD45A0">
      <w:pPr>
        <w:pStyle w:val="Acknowledgementtext"/>
        <w:spacing w:after="60"/>
      </w:pPr>
      <w:r>
        <w:t>(Department of Treasury and Finance)</w:t>
      </w:r>
    </w:p>
    <w:p w14:paraId="12193A25" w14:textId="77777777" w:rsidR="00FD45A0" w:rsidRDefault="00FD45A0" w:rsidP="00FD45A0">
      <w:pPr>
        <w:pStyle w:val="Acknowledgementtext"/>
        <w:spacing w:before="60"/>
      </w:pPr>
      <w:r>
        <w:rPr>
          <w:noProof/>
        </w:rPr>
        <w:drawing>
          <wp:inline distT="0" distB="0" distL="0" distR="0" wp14:anchorId="57D9BF18" wp14:editId="5784EAFC">
            <wp:extent cx="779764" cy="272821"/>
            <wp:effectExtent l="0" t="0" r="1905" b="0"/>
            <wp:docPr id="2046307505" name="Picture 1" descr="Creative Commons 4.0 logo&#10;&#10;You are free to re-use this work under a Creative Commons Attribution 4.0 licence, provided you credit the State of Victoria (Department of Treasury and Finance) as author, indicate if changes were made and comply with the other licence terms. The licence does not apply to any branding, including Government 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6307505" name="Picture 1" descr="Creative Commons 4.0 logo&#10;&#10;You are free to re-use this work under a Creative Commons Attribution 4.0 licence, provided you credit the State of Victoria (Department of Treasury and Finance) as author, indicate if changes were made and comply with the other licence terms. The licence does not apply to any branding, including Government logos."/>
                    <pic:cNvPicPr/>
                  </pic:nvPicPr>
                  <pic:blipFill>
                    <a:blip r:embed="rId18" cstate="print">
                      <a:extLst>
                        <a:ext uri="{28A0092B-C50C-407E-A947-70E740481C1C}">
                          <a14:useLocalDpi xmlns:a14="http://schemas.microsoft.com/office/drawing/2010/main" val="0"/>
                        </a:ext>
                      </a:extLst>
                    </a:blip>
                    <a:stretch>
                      <a:fillRect/>
                    </a:stretch>
                  </pic:blipFill>
                  <pic:spPr>
                    <a:xfrm>
                      <a:off x="0" y="0"/>
                      <a:ext cx="803903" cy="281267"/>
                    </a:xfrm>
                    <a:prstGeom prst="rect">
                      <a:avLst/>
                    </a:prstGeom>
                  </pic:spPr>
                </pic:pic>
              </a:graphicData>
            </a:graphic>
          </wp:inline>
        </w:drawing>
      </w:r>
    </w:p>
    <w:p w14:paraId="6CD8685E" w14:textId="77777777" w:rsidR="00FD45A0" w:rsidRDefault="00FD45A0" w:rsidP="00FD45A0">
      <w:pPr>
        <w:pStyle w:val="Acknowledgementtext"/>
        <w:ind w:right="86"/>
      </w:pPr>
      <w:r>
        <w:t>You are free to re-use this work under a Creative Commons Attribution 4.0 licence, provided you credit the State of Victoria (Department of Treasury and Finance) as author, indicate if changes were made and comply with the other licence terms. The licence does not apply to any branding, including Government logos.</w:t>
      </w:r>
    </w:p>
    <w:p w14:paraId="4528D090" w14:textId="77777777" w:rsidR="00FD45A0" w:rsidRDefault="00FD45A0" w:rsidP="00FD45A0">
      <w:pPr>
        <w:pStyle w:val="Acknowledgementtext"/>
        <w:ind w:right="86"/>
      </w:pPr>
      <w:r>
        <w:t xml:space="preserve">Copyright queries may be directed to </w:t>
      </w:r>
      <w:hyperlink r:id="rId19" w:history="1">
        <w:r w:rsidRPr="003375B9">
          <w:rPr>
            <w:rStyle w:val="Hyperlink"/>
          </w:rPr>
          <w:t>information@dtf.vic.gov.au</w:t>
        </w:r>
      </w:hyperlink>
    </w:p>
    <w:p w14:paraId="49D60C3D" w14:textId="77777777" w:rsidR="00FD45A0" w:rsidRDefault="00FD45A0" w:rsidP="00FD45A0">
      <w:pPr>
        <w:pStyle w:val="Acknowledgementtext"/>
        <w:contextualSpacing/>
      </w:pPr>
      <w:r>
        <w:t>ISSN 2204-9185 (print)</w:t>
      </w:r>
    </w:p>
    <w:p w14:paraId="33A05787" w14:textId="77777777" w:rsidR="00FD45A0" w:rsidRDefault="00FD45A0" w:rsidP="00FD45A0">
      <w:pPr>
        <w:pStyle w:val="Acknowledgementtext"/>
        <w:ind w:right="86"/>
      </w:pPr>
      <w:r>
        <w:t>ISSN 2204-9177 (online)</w:t>
      </w:r>
    </w:p>
    <w:p w14:paraId="294AA7F1" w14:textId="77777777" w:rsidR="00FD45A0" w:rsidRDefault="00FD45A0" w:rsidP="00FD45A0">
      <w:pPr>
        <w:pStyle w:val="Acknowledgementtext"/>
        <w:ind w:right="86"/>
      </w:pPr>
      <w:r>
        <w:t>Published May 2026</w:t>
      </w:r>
    </w:p>
    <w:p w14:paraId="3019907C" w14:textId="77777777" w:rsidR="00FD45A0" w:rsidRDefault="00FD45A0" w:rsidP="00FD45A0"/>
    <w:p w14:paraId="5FC8A6E8" w14:textId="77777777" w:rsidR="00FD45A0" w:rsidRDefault="00FD45A0" w:rsidP="00FD45A0">
      <w:pPr>
        <w:sectPr w:rsidR="00FD45A0" w:rsidSect="00FD45A0">
          <w:footerReference w:type="even" r:id="rId20"/>
          <w:type w:val="continuous"/>
          <w:pgSz w:w="9979" w:h="14175"/>
          <w:pgMar w:top="1134" w:right="1134" w:bottom="1134" w:left="1134" w:header="624" w:footer="567" w:gutter="0"/>
          <w:pgNumType w:start="1"/>
          <w:cols w:num="2" w:space="708"/>
          <w:docGrid w:linePitch="360"/>
        </w:sectPr>
      </w:pPr>
    </w:p>
    <w:p w14:paraId="182695C5" w14:textId="78BE5112" w:rsidR="00C0167F" w:rsidRPr="001213F7" w:rsidRDefault="004E221B" w:rsidP="00B41CF3">
      <w:pPr>
        <w:pStyle w:val="Title"/>
        <w:spacing w:after="0"/>
      </w:pPr>
      <w:r w:rsidRPr="001213F7">
        <w:lastRenderedPageBreak/>
        <w:t>Strategy and Outlook</w:t>
      </w:r>
    </w:p>
    <w:p w14:paraId="14FCF4B8" w14:textId="73097C90" w:rsidR="004E221B" w:rsidRPr="001213F7" w:rsidRDefault="004E221B" w:rsidP="004E221B">
      <w:pPr>
        <w:spacing w:before="0"/>
        <w:jc w:val="center"/>
        <w:rPr>
          <w:rFonts w:ascii="Calibri" w:hAnsi="Calibri"/>
          <w:b/>
          <w:sz w:val="50"/>
          <w:szCs w:val="50"/>
        </w:rPr>
      </w:pPr>
      <w:r w:rsidRPr="001213F7">
        <w:rPr>
          <w:rFonts w:ascii="Calibri" w:hAnsi="Calibri"/>
          <w:b/>
          <w:sz w:val="52"/>
          <w:szCs w:val="52"/>
        </w:rPr>
        <w:t>202</w:t>
      </w:r>
      <w:r w:rsidR="00277554" w:rsidRPr="001213F7">
        <w:rPr>
          <w:rFonts w:ascii="Calibri" w:hAnsi="Calibri"/>
          <w:b/>
          <w:sz w:val="52"/>
          <w:szCs w:val="52"/>
        </w:rPr>
        <w:t>6</w:t>
      </w:r>
      <w:r w:rsidR="54B48CD9" w:rsidRPr="001213F7">
        <w:rPr>
          <w:rFonts w:ascii="Calibri" w:hAnsi="Calibri"/>
          <w:b/>
          <w:bCs/>
          <w:sz w:val="52"/>
          <w:szCs w:val="52"/>
        </w:rPr>
        <w:t>-</w:t>
      </w:r>
      <w:r w:rsidRPr="001213F7">
        <w:rPr>
          <w:rFonts w:ascii="Calibri" w:hAnsi="Calibri"/>
          <w:b/>
          <w:sz w:val="52"/>
          <w:szCs w:val="52"/>
        </w:rPr>
        <w:t>2</w:t>
      </w:r>
      <w:r w:rsidR="00277554" w:rsidRPr="001213F7">
        <w:rPr>
          <w:rFonts w:ascii="Calibri" w:hAnsi="Calibri"/>
          <w:b/>
          <w:sz w:val="52"/>
          <w:szCs w:val="52"/>
        </w:rPr>
        <w:t>7</w:t>
      </w:r>
    </w:p>
    <w:p w14:paraId="4744F94E" w14:textId="77777777" w:rsidR="004E221B" w:rsidRPr="001213F7" w:rsidRDefault="004E221B" w:rsidP="004E221B">
      <w:pPr>
        <w:jc w:val="center"/>
        <w:rPr>
          <w:rFonts w:ascii="Calibri" w:hAnsi="Calibri"/>
          <w:sz w:val="30"/>
          <w:szCs w:val="30"/>
        </w:rPr>
      </w:pPr>
    </w:p>
    <w:p w14:paraId="3C1D0399" w14:textId="77777777" w:rsidR="004E221B" w:rsidRPr="001213F7" w:rsidRDefault="004E221B" w:rsidP="004E221B">
      <w:pPr>
        <w:jc w:val="center"/>
        <w:rPr>
          <w:rFonts w:ascii="Calibri" w:hAnsi="Calibri"/>
          <w:sz w:val="30"/>
          <w:szCs w:val="30"/>
        </w:rPr>
      </w:pPr>
    </w:p>
    <w:p w14:paraId="401FCB64" w14:textId="25D0815E" w:rsidR="004E221B" w:rsidRPr="001213F7" w:rsidRDefault="004E221B" w:rsidP="004E221B">
      <w:pPr>
        <w:jc w:val="center"/>
        <w:rPr>
          <w:sz w:val="36"/>
          <w:szCs w:val="36"/>
        </w:rPr>
      </w:pPr>
      <w:r w:rsidRPr="001213F7">
        <w:rPr>
          <w:noProof/>
          <w:sz w:val="36"/>
          <w:szCs w:val="36"/>
          <w:lang w:eastAsia="en-AU"/>
        </w:rPr>
        <w:drawing>
          <wp:inline distT="0" distB="0" distL="0" distR="0" wp14:anchorId="49069972" wp14:editId="1D397844">
            <wp:extent cx="930288" cy="1152144"/>
            <wp:effectExtent l="0" t="0" r="3175" b="0"/>
            <wp:docPr id="1117984859" name="Picture 1117984859" descr="A black and white drawing of a coat of ar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984859" name="Picture 1117984859" descr="A black and white drawing of a coat of arms&#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930288" cy="1152144"/>
                    </a:xfrm>
                    <a:prstGeom prst="rect">
                      <a:avLst/>
                    </a:prstGeom>
                  </pic:spPr>
                </pic:pic>
              </a:graphicData>
            </a:graphic>
          </wp:inline>
        </w:drawing>
      </w:r>
    </w:p>
    <w:p w14:paraId="1ECA87C2" w14:textId="77777777" w:rsidR="004E221B" w:rsidRPr="001213F7" w:rsidRDefault="004E221B" w:rsidP="004E221B">
      <w:pPr>
        <w:jc w:val="center"/>
        <w:rPr>
          <w:sz w:val="36"/>
          <w:szCs w:val="36"/>
        </w:rPr>
      </w:pPr>
    </w:p>
    <w:p w14:paraId="5AC6DB71" w14:textId="350FC1F2" w:rsidR="004E221B" w:rsidRPr="001213F7" w:rsidRDefault="004E221B" w:rsidP="004E221B">
      <w:pPr>
        <w:jc w:val="center"/>
        <w:rPr>
          <w:sz w:val="36"/>
          <w:szCs w:val="36"/>
        </w:rPr>
      </w:pPr>
    </w:p>
    <w:p w14:paraId="19DD6036" w14:textId="77777777" w:rsidR="004E221B" w:rsidRPr="001213F7" w:rsidRDefault="004E221B" w:rsidP="004E221B">
      <w:pPr>
        <w:jc w:val="center"/>
        <w:rPr>
          <w:sz w:val="36"/>
          <w:szCs w:val="36"/>
        </w:rPr>
      </w:pPr>
    </w:p>
    <w:p w14:paraId="5CC0A925" w14:textId="77777777" w:rsidR="004E221B" w:rsidRPr="001213F7" w:rsidRDefault="004E221B" w:rsidP="004E221B">
      <w:pPr>
        <w:jc w:val="center"/>
        <w:rPr>
          <w:rFonts w:ascii="Calibri" w:hAnsi="Calibri"/>
          <w:sz w:val="28"/>
          <w:szCs w:val="28"/>
        </w:rPr>
      </w:pPr>
      <w:r w:rsidRPr="001213F7">
        <w:rPr>
          <w:rFonts w:ascii="Calibri" w:hAnsi="Calibri"/>
          <w:sz w:val="28"/>
          <w:szCs w:val="28"/>
        </w:rPr>
        <w:t>Presented by</w:t>
      </w:r>
    </w:p>
    <w:p w14:paraId="6625CCC0" w14:textId="7F6ED96E" w:rsidR="004E221B" w:rsidRPr="001213F7" w:rsidRDefault="004E221B" w:rsidP="004E221B">
      <w:pPr>
        <w:jc w:val="center"/>
        <w:rPr>
          <w:rFonts w:ascii="Calibri" w:hAnsi="Calibri" w:cs="Calibri"/>
          <w:b/>
          <w:sz w:val="36"/>
          <w:szCs w:val="36"/>
        </w:rPr>
      </w:pPr>
      <w:r w:rsidRPr="001213F7">
        <w:rPr>
          <w:rFonts w:ascii="Calibri" w:hAnsi="Calibri" w:cs="Calibri"/>
          <w:b/>
          <w:sz w:val="36"/>
          <w:szCs w:val="36"/>
        </w:rPr>
        <w:t>Jaclyn Symes MP</w:t>
      </w:r>
    </w:p>
    <w:p w14:paraId="532CD98F" w14:textId="7738610F" w:rsidR="004E221B" w:rsidRPr="001213F7" w:rsidRDefault="004E221B" w:rsidP="004E221B">
      <w:pPr>
        <w:jc w:val="center"/>
        <w:rPr>
          <w:rFonts w:ascii="Calibri" w:hAnsi="Calibri" w:cs="Calibri"/>
          <w:sz w:val="28"/>
          <w:szCs w:val="28"/>
        </w:rPr>
      </w:pPr>
      <w:r w:rsidRPr="001213F7">
        <w:rPr>
          <w:rFonts w:ascii="Calibri" w:hAnsi="Calibri" w:cs="Calibri"/>
          <w:sz w:val="28"/>
          <w:szCs w:val="28"/>
        </w:rPr>
        <w:t>Treasurer of the State of Victoria</w:t>
      </w:r>
    </w:p>
    <w:p w14:paraId="7AA32DCB" w14:textId="77777777" w:rsidR="004E221B" w:rsidRPr="001213F7" w:rsidRDefault="004E221B" w:rsidP="004E221B">
      <w:pPr>
        <w:jc w:val="center"/>
        <w:rPr>
          <w:rFonts w:ascii="Calibri" w:hAnsi="Calibri"/>
          <w:sz w:val="30"/>
          <w:szCs w:val="30"/>
        </w:rPr>
      </w:pPr>
      <w:r w:rsidRPr="001213F7">
        <w:rPr>
          <w:rFonts w:ascii="Calibri" w:hAnsi="Calibri"/>
          <w:sz w:val="30"/>
          <w:szCs w:val="30"/>
        </w:rPr>
        <w:t>for the information of Honourable Members</w:t>
      </w:r>
    </w:p>
    <w:p w14:paraId="6120C5B2" w14:textId="77777777" w:rsidR="004E221B" w:rsidRPr="001213F7" w:rsidRDefault="004E221B" w:rsidP="004E221B">
      <w:pPr>
        <w:jc w:val="center"/>
        <w:rPr>
          <w:rFonts w:ascii="Calibri" w:hAnsi="Calibri"/>
          <w:sz w:val="36"/>
          <w:szCs w:val="36"/>
        </w:rPr>
      </w:pPr>
    </w:p>
    <w:p w14:paraId="1FD0DDF1" w14:textId="414D2EBB" w:rsidR="00FC63EB" w:rsidRPr="001213F7" w:rsidRDefault="004E221B" w:rsidP="004E221B">
      <w:pPr>
        <w:jc w:val="center"/>
        <w:rPr>
          <w:rFonts w:asciiTheme="majorHAnsi" w:hAnsiTheme="majorHAnsi" w:cstheme="majorHAnsi"/>
          <w:sz w:val="28"/>
          <w:szCs w:val="28"/>
        </w:rPr>
      </w:pPr>
      <w:r w:rsidRPr="001213F7">
        <w:rPr>
          <w:rFonts w:ascii="Calibri" w:hAnsi="Calibri"/>
          <w:b/>
          <w:sz w:val="36"/>
          <w:szCs w:val="36"/>
        </w:rPr>
        <w:t>Budget Paper No. 2</w:t>
      </w:r>
    </w:p>
    <w:p w14:paraId="79759A96" w14:textId="77777777" w:rsidR="00454773" w:rsidRPr="001213F7" w:rsidRDefault="00454773" w:rsidP="00454773">
      <w:pPr>
        <w:jc w:val="center"/>
      </w:pPr>
    </w:p>
    <w:p w14:paraId="52794B9D" w14:textId="77777777" w:rsidR="00454773" w:rsidRPr="001213F7" w:rsidRDefault="00454773" w:rsidP="00454773">
      <w:pPr>
        <w:jc w:val="center"/>
      </w:pPr>
    </w:p>
    <w:p w14:paraId="26D88C82" w14:textId="07C6CE3B" w:rsidR="00263006" w:rsidRPr="001213F7" w:rsidRDefault="00263006"/>
    <w:p w14:paraId="10A428C1" w14:textId="77777777" w:rsidR="0066452E" w:rsidRPr="001213F7" w:rsidRDefault="0066452E" w:rsidP="00604117">
      <w:pPr>
        <w:pBdr>
          <w:bottom w:val="single" w:sz="6" w:space="1" w:color="auto"/>
        </w:pBdr>
        <w:spacing w:before="960" w:after="360"/>
        <w:rPr>
          <w:rFonts w:asciiTheme="majorHAnsi" w:hAnsiTheme="majorHAnsi" w:cstheme="majorHAnsi"/>
          <w:b/>
          <w:bCs/>
          <w:sz w:val="36"/>
          <w:szCs w:val="36"/>
        </w:rPr>
        <w:sectPr w:rsidR="0066452E" w:rsidRPr="001213F7" w:rsidSect="00E12F4B">
          <w:footerReference w:type="even" r:id="rId22"/>
          <w:footerReference w:type="default" r:id="rId23"/>
          <w:type w:val="oddPage"/>
          <w:pgSz w:w="9979" w:h="14175"/>
          <w:pgMar w:top="1138" w:right="1138" w:bottom="1138" w:left="1138" w:header="706" w:footer="706" w:gutter="0"/>
          <w:pgNumType w:start="0"/>
          <w:cols w:space="708"/>
          <w:docGrid w:linePitch="360"/>
        </w:sectPr>
      </w:pPr>
    </w:p>
    <w:p w14:paraId="46047C21" w14:textId="3B28F638" w:rsidR="0024230A" w:rsidRPr="001213F7" w:rsidRDefault="00604117" w:rsidP="0066452E">
      <w:pPr>
        <w:pStyle w:val="TOCHeading"/>
      </w:pPr>
      <w:r w:rsidRPr="001213F7">
        <w:lastRenderedPageBreak/>
        <w:t>TABLE OF CONTENTS</w:t>
      </w:r>
    </w:p>
    <w:p w14:paraId="7DA0E26A" w14:textId="1560D0E9" w:rsidR="00F21337" w:rsidRPr="001213F7" w:rsidRDefault="0024230A">
      <w:pPr>
        <w:pStyle w:val="TOC1"/>
        <w:rPr>
          <w:rFonts w:asciiTheme="minorHAnsi" w:eastAsiaTheme="minorEastAsia" w:hAnsiTheme="minorHAnsi"/>
          <w:b w:val="0"/>
          <w:noProof/>
          <w:kern w:val="2"/>
          <w:sz w:val="24"/>
          <w:szCs w:val="24"/>
          <w:lang w:eastAsia="en-AU"/>
          <w14:ligatures w14:val="standardContextual"/>
        </w:rPr>
      </w:pPr>
      <w:r w:rsidRPr="001213F7">
        <w:fldChar w:fldCharType="begin"/>
      </w:r>
      <w:r w:rsidRPr="001213F7">
        <w:instrText xml:space="preserve"> TOC \h \z \u \t "Heading 1,2,Chapter </w:instrText>
      </w:r>
      <w:r w:rsidR="00C771EE" w:rsidRPr="001213F7">
        <w:instrText>Heading</w:instrText>
      </w:r>
      <w:r w:rsidRPr="001213F7">
        <w:instrText xml:space="preserve">,1" </w:instrText>
      </w:r>
      <w:r w:rsidRPr="001213F7">
        <w:fldChar w:fldCharType="separate"/>
      </w:r>
      <w:hyperlink w:anchor="_Toc228545287" w:history="1">
        <w:r w:rsidR="00F21337" w:rsidRPr="001213F7">
          <w:rPr>
            <w:rStyle w:val="Hyperlink"/>
            <w:noProof/>
          </w:rPr>
          <w:t>Chapter 1 – Economic and fiscal overview</w:t>
        </w:r>
        <w:r w:rsidR="00F21337" w:rsidRPr="001213F7">
          <w:rPr>
            <w:noProof/>
            <w:webHidden/>
          </w:rPr>
          <w:tab/>
        </w:r>
        <w:r w:rsidR="00F21337" w:rsidRPr="001213F7">
          <w:rPr>
            <w:noProof/>
            <w:webHidden/>
          </w:rPr>
          <w:fldChar w:fldCharType="begin"/>
        </w:r>
        <w:r w:rsidR="00F21337" w:rsidRPr="001213F7">
          <w:rPr>
            <w:noProof/>
            <w:webHidden/>
          </w:rPr>
          <w:instrText xml:space="preserve"> PAGEREF _Toc228545287 \h </w:instrText>
        </w:r>
        <w:r w:rsidR="00F21337" w:rsidRPr="001213F7">
          <w:rPr>
            <w:noProof/>
            <w:webHidden/>
          </w:rPr>
        </w:r>
        <w:r w:rsidR="00F21337" w:rsidRPr="001213F7">
          <w:rPr>
            <w:noProof/>
            <w:webHidden/>
          </w:rPr>
          <w:fldChar w:fldCharType="separate"/>
        </w:r>
        <w:r w:rsidR="00F04E56">
          <w:rPr>
            <w:noProof/>
            <w:webHidden/>
          </w:rPr>
          <w:t>1</w:t>
        </w:r>
        <w:r w:rsidR="00F21337" w:rsidRPr="001213F7">
          <w:rPr>
            <w:noProof/>
            <w:webHidden/>
          </w:rPr>
          <w:fldChar w:fldCharType="end"/>
        </w:r>
      </w:hyperlink>
    </w:p>
    <w:p w14:paraId="201AFC6A" w14:textId="2CCF16AB" w:rsidR="00F21337" w:rsidRPr="001213F7" w:rsidRDefault="00F21337">
      <w:pPr>
        <w:pStyle w:val="TOC2"/>
        <w:rPr>
          <w:rFonts w:asciiTheme="minorHAnsi" w:eastAsiaTheme="minorEastAsia" w:hAnsiTheme="minorHAnsi"/>
          <w:noProof/>
          <w:kern w:val="2"/>
          <w:sz w:val="24"/>
          <w:szCs w:val="24"/>
          <w:lang w:eastAsia="en-AU"/>
          <w14:ligatures w14:val="standardContextual"/>
        </w:rPr>
      </w:pPr>
      <w:hyperlink w:anchor="_Toc228545288" w:history="1">
        <w:r w:rsidRPr="001213F7">
          <w:rPr>
            <w:rStyle w:val="Hyperlink"/>
            <w:noProof/>
          </w:rPr>
          <w:t>Victoria’s resilient economy and healthy labour market</w:t>
        </w:r>
        <w:r w:rsidRPr="001213F7">
          <w:rPr>
            <w:noProof/>
            <w:webHidden/>
          </w:rPr>
          <w:tab/>
        </w:r>
        <w:r w:rsidRPr="001213F7">
          <w:rPr>
            <w:noProof/>
            <w:webHidden/>
          </w:rPr>
          <w:fldChar w:fldCharType="begin"/>
        </w:r>
        <w:r w:rsidRPr="001213F7">
          <w:rPr>
            <w:noProof/>
            <w:webHidden/>
          </w:rPr>
          <w:instrText xml:space="preserve"> PAGEREF _Toc228545288 \h </w:instrText>
        </w:r>
        <w:r w:rsidRPr="001213F7">
          <w:rPr>
            <w:noProof/>
            <w:webHidden/>
          </w:rPr>
        </w:r>
        <w:r w:rsidRPr="001213F7">
          <w:rPr>
            <w:noProof/>
            <w:webHidden/>
          </w:rPr>
          <w:fldChar w:fldCharType="separate"/>
        </w:r>
        <w:r w:rsidR="00F04E56">
          <w:rPr>
            <w:noProof/>
            <w:webHidden/>
          </w:rPr>
          <w:t>1</w:t>
        </w:r>
        <w:r w:rsidRPr="001213F7">
          <w:rPr>
            <w:noProof/>
            <w:webHidden/>
          </w:rPr>
          <w:fldChar w:fldCharType="end"/>
        </w:r>
      </w:hyperlink>
    </w:p>
    <w:p w14:paraId="46522462" w14:textId="25F5B836" w:rsidR="00F21337" w:rsidRPr="001213F7" w:rsidRDefault="00F21337">
      <w:pPr>
        <w:pStyle w:val="TOC2"/>
        <w:rPr>
          <w:rFonts w:asciiTheme="minorHAnsi" w:eastAsiaTheme="minorEastAsia" w:hAnsiTheme="minorHAnsi"/>
          <w:noProof/>
          <w:kern w:val="2"/>
          <w:sz w:val="24"/>
          <w:szCs w:val="24"/>
          <w:lang w:eastAsia="en-AU"/>
          <w14:ligatures w14:val="standardContextual"/>
        </w:rPr>
      </w:pPr>
      <w:hyperlink w:anchor="_Toc228545289" w:history="1">
        <w:r w:rsidRPr="001213F7">
          <w:rPr>
            <w:rStyle w:val="Hyperlink"/>
            <w:noProof/>
          </w:rPr>
          <w:t>Responsible financial management</w:t>
        </w:r>
        <w:r w:rsidRPr="001213F7">
          <w:rPr>
            <w:noProof/>
            <w:webHidden/>
          </w:rPr>
          <w:tab/>
        </w:r>
        <w:r w:rsidRPr="001213F7">
          <w:rPr>
            <w:noProof/>
            <w:webHidden/>
          </w:rPr>
          <w:fldChar w:fldCharType="begin"/>
        </w:r>
        <w:r w:rsidRPr="001213F7">
          <w:rPr>
            <w:noProof/>
            <w:webHidden/>
          </w:rPr>
          <w:instrText xml:space="preserve"> PAGEREF _Toc228545289 \h </w:instrText>
        </w:r>
        <w:r w:rsidRPr="001213F7">
          <w:rPr>
            <w:noProof/>
            <w:webHidden/>
          </w:rPr>
        </w:r>
        <w:r w:rsidRPr="001213F7">
          <w:rPr>
            <w:noProof/>
            <w:webHidden/>
          </w:rPr>
          <w:fldChar w:fldCharType="separate"/>
        </w:r>
        <w:r w:rsidR="00F04E56">
          <w:rPr>
            <w:noProof/>
            <w:webHidden/>
          </w:rPr>
          <w:t>4</w:t>
        </w:r>
        <w:r w:rsidRPr="001213F7">
          <w:rPr>
            <w:noProof/>
            <w:webHidden/>
          </w:rPr>
          <w:fldChar w:fldCharType="end"/>
        </w:r>
      </w:hyperlink>
    </w:p>
    <w:p w14:paraId="584A8E14" w14:textId="0876EB05" w:rsidR="00F21337" w:rsidRPr="001213F7" w:rsidRDefault="00F21337">
      <w:pPr>
        <w:pStyle w:val="TOC2"/>
        <w:rPr>
          <w:rFonts w:asciiTheme="minorHAnsi" w:eastAsiaTheme="minorEastAsia" w:hAnsiTheme="minorHAnsi"/>
          <w:noProof/>
          <w:kern w:val="2"/>
          <w:sz w:val="24"/>
          <w:szCs w:val="24"/>
          <w:lang w:eastAsia="en-AU"/>
          <w14:ligatures w14:val="standardContextual"/>
        </w:rPr>
      </w:pPr>
      <w:hyperlink w:anchor="_Toc228545290" w:history="1">
        <w:r w:rsidRPr="001213F7">
          <w:rPr>
            <w:rStyle w:val="Hyperlink"/>
            <w:noProof/>
          </w:rPr>
          <w:t>Summary of initiatives</w:t>
        </w:r>
        <w:r w:rsidRPr="001213F7">
          <w:rPr>
            <w:noProof/>
            <w:webHidden/>
          </w:rPr>
          <w:tab/>
        </w:r>
        <w:r w:rsidRPr="001213F7">
          <w:rPr>
            <w:noProof/>
            <w:webHidden/>
          </w:rPr>
          <w:fldChar w:fldCharType="begin"/>
        </w:r>
        <w:r w:rsidRPr="001213F7">
          <w:rPr>
            <w:noProof/>
            <w:webHidden/>
          </w:rPr>
          <w:instrText xml:space="preserve"> PAGEREF _Toc228545290 \h </w:instrText>
        </w:r>
        <w:r w:rsidRPr="001213F7">
          <w:rPr>
            <w:noProof/>
            <w:webHidden/>
          </w:rPr>
        </w:r>
        <w:r w:rsidRPr="001213F7">
          <w:rPr>
            <w:noProof/>
            <w:webHidden/>
          </w:rPr>
          <w:fldChar w:fldCharType="separate"/>
        </w:r>
        <w:r w:rsidR="00F04E56">
          <w:rPr>
            <w:noProof/>
            <w:webHidden/>
          </w:rPr>
          <w:t>8</w:t>
        </w:r>
        <w:r w:rsidRPr="001213F7">
          <w:rPr>
            <w:noProof/>
            <w:webHidden/>
          </w:rPr>
          <w:fldChar w:fldCharType="end"/>
        </w:r>
      </w:hyperlink>
    </w:p>
    <w:p w14:paraId="3F39843C" w14:textId="363D5E26" w:rsidR="00F21337" w:rsidRPr="001213F7" w:rsidRDefault="00F21337">
      <w:pPr>
        <w:pStyle w:val="TOC1"/>
        <w:rPr>
          <w:rFonts w:asciiTheme="minorHAnsi" w:eastAsiaTheme="minorEastAsia" w:hAnsiTheme="minorHAnsi"/>
          <w:b w:val="0"/>
          <w:noProof/>
          <w:kern w:val="2"/>
          <w:sz w:val="24"/>
          <w:szCs w:val="24"/>
          <w:lang w:eastAsia="en-AU"/>
          <w14:ligatures w14:val="standardContextual"/>
        </w:rPr>
      </w:pPr>
      <w:hyperlink w:anchor="_Toc228545291" w:history="1">
        <w:r w:rsidRPr="001213F7">
          <w:rPr>
            <w:rStyle w:val="Hyperlink"/>
            <w:noProof/>
          </w:rPr>
          <w:t>Chapter 2 – Economic context</w:t>
        </w:r>
        <w:r w:rsidRPr="001213F7">
          <w:rPr>
            <w:noProof/>
            <w:webHidden/>
          </w:rPr>
          <w:tab/>
        </w:r>
        <w:r w:rsidRPr="001213F7">
          <w:rPr>
            <w:noProof/>
            <w:webHidden/>
          </w:rPr>
          <w:fldChar w:fldCharType="begin"/>
        </w:r>
        <w:r w:rsidRPr="001213F7">
          <w:rPr>
            <w:noProof/>
            <w:webHidden/>
          </w:rPr>
          <w:instrText xml:space="preserve"> PAGEREF _Toc228545291 \h </w:instrText>
        </w:r>
        <w:r w:rsidRPr="001213F7">
          <w:rPr>
            <w:noProof/>
            <w:webHidden/>
          </w:rPr>
        </w:r>
        <w:r w:rsidRPr="001213F7">
          <w:rPr>
            <w:noProof/>
            <w:webHidden/>
          </w:rPr>
          <w:fldChar w:fldCharType="separate"/>
        </w:r>
        <w:r w:rsidR="00F04E56">
          <w:rPr>
            <w:noProof/>
            <w:webHidden/>
          </w:rPr>
          <w:t>15</w:t>
        </w:r>
        <w:r w:rsidRPr="001213F7">
          <w:rPr>
            <w:noProof/>
            <w:webHidden/>
          </w:rPr>
          <w:fldChar w:fldCharType="end"/>
        </w:r>
      </w:hyperlink>
    </w:p>
    <w:p w14:paraId="1C92CC03" w14:textId="36ABC90A" w:rsidR="00F21337" w:rsidRPr="001213F7" w:rsidRDefault="00F21337">
      <w:pPr>
        <w:pStyle w:val="TOC2"/>
        <w:rPr>
          <w:rFonts w:asciiTheme="minorHAnsi" w:eastAsiaTheme="minorEastAsia" w:hAnsiTheme="minorHAnsi"/>
          <w:noProof/>
          <w:kern w:val="2"/>
          <w:sz w:val="24"/>
          <w:szCs w:val="24"/>
          <w:lang w:eastAsia="en-AU"/>
          <w14:ligatures w14:val="standardContextual"/>
        </w:rPr>
      </w:pPr>
      <w:hyperlink w:anchor="_Toc228545292" w:history="1">
        <w:r w:rsidRPr="001213F7">
          <w:rPr>
            <w:rStyle w:val="Hyperlink"/>
            <w:noProof/>
          </w:rPr>
          <w:t>Victorian economic conditions and outlook</w:t>
        </w:r>
        <w:r w:rsidRPr="001213F7">
          <w:rPr>
            <w:noProof/>
            <w:webHidden/>
          </w:rPr>
          <w:tab/>
        </w:r>
        <w:r w:rsidRPr="001213F7">
          <w:rPr>
            <w:noProof/>
            <w:webHidden/>
          </w:rPr>
          <w:fldChar w:fldCharType="begin"/>
        </w:r>
        <w:r w:rsidRPr="001213F7">
          <w:rPr>
            <w:noProof/>
            <w:webHidden/>
          </w:rPr>
          <w:instrText xml:space="preserve"> PAGEREF _Toc228545292 \h </w:instrText>
        </w:r>
        <w:r w:rsidRPr="001213F7">
          <w:rPr>
            <w:noProof/>
            <w:webHidden/>
          </w:rPr>
        </w:r>
        <w:r w:rsidRPr="001213F7">
          <w:rPr>
            <w:noProof/>
            <w:webHidden/>
          </w:rPr>
          <w:fldChar w:fldCharType="separate"/>
        </w:r>
        <w:r w:rsidR="00F04E56">
          <w:rPr>
            <w:noProof/>
            <w:webHidden/>
          </w:rPr>
          <w:t>16</w:t>
        </w:r>
        <w:r w:rsidRPr="001213F7">
          <w:rPr>
            <w:noProof/>
            <w:webHidden/>
          </w:rPr>
          <w:fldChar w:fldCharType="end"/>
        </w:r>
      </w:hyperlink>
    </w:p>
    <w:p w14:paraId="46A95D3D" w14:textId="45B4B1F1" w:rsidR="00F21337" w:rsidRPr="001213F7" w:rsidRDefault="00F21337">
      <w:pPr>
        <w:pStyle w:val="TOC2"/>
        <w:rPr>
          <w:rFonts w:asciiTheme="minorHAnsi" w:eastAsiaTheme="minorEastAsia" w:hAnsiTheme="minorHAnsi"/>
          <w:noProof/>
          <w:kern w:val="2"/>
          <w:sz w:val="24"/>
          <w:szCs w:val="24"/>
          <w:lang w:eastAsia="en-AU"/>
          <w14:ligatures w14:val="standardContextual"/>
        </w:rPr>
      </w:pPr>
      <w:hyperlink w:anchor="_Toc228545293" w:history="1">
        <w:r w:rsidRPr="001213F7">
          <w:rPr>
            <w:rStyle w:val="Hyperlink"/>
            <w:noProof/>
          </w:rPr>
          <w:t>Other economic indicators</w:t>
        </w:r>
        <w:r w:rsidRPr="001213F7">
          <w:rPr>
            <w:noProof/>
            <w:webHidden/>
          </w:rPr>
          <w:tab/>
        </w:r>
        <w:r w:rsidRPr="001213F7">
          <w:rPr>
            <w:noProof/>
            <w:webHidden/>
          </w:rPr>
          <w:fldChar w:fldCharType="begin"/>
        </w:r>
        <w:r w:rsidRPr="001213F7">
          <w:rPr>
            <w:noProof/>
            <w:webHidden/>
          </w:rPr>
          <w:instrText xml:space="preserve"> PAGEREF _Toc228545293 \h </w:instrText>
        </w:r>
        <w:r w:rsidRPr="001213F7">
          <w:rPr>
            <w:noProof/>
            <w:webHidden/>
          </w:rPr>
        </w:r>
        <w:r w:rsidRPr="001213F7">
          <w:rPr>
            <w:noProof/>
            <w:webHidden/>
          </w:rPr>
          <w:fldChar w:fldCharType="separate"/>
        </w:r>
        <w:r w:rsidR="00F04E56">
          <w:rPr>
            <w:noProof/>
            <w:webHidden/>
          </w:rPr>
          <w:t>26</w:t>
        </w:r>
        <w:r w:rsidRPr="001213F7">
          <w:rPr>
            <w:noProof/>
            <w:webHidden/>
          </w:rPr>
          <w:fldChar w:fldCharType="end"/>
        </w:r>
      </w:hyperlink>
    </w:p>
    <w:p w14:paraId="6A6AD84E" w14:textId="722F7595" w:rsidR="00F21337" w:rsidRPr="001213F7" w:rsidRDefault="00F21337">
      <w:pPr>
        <w:pStyle w:val="TOC2"/>
        <w:rPr>
          <w:rFonts w:asciiTheme="minorHAnsi" w:eastAsiaTheme="minorEastAsia" w:hAnsiTheme="minorHAnsi"/>
          <w:noProof/>
          <w:kern w:val="2"/>
          <w:sz w:val="24"/>
          <w:szCs w:val="24"/>
          <w:lang w:eastAsia="en-AU"/>
          <w14:ligatures w14:val="standardContextual"/>
        </w:rPr>
      </w:pPr>
      <w:hyperlink w:anchor="_Toc228545294" w:history="1">
        <w:r w:rsidRPr="001213F7">
          <w:rPr>
            <w:rStyle w:val="Hyperlink"/>
            <w:noProof/>
          </w:rPr>
          <w:t>Australian economic conditions and outlook</w:t>
        </w:r>
        <w:r w:rsidRPr="001213F7">
          <w:rPr>
            <w:noProof/>
            <w:webHidden/>
          </w:rPr>
          <w:tab/>
        </w:r>
        <w:r w:rsidRPr="001213F7">
          <w:rPr>
            <w:noProof/>
            <w:webHidden/>
          </w:rPr>
          <w:fldChar w:fldCharType="begin"/>
        </w:r>
        <w:r w:rsidRPr="001213F7">
          <w:rPr>
            <w:noProof/>
            <w:webHidden/>
          </w:rPr>
          <w:instrText xml:space="preserve"> PAGEREF _Toc228545294 \h </w:instrText>
        </w:r>
        <w:r w:rsidRPr="001213F7">
          <w:rPr>
            <w:noProof/>
            <w:webHidden/>
          </w:rPr>
        </w:r>
        <w:r w:rsidRPr="001213F7">
          <w:rPr>
            <w:noProof/>
            <w:webHidden/>
          </w:rPr>
          <w:fldChar w:fldCharType="separate"/>
        </w:r>
        <w:r w:rsidR="00F04E56">
          <w:rPr>
            <w:noProof/>
            <w:webHidden/>
          </w:rPr>
          <w:t>31</w:t>
        </w:r>
        <w:r w:rsidRPr="001213F7">
          <w:rPr>
            <w:noProof/>
            <w:webHidden/>
          </w:rPr>
          <w:fldChar w:fldCharType="end"/>
        </w:r>
      </w:hyperlink>
    </w:p>
    <w:p w14:paraId="1FF91ECD" w14:textId="2F2DC518" w:rsidR="00F21337" w:rsidRPr="001213F7" w:rsidRDefault="00F21337">
      <w:pPr>
        <w:pStyle w:val="TOC2"/>
        <w:rPr>
          <w:rFonts w:asciiTheme="minorHAnsi" w:eastAsiaTheme="minorEastAsia" w:hAnsiTheme="minorHAnsi"/>
          <w:noProof/>
          <w:kern w:val="2"/>
          <w:sz w:val="24"/>
          <w:szCs w:val="24"/>
          <w:lang w:eastAsia="en-AU"/>
          <w14:ligatures w14:val="standardContextual"/>
        </w:rPr>
      </w:pPr>
      <w:hyperlink w:anchor="_Toc228545295" w:history="1">
        <w:r w:rsidRPr="001213F7">
          <w:rPr>
            <w:rStyle w:val="Hyperlink"/>
            <w:noProof/>
          </w:rPr>
          <w:t>International economic conditions and outlook</w:t>
        </w:r>
        <w:r w:rsidRPr="001213F7">
          <w:rPr>
            <w:noProof/>
            <w:webHidden/>
          </w:rPr>
          <w:tab/>
        </w:r>
        <w:r w:rsidRPr="001213F7">
          <w:rPr>
            <w:noProof/>
            <w:webHidden/>
          </w:rPr>
          <w:fldChar w:fldCharType="begin"/>
        </w:r>
        <w:r w:rsidRPr="001213F7">
          <w:rPr>
            <w:noProof/>
            <w:webHidden/>
          </w:rPr>
          <w:instrText xml:space="preserve"> PAGEREF _Toc228545295 \h </w:instrText>
        </w:r>
        <w:r w:rsidRPr="001213F7">
          <w:rPr>
            <w:noProof/>
            <w:webHidden/>
          </w:rPr>
        </w:r>
        <w:r w:rsidRPr="001213F7">
          <w:rPr>
            <w:noProof/>
            <w:webHidden/>
          </w:rPr>
          <w:fldChar w:fldCharType="separate"/>
        </w:r>
        <w:r w:rsidR="00F04E56">
          <w:rPr>
            <w:noProof/>
            <w:webHidden/>
          </w:rPr>
          <w:t>32</w:t>
        </w:r>
        <w:r w:rsidRPr="001213F7">
          <w:rPr>
            <w:noProof/>
            <w:webHidden/>
          </w:rPr>
          <w:fldChar w:fldCharType="end"/>
        </w:r>
      </w:hyperlink>
    </w:p>
    <w:p w14:paraId="331F589E" w14:textId="316B367E" w:rsidR="00F21337" w:rsidRPr="001213F7" w:rsidRDefault="00F21337">
      <w:pPr>
        <w:pStyle w:val="TOC2"/>
        <w:rPr>
          <w:rFonts w:asciiTheme="minorHAnsi" w:eastAsiaTheme="minorEastAsia" w:hAnsiTheme="minorHAnsi"/>
          <w:noProof/>
          <w:kern w:val="2"/>
          <w:sz w:val="24"/>
          <w:szCs w:val="24"/>
          <w:lang w:eastAsia="en-AU"/>
          <w14:ligatures w14:val="standardContextual"/>
        </w:rPr>
      </w:pPr>
      <w:hyperlink w:anchor="_Toc228545296" w:history="1">
        <w:r w:rsidRPr="001213F7">
          <w:rPr>
            <w:rStyle w:val="Hyperlink"/>
            <w:noProof/>
          </w:rPr>
          <w:t>Risks to the Victorian outlook</w:t>
        </w:r>
        <w:r w:rsidRPr="001213F7">
          <w:rPr>
            <w:noProof/>
            <w:webHidden/>
          </w:rPr>
          <w:tab/>
        </w:r>
        <w:r w:rsidRPr="001213F7">
          <w:rPr>
            <w:noProof/>
            <w:webHidden/>
          </w:rPr>
          <w:fldChar w:fldCharType="begin"/>
        </w:r>
        <w:r w:rsidRPr="001213F7">
          <w:rPr>
            <w:noProof/>
            <w:webHidden/>
          </w:rPr>
          <w:instrText xml:space="preserve"> PAGEREF _Toc228545296 \h </w:instrText>
        </w:r>
        <w:r w:rsidRPr="001213F7">
          <w:rPr>
            <w:noProof/>
            <w:webHidden/>
          </w:rPr>
        </w:r>
        <w:r w:rsidRPr="001213F7">
          <w:rPr>
            <w:noProof/>
            <w:webHidden/>
          </w:rPr>
          <w:fldChar w:fldCharType="separate"/>
        </w:r>
        <w:r w:rsidR="00F04E56">
          <w:rPr>
            <w:noProof/>
            <w:webHidden/>
          </w:rPr>
          <w:t>34</w:t>
        </w:r>
        <w:r w:rsidRPr="001213F7">
          <w:rPr>
            <w:noProof/>
            <w:webHidden/>
          </w:rPr>
          <w:fldChar w:fldCharType="end"/>
        </w:r>
      </w:hyperlink>
    </w:p>
    <w:p w14:paraId="54977D70" w14:textId="68C95598" w:rsidR="00F21337" w:rsidRPr="001213F7" w:rsidRDefault="00F21337">
      <w:pPr>
        <w:pStyle w:val="TOC1"/>
        <w:rPr>
          <w:rFonts w:asciiTheme="minorHAnsi" w:eastAsiaTheme="minorEastAsia" w:hAnsiTheme="minorHAnsi"/>
          <w:b w:val="0"/>
          <w:noProof/>
          <w:kern w:val="2"/>
          <w:sz w:val="24"/>
          <w:szCs w:val="24"/>
          <w:lang w:eastAsia="en-AU"/>
          <w14:ligatures w14:val="standardContextual"/>
        </w:rPr>
      </w:pPr>
      <w:hyperlink w:anchor="_Toc228545297" w:history="1">
        <w:r w:rsidRPr="001213F7">
          <w:rPr>
            <w:rStyle w:val="Hyperlink"/>
            <w:noProof/>
          </w:rPr>
          <w:t>Chapter 3 – Economic management for resilience and prosperity</w:t>
        </w:r>
        <w:r w:rsidRPr="001213F7">
          <w:rPr>
            <w:noProof/>
            <w:webHidden/>
          </w:rPr>
          <w:tab/>
        </w:r>
        <w:r w:rsidRPr="001213F7">
          <w:rPr>
            <w:noProof/>
            <w:webHidden/>
          </w:rPr>
          <w:fldChar w:fldCharType="begin"/>
        </w:r>
        <w:r w:rsidRPr="001213F7">
          <w:rPr>
            <w:noProof/>
            <w:webHidden/>
          </w:rPr>
          <w:instrText xml:space="preserve"> PAGEREF _Toc228545297 \h </w:instrText>
        </w:r>
        <w:r w:rsidRPr="001213F7">
          <w:rPr>
            <w:noProof/>
            <w:webHidden/>
          </w:rPr>
        </w:r>
        <w:r w:rsidRPr="001213F7">
          <w:rPr>
            <w:noProof/>
            <w:webHidden/>
          </w:rPr>
          <w:fldChar w:fldCharType="separate"/>
        </w:r>
        <w:r w:rsidR="00F04E56">
          <w:rPr>
            <w:noProof/>
            <w:webHidden/>
          </w:rPr>
          <w:t>37</w:t>
        </w:r>
        <w:r w:rsidRPr="001213F7">
          <w:rPr>
            <w:noProof/>
            <w:webHidden/>
          </w:rPr>
          <w:fldChar w:fldCharType="end"/>
        </w:r>
      </w:hyperlink>
    </w:p>
    <w:p w14:paraId="52B41BEF" w14:textId="18DA672C" w:rsidR="00F21337" w:rsidRPr="001213F7" w:rsidRDefault="00F21337">
      <w:pPr>
        <w:pStyle w:val="TOC2"/>
        <w:rPr>
          <w:rFonts w:asciiTheme="minorHAnsi" w:eastAsiaTheme="minorEastAsia" w:hAnsiTheme="minorHAnsi"/>
          <w:noProof/>
          <w:kern w:val="2"/>
          <w:sz w:val="24"/>
          <w:szCs w:val="24"/>
          <w:lang w:eastAsia="en-AU"/>
          <w14:ligatures w14:val="standardContextual"/>
        </w:rPr>
      </w:pPr>
      <w:hyperlink w:anchor="_Toc228545298" w:history="1">
        <w:r w:rsidRPr="001213F7">
          <w:rPr>
            <w:rStyle w:val="Hyperlink"/>
            <w:noProof/>
          </w:rPr>
          <w:t>Cost-of-living challenges are weighing on Victorian households</w:t>
        </w:r>
        <w:r w:rsidRPr="001213F7">
          <w:rPr>
            <w:noProof/>
            <w:webHidden/>
          </w:rPr>
          <w:tab/>
        </w:r>
        <w:r w:rsidRPr="001213F7">
          <w:rPr>
            <w:noProof/>
            <w:webHidden/>
          </w:rPr>
          <w:fldChar w:fldCharType="begin"/>
        </w:r>
        <w:r w:rsidRPr="001213F7">
          <w:rPr>
            <w:noProof/>
            <w:webHidden/>
          </w:rPr>
          <w:instrText xml:space="preserve"> PAGEREF _Toc228545298 \h </w:instrText>
        </w:r>
        <w:r w:rsidRPr="001213F7">
          <w:rPr>
            <w:noProof/>
            <w:webHidden/>
          </w:rPr>
        </w:r>
        <w:r w:rsidRPr="001213F7">
          <w:rPr>
            <w:noProof/>
            <w:webHidden/>
          </w:rPr>
          <w:fldChar w:fldCharType="separate"/>
        </w:r>
        <w:r w:rsidR="00F04E56">
          <w:rPr>
            <w:noProof/>
            <w:webHidden/>
          </w:rPr>
          <w:t>37</w:t>
        </w:r>
        <w:r w:rsidRPr="001213F7">
          <w:rPr>
            <w:noProof/>
            <w:webHidden/>
          </w:rPr>
          <w:fldChar w:fldCharType="end"/>
        </w:r>
      </w:hyperlink>
    </w:p>
    <w:p w14:paraId="62A08F64" w14:textId="69809643" w:rsidR="00F21337" w:rsidRPr="001213F7" w:rsidRDefault="00F21337">
      <w:pPr>
        <w:pStyle w:val="TOC2"/>
        <w:rPr>
          <w:rFonts w:asciiTheme="minorHAnsi" w:eastAsiaTheme="minorEastAsia" w:hAnsiTheme="minorHAnsi"/>
          <w:noProof/>
          <w:kern w:val="2"/>
          <w:sz w:val="24"/>
          <w:szCs w:val="24"/>
          <w:lang w:eastAsia="en-AU"/>
          <w14:ligatures w14:val="standardContextual"/>
        </w:rPr>
      </w:pPr>
      <w:hyperlink w:anchor="_Toc228545299" w:history="1">
        <w:r w:rsidRPr="001213F7">
          <w:rPr>
            <w:rStyle w:val="Hyperlink"/>
            <w:noProof/>
          </w:rPr>
          <w:t>Easing living expenses and supporting access to jobs</w:t>
        </w:r>
        <w:r w:rsidRPr="001213F7">
          <w:rPr>
            <w:noProof/>
            <w:webHidden/>
          </w:rPr>
          <w:tab/>
        </w:r>
        <w:r w:rsidRPr="001213F7">
          <w:rPr>
            <w:noProof/>
            <w:webHidden/>
          </w:rPr>
          <w:fldChar w:fldCharType="begin"/>
        </w:r>
        <w:r w:rsidRPr="001213F7">
          <w:rPr>
            <w:noProof/>
            <w:webHidden/>
          </w:rPr>
          <w:instrText xml:space="preserve"> PAGEREF _Toc228545299 \h </w:instrText>
        </w:r>
        <w:r w:rsidRPr="001213F7">
          <w:rPr>
            <w:noProof/>
            <w:webHidden/>
          </w:rPr>
        </w:r>
        <w:r w:rsidRPr="001213F7">
          <w:rPr>
            <w:noProof/>
            <w:webHidden/>
          </w:rPr>
          <w:fldChar w:fldCharType="separate"/>
        </w:r>
        <w:r w:rsidR="00F04E56">
          <w:rPr>
            <w:noProof/>
            <w:webHidden/>
          </w:rPr>
          <w:t>41</w:t>
        </w:r>
        <w:r w:rsidRPr="001213F7">
          <w:rPr>
            <w:noProof/>
            <w:webHidden/>
          </w:rPr>
          <w:fldChar w:fldCharType="end"/>
        </w:r>
      </w:hyperlink>
    </w:p>
    <w:p w14:paraId="44A9DAED" w14:textId="079708E3" w:rsidR="00F21337" w:rsidRPr="001213F7" w:rsidRDefault="00F21337">
      <w:pPr>
        <w:pStyle w:val="TOC2"/>
        <w:rPr>
          <w:rFonts w:asciiTheme="minorHAnsi" w:eastAsiaTheme="minorEastAsia" w:hAnsiTheme="minorHAnsi"/>
          <w:noProof/>
          <w:kern w:val="2"/>
          <w:sz w:val="24"/>
          <w:szCs w:val="24"/>
          <w:lang w:eastAsia="en-AU"/>
          <w14:ligatures w14:val="standardContextual"/>
        </w:rPr>
      </w:pPr>
      <w:hyperlink w:anchor="_Toc228545300" w:history="1">
        <w:r w:rsidRPr="001213F7">
          <w:rPr>
            <w:rStyle w:val="Hyperlink"/>
            <w:noProof/>
          </w:rPr>
          <w:t>Progress on the fiscal strategy while providing cost</w:t>
        </w:r>
        <w:r w:rsidRPr="001213F7">
          <w:rPr>
            <w:rStyle w:val="Hyperlink"/>
            <w:noProof/>
          </w:rPr>
          <w:noBreakHyphen/>
          <w:t>of</w:t>
        </w:r>
        <w:r w:rsidRPr="001213F7">
          <w:rPr>
            <w:rStyle w:val="Hyperlink"/>
            <w:noProof/>
          </w:rPr>
          <w:noBreakHyphen/>
          <w:t>living relief for Victorians</w:t>
        </w:r>
        <w:r w:rsidRPr="001213F7">
          <w:rPr>
            <w:noProof/>
            <w:webHidden/>
          </w:rPr>
          <w:tab/>
        </w:r>
        <w:r w:rsidRPr="001213F7">
          <w:rPr>
            <w:noProof/>
            <w:webHidden/>
          </w:rPr>
          <w:fldChar w:fldCharType="begin"/>
        </w:r>
        <w:r w:rsidRPr="001213F7">
          <w:rPr>
            <w:noProof/>
            <w:webHidden/>
          </w:rPr>
          <w:instrText xml:space="preserve"> PAGEREF _Toc228545300 \h </w:instrText>
        </w:r>
        <w:r w:rsidRPr="001213F7">
          <w:rPr>
            <w:noProof/>
            <w:webHidden/>
          </w:rPr>
        </w:r>
        <w:r w:rsidRPr="001213F7">
          <w:rPr>
            <w:noProof/>
            <w:webHidden/>
          </w:rPr>
          <w:fldChar w:fldCharType="separate"/>
        </w:r>
        <w:r w:rsidR="00F04E56">
          <w:rPr>
            <w:noProof/>
            <w:webHidden/>
          </w:rPr>
          <w:t>44</w:t>
        </w:r>
        <w:r w:rsidRPr="001213F7">
          <w:rPr>
            <w:noProof/>
            <w:webHidden/>
          </w:rPr>
          <w:fldChar w:fldCharType="end"/>
        </w:r>
      </w:hyperlink>
    </w:p>
    <w:p w14:paraId="434089A5" w14:textId="576C4242" w:rsidR="00F21337" w:rsidRPr="001213F7" w:rsidRDefault="00F21337">
      <w:pPr>
        <w:pStyle w:val="TOC1"/>
        <w:rPr>
          <w:rFonts w:asciiTheme="minorHAnsi" w:eastAsiaTheme="minorEastAsia" w:hAnsiTheme="minorHAnsi"/>
          <w:b w:val="0"/>
          <w:noProof/>
          <w:kern w:val="2"/>
          <w:sz w:val="24"/>
          <w:szCs w:val="24"/>
          <w:lang w:eastAsia="en-AU"/>
          <w14:ligatures w14:val="standardContextual"/>
        </w:rPr>
      </w:pPr>
      <w:hyperlink w:anchor="_Toc228545301" w:history="1">
        <w:r w:rsidRPr="001213F7">
          <w:rPr>
            <w:rStyle w:val="Hyperlink"/>
            <w:noProof/>
          </w:rPr>
          <w:t>Chapter 4 – Budget position and outlook</w:t>
        </w:r>
        <w:r w:rsidRPr="001213F7">
          <w:rPr>
            <w:noProof/>
            <w:webHidden/>
          </w:rPr>
          <w:tab/>
        </w:r>
        <w:r w:rsidRPr="001213F7">
          <w:rPr>
            <w:noProof/>
            <w:webHidden/>
          </w:rPr>
          <w:fldChar w:fldCharType="begin"/>
        </w:r>
        <w:r w:rsidRPr="001213F7">
          <w:rPr>
            <w:noProof/>
            <w:webHidden/>
          </w:rPr>
          <w:instrText xml:space="preserve"> PAGEREF _Toc228545301 \h </w:instrText>
        </w:r>
        <w:r w:rsidRPr="001213F7">
          <w:rPr>
            <w:noProof/>
            <w:webHidden/>
          </w:rPr>
        </w:r>
        <w:r w:rsidRPr="001213F7">
          <w:rPr>
            <w:noProof/>
            <w:webHidden/>
          </w:rPr>
          <w:fldChar w:fldCharType="separate"/>
        </w:r>
        <w:r w:rsidR="00F04E56">
          <w:rPr>
            <w:noProof/>
            <w:webHidden/>
          </w:rPr>
          <w:t>45</w:t>
        </w:r>
        <w:r w:rsidRPr="001213F7">
          <w:rPr>
            <w:noProof/>
            <w:webHidden/>
          </w:rPr>
          <w:fldChar w:fldCharType="end"/>
        </w:r>
      </w:hyperlink>
    </w:p>
    <w:p w14:paraId="1DED46BA" w14:textId="22FCCA2B" w:rsidR="00F21337" w:rsidRPr="001213F7" w:rsidRDefault="00F21337">
      <w:pPr>
        <w:pStyle w:val="TOC2"/>
        <w:rPr>
          <w:rFonts w:asciiTheme="minorHAnsi" w:eastAsiaTheme="minorEastAsia" w:hAnsiTheme="minorHAnsi"/>
          <w:noProof/>
          <w:kern w:val="2"/>
          <w:sz w:val="24"/>
          <w:szCs w:val="24"/>
          <w:lang w:eastAsia="en-AU"/>
          <w14:ligatures w14:val="standardContextual"/>
        </w:rPr>
      </w:pPr>
      <w:hyperlink w:anchor="_Toc228545302" w:history="1">
        <w:r w:rsidRPr="001213F7">
          <w:rPr>
            <w:rStyle w:val="Hyperlink"/>
            <w:noProof/>
          </w:rPr>
          <w:t>General government sector</w:t>
        </w:r>
        <w:r w:rsidRPr="001213F7">
          <w:rPr>
            <w:noProof/>
            <w:webHidden/>
          </w:rPr>
          <w:tab/>
        </w:r>
        <w:r w:rsidRPr="001213F7">
          <w:rPr>
            <w:noProof/>
            <w:webHidden/>
          </w:rPr>
          <w:fldChar w:fldCharType="begin"/>
        </w:r>
        <w:r w:rsidRPr="001213F7">
          <w:rPr>
            <w:noProof/>
            <w:webHidden/>
          </w:rPr>
          <w:instrText xml:space="preserve"> PAGEREF _Toc228545302 \h </w:instrText>
        </w:r>
        <w:r w:rsidRPr="001213F7">
          <w:rPr>
            <w:noProof/>
            <w:webHidden/>
          </w:rPr>
        </w:r>
        <w:r w:rsidRPr="001213F7">
          <w:rPr>
            <w:noProof/>
            <w:webHidden/>
          </w:rPr>
          <w:fldChar w:fldCharType="separate"/>
        </w:r>
        <w:r w:rsidR="00F04E56">
          <w:rPr>
            <w:noProof/>
            <w:webHidden/>
          </w:rPr>
          <w:t>46</w:t>
        </w:r>
        <w:r w:rsidRPr="001213F7">
          <w:rPr>
            <w:noProof/>
            <w:webHidden/>
          </w:rPr>
          <w:fldChar w:fldCharType="end"/>
        </w:r>
      </w:hyperlink>
    </w:p>
    <w:p w14:paraId="32BF017F" w14:textId="18369AB9" w:rsidR="00F21337" w:rsidRPr="001213F7" w:rsidRDefault="00F21337">
      <w:pPr>
        <w:pStyle w:val="TOC2"/>
        <w:rPr>
          <w:rFonts w:asciiTheme="minorHAnsi" w:eastAsiaTheme="minorEastAsia" w:hAnsiTheme="minorHAnsi"/>
          <w:noProof/>
          <w:kern w:val="2"/>
          <w:sz w:val="24"/>
          <w:szCs w:val="24"/>
          <w:lang w:eastAsia="en-AU"/>
          <w14:ligatures w14:val="standardContextual"/>
        </w:rPr>
      </w:pPr>
      <w:hyperlink w:anchor="_Toc228545303" w:history="1">
        <w:r w:rsidRPr="001213F7">
          <w:rPr>
            <w:rStyle w:val="Hyperlink"/>
            <w:noProof/>
          </w:rPr>
          <w:t>Budget and forward estimates outlook</w:t>
        </w:r>
        <w:r w:rsidRPr="001213F7">
          <w:rPr>
            <w:noProof/>
            <w:webHidden/>
          </w:rPr>
          <w:tab/>
        </w:r>
        <w:r w:rsidRPr="001213F7">
          <w:rPr>
            <w:noProof/>
            <w:webHidden/>
          </w:rPr>
          <w:fldChar w:fldCharType="begin"/>
        </w:r>
        <w:r w:rsidRPr="001213F7">
          <w:rPr>
            <w:noProof/>
            <w:webHidden/>
          </w:rPr>
          <w:instrText xml:space="preserve"> PAGEREF _Toc228545303 \h </w:instrText>
        </w:r>
        <w:r w:rsidRPr="001213F7">
          <w:rPr>
            <w:noProof/>
            <w:webHidden/>
          </w:rPr>
        </w:r>
        <w:r w:rsidRPr="001213F7">
          <w:rPr>
            <w:noProof/>
            <w:webHidden/>
          </w:rPr>
          <w:fldChar w:fldCharType="separate"/>
        </w:r>
        <w:r w:rsidR="00F04E56">
          <w:rPr>
            <w:noProof/>
            <w:webHidden/>
          </w:rPr>
          <w:t>48</w:t>
        </w:r>
        <w:r w:rsidRPr="001213F7">
          <w:rPr>
            <w:noProof/>
            <w:webHidden/>
          </w:rPr>
          <w:fldChar w:fldCharType="end"/>
        </w:r>
      </w:hyperlink>
    </w:p>
    <w:p w14:paraId="64A93A41" w14:textId="322CE8B6" w:rsidR="00F21337" w:rsidRPr="001213F7" w:rsidRDefault="00F21337">
      <w:pPr>
        <w:pStyle w:val="TOC2"/>
        <w:rPr>
          <w:rFonts w:asciiTheme="minorHAnsi" w:eastAsiaTheme="minorEastAsia" w:hAnsiTheme="minorHAnsi"/>
          <w:noProof/>
          <w:kern w:val="2"/>
          <w:sz w:val="24"/>
          <w:szCs w:val="24"/>
          <w:lang w:eastAsia="en-AU"/>
          <w14:ligatures w14:val="standardContextual"/>
        </w:rPr>
      </w:pPr>
      <w:hyperlink w:anchor="_Toc228545304" w:history="1">
        <w:r w:rsidRPr="001213F7">
          <w:rPr>
            <w:rStyle w:val="Hyperlink"/>
            <w:noProof/>
          </w:rPr>
          <w:t>Fiscal risks</w:t>
        </w:r>
        <w:r w:rsidRPr="001213F7">
          <w:rPr>
            <w:noProof/>
            <w:webHidden/>
          </w:rPr>
          <w:tab/>
        </w:r>
        <w:r w:rsidRPr="001213F7">
          <w:rPr>
            <w:noProof/>
            <w:webHidden/>
          </w:rPr>
          <w:fldChar w:fldCharType="begin"/>
        </w:r>
        <w:r w:rsidRPr="001213F7">
          <w:rPr>
            <w:noProof/>
            <w:webHidden/>
          </w:rPr>
          <w:instrText xml:space="preserve"> PAGEREF _Toc228545304 \h </w:instrText>
        </w:r>
        <w:r w:rsidRPr="001213F7">
          <w:rPr>
            <w:noProof/>
            <w:webHidden/>
          </w:rPr>
        </w:r>
        <w:r w:rsidRPr="001213F7">
          <w:rPr>
            <w:noProof/>
            <w:webHidden/>
          </w:rPr>
          <w:fldChar w:fldCharType="separate"/>
        </w:r>
        <w:r w:rsidR="00F04E56">
          <w:rPr>
            <w:noProof/>
            <w:webHidden/>
          </w:rPr>
          <w:t>57</w:t>
        </w:r>
        <w:r w:rsidRPr="001213F7">
          <w:rPr>
            <w:noProof/>
            <w:webHidden/>
          </w:rPr>
          <w:fldChar w:fldCharType="end"/>
        </w:r>
      </w:hyperlink>
    </w:p>
    <w:p w14:paraId="4B2CB6A4" w14:textId="11539168" w:rsidR="00F21337" w:rsidRPr="001213F7" w:rsidRDefault="00F21337">
      <w:pPr>
        <w:pStyle w:val="TOC1"/>
        <w:rPr>
          <w:rFonts w:asciiTheme="minorHAnsi" w:eastAsiaTheme="minorEastAsia" w:hAnsiTheme="minorHAnsi"/>
          <w:b w:val="0"/>
          <w:noProof/>
          <w:kern w:val="2"/>
          <w:sz w:val="24"/>
          <w:szCs w:val="24"/>
          <w:lang w:eastAsia="en-AU"/>
          <w14:ligatures w14:val="standardContextual"/>
        </w:rPr>
      </w:pPr>
      <w:hyperlink w:anchor="_Toc228545305" w:history="1">
        <w:r w:rsidRPr="001213F7">
          <w:rPr>
            <w:rStyle w:val="Hyperlink"/>
            <w:noProof/>
          </w:rPr>
          <w:t>Chapter 5 – Position and outlook of the broader public sector</w:t>
        </w:r>
        <w:r w:rsidRPr="001213F7">
          <w:rPr>
            <w:noProof/>
            <w:webHidden/>
          </w:rPr>
          <w:tab/>
        </w:r>
        <w:r w:rsidRPr="001213F7">
          <w:rPr>
            <w:noProof/>
            <w:webHidden/>
          </w:rPr>
          <w:fldChar w:fldCharType="begin"/>
        </w:r>
        <w:r w:rsidRPr="001213F7">
          <w:rPr>
            <w:noProof/>
            <w:webHidden/>
          </w:rPr>
          <w:instrText xml:space="preserve"> PAGEREF _Toc228545305 \h </w:instrText>
        </w:r>
        <w:r w:rsidRPr="001213F7">
          <w:rPr>
            <w:noProof/>
            <w:webHidden/>
          </w:rPr>
        </w:r>
        <w:r w:rsidRPr="001213F7">
          <w:rPr>
            <w:noProof/>
            <w:webHidden/>
          </w:rPr>
          <w:fldChar w:fldCharType="separate"/>
        </w:r>
        <w:r w:rsidR="00F04E56">
          <w:rPr>
            <w:noProof/>
            <w:webHidden/>
          </w:rPr>
          <w:t>65</w:t>
        </w:r>
        <w:r w:rsidRPr="001213F7">
          <w:rPr>
            <w:noProof/>
            <w:webHidden/>
          </w:rPr>
          <w:fldChar w:fldCharType="end"/>
        </w:r>
      </w:hyperlink>
    </w:p>
    <w:p w14:paraId="0D67820E" w14:textId="24D13D26" w:rsidR="00F21337" w:rsidRPr="001213F7" w:rsidRDefault="00F21337">
      <w:pPr>
        <w:pStyle w:val="TOC2"/>
        <w:rPr>
          <w:rFonts w:asciiTheme="minorHAnsi" w:eastAsiaTheme="minorEastAsia" w:hAnsiTheme="minorHAnsi"/>
          <w:noProof/>
          <w:kern w:val="2"/>
          <w:sz w:val="24"/>
          <w:szCs w:val="24"/>
          <w:lang w:eastAsia="en-AU"/>
          <w14:ligatures w14:val="standardContextual"/>
        </w:rPr>
      </w:pPr>
      <w:hyperlink w:anchor="_Toc228545306" w:history="1">
        <w:r w:rsidRPr="001213F7">
          <w:rPr>
            <w:rStyle w:val="Hyperlink"/>
            <w:noProof/>
          </w:rPr>
          <w:t>Public non-financial corporations sector</w:t>
        </w:r>
        <w:r w:rsidRPr="001213F7">
          <w:rPr>
            <w:noProof/>
            <w:webHidden/>
          </w:rPr>
          <w:tab/>
        </w:r>
        <w:r w:rsidRPr="001213F7">
          <w:rPr>
            <w:noProof/>
            <w:webHidden/>
          </w:rPr>
          <w:fldChar w:fldCharType="begin"/>
        </w:r>
        <w:r w:rsidRPr="001213F7">
          <w:rPr>
            <w:noProof/>
            <w:webHidden/>
          </w:rPr>
          <w:instrText xml:space="preserve"> PAGEREF _Toc228545306 \h </w:instrText>
        </w:r>
        <w:r w:rsidRPr="001213F7">
          <w:rPr>
            <w:noProof/>
            <w:webHidden/>
          </w:rPr>
        </w:r>
        <w:r w:rsidRPr="001213F7">
          <w:rPr>
            <w:noProof/>
            <w:webHidden/>
          </w:rPr>
          <w:fldChar w:fldCharType="separate"/>
        </w:r>
        <w:r w:rsidR="00F04E56">
          <w:rPr>
            <w:noProof/>
            <w:webHidden/>
          </w:rPr>
          <w:t>67</w:t>
        </w:r>
        <w:r w:rsidRPr="001213F7">
          <w:rPr>
            <w:noProof/>
            <w:webHidden/>
          </w:rPr>
          <w:fldChar w:fldCharType="end"/>
        </w:r>
      </w:hyperlink>
    </w:p>
    <w:p w14:paraId="56F509B5" w14:textId="12CB1E2C" w:rsidR="00F21337" w:rsidRPr="001213F7" w:rsidRDefault="00F21337">
      <w:pPr>
        <w:pStyle w:val="TOC2"/>
        <w:rPr>
          <w:rFonts w:asciiTheme="minorHAnsi" w:eastAsiaTheme="minorEastAsia" w:hAnsiTheme="minorHAnsi"/>
          <w:noProof/>
          <w:kern w:val="2"/>
          <w:sz w:val="24"/>
          <w:szCs w:val="24"/>
          <w:lang w:eastAsia="en-AU"/>
          <w14:ligatures w14:val="standardContextual"/>
        </w:rPr>
      </w:pPr>
      <w:hyperlink w:anchor="_Toc228545307" w:history="1">
        <w:r w:rsidRPr="001213F7">
          <w:rPr>
            <w:rStyle w:val="Hyperlink"/>
            <w:noProof/>
          </w:rPr>
          <w:t>Non-financial public sector</w:t>
        </w:r>
        <w:r w:rsidRPr="001213F7">
          <w:rPr>
            <w:noProof/>
            <w:webHidden/>
          </w:rPr>
          <w:tab/>
        </w:r>
        <w:r w:rsidRPr="001213F7">
          <w:rPr>
            <w:noProof/>
            <w:webHidden/>
          </w:rPr>
          <w:fldChar w:fldCharType="begin"/>
        </w:r>
        <w:r w:rsidRPr="001213F7">
          <w:rPr>
            <w:noProof/>
            <w:webHidden/>
          </w:rPr>
          <w:instrText xml:space="preserve"> PAGEREF _Toc228545307 \h </w:instrText>
        </w:r>
        <w:r w:rsidRPr="001213F7">
          <w:rPr>
            <w:noProof/>
            <w:webHidden/>
          </w:rPr>
        </w:r>
        <w:r w:rsidRPr="001213F7">
          <w:rPr>
            <w:noProof/>
            <w:webHidden/>
          </w:rPr>
          <w:fldChar w:fldCharType="separate"/>
        </w:r>
        <w:r w:rsidR="00F04E56">
          <w:rPr>
            <w:noProof/>
            <w:webHidden/>
          </w:rPr>
          <w:t>69</w:t>
        </w:r>
        <w:r w:rsidRPr="001213F7">
          <w:rPr>
            <w:noProof/>
            <w:webHidden/>
          </w:rPr>
          <w:fldChar w:fldCharType="end"/>
        </w:r>
      </w:hyperlink>
    </w:p>
    <w:p w14:paraId="11824E8E" w14:textId="6AAEE1D3" w:rsidR="00F21337" w:rsidRPr="001213F7" w:rsidRDefault="00F21337">
      <w:pPr>
        <w:pStyle w:val="TOC2"/>
        <w:rPr>
          <w:rFonts w:asciiTheme="minorHAnsi" w:eastAsiaTheme="minorEastAsia" w:hAnsiTheme="minorHAnsi"/>
          <w:noProof/>
          <w:kern w:val="2"/>
          <w:sz w:val="24"/>
          <w:szCs w:val="24"/>
          <w:lang w:eastAsia="en-AU"/>
          <w14:ligatures w14:val="standardContextual"/>
        </w:rPr>
      </w:pPr>
      <w:hyperlink w:anchor="_Toc228545308" w:history="1">
        <w:r w:rsidRPr="001213F7">
          <w:rPr>
            <w:rStyle w:val="Hyperlink"/>
            <w:noProof/>
          </w:rPr>
          <w:t>Public financial corporations sector</w:t>
        </w:r>
        <w:r w:rsidRPr="001213F7">
          <w:rPr>
            <w:noProof/>
            <w:webHidden/>
          </w:rPr>
          <w:tab/>
        </w:r>
        <w:r w:rsidRPr="001213F7">
          <w:rPr>
            <w:noProof/>
            <w:webHidden/>
          </w:rPr>
          <w:fldChar w:fldCharType="begin"/>
        </w:r>
        <w:r w:rsidRPr="001213F7">
          <w:rPr>
            <w:noProof/>
            <w:webHidden/>
          </w:rPr>
          <w:instrText xml:space="preserve"> PAGEREF _Toc228545308 \h </w:instrText>
        </w:r>
        <w:r w:rsidRPr="001213F7">
          <w:rPr>
            <w:noProof/>
            <w:webHidden/>
          </w:rPr>
        </w:r>
        <w:r w:rsidRPr="001213F7">
          <w:rPr>
            <w:noProof/>
            <w:webHidden/>
          </w:rPr>
          <w:fldChar w:fldCharType="separate"/>
        </w:r>
        <w:r w:rsidR="00F04E56">
          <w:rPr>
            <w:noProof/>
            <w:webHidden/>
          </w:rPr>
          <w:t>73</w:t>
        </w:r>
        <w:r w:rsidRPr="001213F7">
          <w:rPr>
            <w:noProof/>
            <w:webHidden/>
          </w:rPr>
          <w:fldChar w:fldCharType="end"/>
        </w:r>
      </w:hyperlink>
    </w:p>
    <w:p w14:paraId="4F0C6358" w14:textId="566B4770" w:rsidR="00F21337" w:rsidRPr="001213F7" w:rsidRDefault="00F21337">
      <w:pPr>
        <w:pStyle w:val="TOC2"/>
        <w:rPr>
          <w:rFonts w:asciiTheme="minorHAnsi" w:eastAsiaTheme="minorEastAsia" w:hAnsiTheme="minorHAnsi"/>
          <w:noProof/>
          <w:kern w:val="2"/>
          <w:sz w:val="24"/>
          <w:szCs w:val="24"/>
          <w:lang w:eastAsia="en-AU"/>
          <w14:ligatures w14:val="standardContextual"/>
        </w:rPr>
      </w:pPr>
      <w:hyperlink w:anchor="_Toc228545309" w:history="1">
        <w:r w:rsidRPr="001213F7">
          <w:rPr>
            <w:rStyle w:val="Hyperlink"/>
            <w:noProof/>
          </w:rPr>
          <w:t>State of Victoria</w:t>
        </w:r>
        <w:r w:rsidRPr="001213F7">
          <w:rPr>
            <w:noProof/>
            <w:webHidden/>
          </w:rPr>
          <w:tab/>
        </w:r>
        <w:r w:rsidRPr="001213F7">
          <w:rPr>
            <w:noProof/>
            <w:webHidden/>
          </w:rPr>
          <w:fldChar w:fldCharType="begin"/>
        </w:r>
        <w:r w:rsidRPr="001213F7">
          <w:rPr>
            <w:noProof/>
            <w:webHidden/>
          </w:rPr>
          <w:instrText xml:space="preserve"> PAGEREF _Toc228545309 \h </w:instrText>
        </w:r>
        <w:r w:rsidRPr="001213F7">
          <w:rPr>
            <w:noProof/>
            <w:webHidden/>
          </w:rPr>
        </w:r>
        <w:r w:rsidRPr="001213F7">
          <w:rPr>
            <w:noProof/>
            <w:webHidden/>
          </w:rPr>
          <w:fldChar w:fldCharType="separate"/>
        </w:r>
        <w:r w:rsidR="00F04E56">
          <w:rPr>
            <w:noProof/>
            <w:webHidden/>
          </w:rPr>
          <w:t>76</w:t>
        </w:r>
        <w:r w:rsidRPr="001213F7">
          <w:rPr>
            <w:noProof/>
            <w:webHidden/>
          </w:rPr>
          <w:fldChar w:fldCharType="end"/>
        </w:r>
      </w:hyperlink>
    </w:p>
    <w:p w14:paraId="294C04EE" w14:textId="6511BD9F" w:rsidR="00F21337" w:rsidRPr="001213F7" w:rsidRDefault="00F21337">
      <w:pPr>
        <w:pStyle w:val="TOC1"/>
        <w:rPr>
          <w:rFonts w:asciiTheme="minorHAnsi" w:eastAsiaTheme="minorEastAsia" w:hAnsiTheme="minorHAnsi"/>
          <w:b w:val="0"/>
          <w:noProof/>
          <w:kern w:val="2"/>
          <w:sz w:val="24"/>
          <w:szCs w:val="24"/>
          <w:lang w:eastAsia="en-AU"/>
          <w14:ligatures w14:val="standardContextual"/>
        </w:rPr>
      </w:pPr>
      <w:hyperlink w:anchor="_Toc228545310" w:history="1">
        <w:r w:rsidRPr="001213F7">
          <w:rPr>
            <w:rStyle w:val="Hyperlink"/>
            <w:noProof/>
          </w:rPr>
          <w:t>Chapter 6 – Sensitivity analysis</w:t>
        </w:r>
        <w:r w:rsidRPr="001213F7">
          <w:rPr>
            <w:noProof/>
            <w:webHidden/>
          </w:rPr>
          <w:tab/>
        </w:r>
        <w:r w:rsidRPr="001213F7">
          <w:rPr>
            <w:noProof/>
            <w:webHidden/>
          </w:rPr>
          <w:fldChar w:fldCharType="begin"/>
        </w:r>
        <w:r w:rsidRPr="001213F7">
          <w:rPr>
            <w:noProof/>
            <w:webHidden/>
          </w:rPr>
          <w:instrText xml:space="preserve"> PAGEREF _Toc228545310 \h </w:instrText>
        </w:r>
        <w:r w:rsidRPr="001213F7">
          <w:rPr>
            <w:noProof/>
            <w:webHidden/>
          </w:rPr>
        </w:r>
        <w:r w:rsidRPr="001213F7">
          <w:rPr>
            <w:noProof/>
            <w:webHidden/>
          </w:rPr>
          <w:fldChar w:fldCharType="separate"/>
        </w:r>
        <w:r w:rsidR="00F04E56">
          <w:rPr>
            <w:noProof/>
            <w:webHidden/>
          </w:rPr>
          <w:t>79</w:t>
        </w:r>
        <w:r w:rsidRPr="001213F7">
          <w:rPr>
            <w:noProof/>
            <w:webHidden/>
          </w:rPr>
          <w:fldChar w:fldCharType="end"/>
        </w:r>
      </w:hyperlink>
    </w:p>
    <w:p w14:paraId="6465EFC2" w14:textId="638EF618" w:rsidR="00F21337" w:rsidRPr="001213F7" w:rsidRDefault="00F21337">
      <w:pPr>
        <w:pStyle w:val="TOC2"/>
        <w:rPr>
          <w:rFonts w:asciiTheme="minorHAnsi" w:eastAsiaTheme="minorEastAsia" w:hAnsiTheme="minorHAnsi"/>
          <w:noProof/>
          <w:kern w:val="2"/>
          <w:sz w:val="24"/>
          <w:szCs w:val="24"/>
          <w:lang w:eastAsia="en-AU"/>
          <w14:ligatures w14:val="standardContextual"/>
        </w:rPr>
      </w:pPr>
      <w:hyperlink w:anchor="_Toc228545311" w:history="1">
        <w:r w:rsidRPr="001213F7">
          <w:rPr>
            <w:rStyle w:val="Hyperlink"/>
            <w:noProof/>
          </w:rPr>
          <w:t>Fiscal effects of variations to the economic outlook</w:t>
        </w:r>
        <w:r w:rsidRPr="001213F7">
          <w:rPr>
            <w:noProof/>
            <w:webHidden/>
          </w:rPr>
          <w:tab/>
        </w:r>
        <w:r w:rsidRPr="001213F7">
          <w:rPr>
            <w:noProof/>
            <w:webHidden/>
          </w:rPr>
          <w:fldChar w:fldCharType="begin"/>
        </w:r>
        <w:r w:rsidRPr="001213F7">
          <w:rPr>
            <w:noProof/>
            <w:webHidden/>
          </w:rPr>
          <w:instrText xml:space="preserve"> PAGEREF _Toc228545311 \h </w:instrText>
        </w:r>
        <w:r w:rsidRPr="001213F7">
          <w:rPr>
            <w:noProof/>
            <w:webHidden/>
          </w:rPr>
        </w:r>
        <w:r w:rsidRPr="001213F7">
          <w:rPr>
            <w:noProof/>
            <w:webHidden/>
          </w:rPr>
          <w:fldChar w:fldCharType="separate"/>
        </w:r>
        <w:r w:rsidR="00F04E56">
          <w:rPr>
            <w:noProof/>
            <w:webHidden/>
          </w:rPr>
          <w:t>80</w:t>
        </w:r>
        <w:r w:rsidRPr="001213F7">
          <w:rPr>
            <w:noProof/>
            <w:webHidden/>
          </w:rPr>
          <w:fldChar w:fldCharType="end"/>
        </w:r>
      </w:hyperlink>
    </w:p>
    <w:p w14:paraId="35ABC263" w14:textId="22ED43BA" w:rsidR="00F21337" w:rsidRPr="001213F7" w:rsidRDefault="00F21337">
      <w:pPr>
        <w:pStyle w:val="TOC2"/>
        <w:rPr>
          <w:rFonts w:asciiTheme="minorHAnsi" w:eastAsiaTheme="minorEastAsia" w:hAnsiTheme="minorHAnsi"/>
          <w:noProof/>
          <w:kern w:val="2"/>
          <w:sz w:val="24"/>
          <w:szCs w:val="24"/>
          <w:lang w:eastAsia="en-AU"/>
          <w14:ligatures w14:val="standardContextual"/>
        </w:rPr>
      </w:pPr>
      <w:hyperlink w:anchor="_Toc228545312" w:history="1">
        <w:r w:rsidRPr="001213F7">
          <w:rPr>
            <w:rStyle w:val="Hyperlink"/>
            <w:noProof/>
          </w:rPr>
          <w:t>Sensitivity to independent variations in major economic parameters</w:t>
        </w:r>
        <w:r w:rsidRPr="001213F7">
          <w:rPr>
            <w:noProof/>
            <w:webHidden/>
          </w:rPr>
          <w:tab/>
        </w:r>
        <w:r w:rsidRPr="001213F7">
          <w:rPr>
            <w:noProof/>
            <w:webHidden/>
          </w:rPr>
          <w:fldChar w:fldCharType="begin"/>
        </w:r>
        <w:r w:rsidRPr="001213F7">
          <w:rPr>
            <w:noProof/>
            <w:webHidden/>
          </w:rPr>
          <w:instrText xml:space="preserve"> PAGEREF _Toc228545312 \h </w:instrText>
        </w:r>
        <w:r w:rsidRPr="001213F7">
          <w:rPr>
            <w:noProof/>
            <w:webHidden/>
          </w:rPr>
        </w:r>
        <w:r w:rsidRPr="001213F7">
          <w:rPr>
            <w:noProof/>
            <w:webHidden/>
          </w:rPr>
          <w:fldChar w:fldCharType="separate"/>
        </w:r>
        <w:r w:rsidR="00F04E56">
          <w:rPr>
            <w:noProof/>
            <w:webHidden/>
          </w:rPr>
          <w:t>89</w:t>
        </w:r>
        <w:r w:rsidRPr="001213F7">
          <w:rPr>
            <w:noProof/>
            <w:webHidden/>
          </w:rPr>
          <w:fldChar w:fldCharType="end"/>
        </w:r>
      </w:hyperlink>
    </w:p>
    <w:p w14:paraId="194D32CC" w14:textId="12FF98CB" w:rsidR="00F21337" w:rsidRPr="001213F7" w:rsidRDefault="00F21337">
      <w:pPr>
        <w:pStyle w:val="TOC1"/>
        <w:rPr>
          <w:rFonts w:asciiTheme="minorHAnsi" w:eastAsiaTheme="minorEastAsia" w:hAnsiTheme="minorHAnsi"/>
          <w:b w:val="0"/>
          <w:noProof/>
          <w:kern w:val="2"/>
          <w:sz w:val="24"/>
          <w:szCs w:val="24"/>
          <w:lang w:eastAsia="en-AU"/>
          <w14:ligatures w14:val="standardContextual"/>
        </w:rPr>
      </w:pPr>
      <w:hyperlink w:anchor="_Toc228545313" w:history="1">
        <w:r w:rsidRPr="001213F7">
          <w:rPr>
            <w:rStyle w:val="Hyperlink"/>
            <w:noProof/>
          </w:rPr>
          <w:t>Style conventions</w:t>
        </w:r>
        <w:r w:rsidRPr="001213F7">
          <w:rPr>
            <w:noProof/>
            <w:webHidden/>
          </w:rPr>
          <w:tab/>
        </w:r>
        <w:r w:rsidRPr="001213F7">
          <w:rPr>
            <w:noProof/>
            <w:webHidden/>
          </w:rPr>
          <w:fldChar w:fldCharType="begin"/>
        </w:r>
        <w:r w:rsidRPr="001213F7">
          <w:rPr>
            <w:noProof/>
            <w:webHidden/>
          </w:rPr>
          <w:instrText xml:space="preserve"> PAGEREF _Toc228545313 \h </w:instrText>
        </w:r>
        <w:r w:rsidRPr="001213F7">
          <w:rPr>
            <w:noProof/>
            <w:webHidden/>
          </w:rPr>
        </w:r>
        <w:r w:rsidRPr="001213F7">
          <w:rPr>
            <w:noProof/>
            <w:webHidden/>
          </w:rPr>
          <w:fldChar w:fldCharType="separate"/>
        </w:r>
        <w:r w:rsidR="00F04E56">
          <w:rPr>
            <w:noProof/>
            <w:webHidden/>
          </w:rPr>
          <w:t>93</w:t>
        </w:r>
        <w:r w:rsidRPr="001213F7">
          <w:rPr>
            <w:noProof/>
            <w:webHidden/>
          </w:rPr>
          <w:fldChar w:fldCharType="end"/>
        </w:r>
      </w:hyperlink>
    </w:p>
    <w:p w14:paraId="25D4F1DF" w14:textId="41A285FD" w:rsidR="00934A43" w:rsidRPr="001213F7" w:rsidRDefault="0024230A">
      <w:pPr>
        <w:keepLines w:val="0"/>
      </w:pPr>
      <w:r w:rsidRPr="001213F7">
        <w:fldChar w:fldCharType="end"/>
      </w:r>
    </w:p>
    <w:p w14:paraId="3610D861" w14:textId="77777777" w:rsidR="00C87FDE" w:rsidRPr="001213F7" w:rsidRDefault="00C87FDE">
      <w:pPr>
        <w:keepLines w:val="0"/>
      </w:pPr>
    </w:p>
    <w:p w14:paraId="3BBFDDDC" w14:textId="3E01964B" w:rsidR="00102AC5" w:rsidRPr="001213F7" w:rsidRDefault="00102AC5">
      <w:pPr>
        <w:keepLines w:val="0"/>
        <w:sectPr w:rsidR="00102AC5" w:rsidRPr="001213F7" w:rsidSect="00CF1095">
          <w:footerReference w:type="even" r:id="rId24"/>
          <w:footerReference w:type="default" r:id="rId25"/>
          <w:type w:val="oddPage"/>
          <w:pgSz w:w="9979" w:h="14175"/>
          <w:pgMar w:top="1138" w:right="1138" w:bottom="1138" w:left="1138" w:header="706" w:footer="562" w:gutter="0"/>
          <w:pgNumType w:fmt="lowerRoman" w:start="1"/>
          <w:cols w:space="708"/>
          <w:docGrid w:linePitch="360"/>
        </w:sectPr>
      </w:pPr>
    </w:p>
    <w:p w14:paraId="07A546BC" w14:textId="77777777" w:rsidR="00900469" w:rsidRPr="001213F7" w:rsidRDefault="00900469" w:rsidP="00A834A0">
      <w:pPr>
        <w:pStyle w:val="ChapterHeading"/>
      </w:pPr>
      <w:bookmarkStart w:id="0" w:name="_Toc228294205"/>
      <w:bookmarkStart w:id="1" w:name="_Toc228545287"/>
      <w:r w:rsidRPr="001213F7">
        <w:rPr>
          <w:rStyle w:val="Chapternumber"/>
        </w:rPr>
        <w:lastRenderedPageBreak/>
        <w:t>Chapter 1</w:t>
      </w:r>
      <w:r w:rsidRPr="001213F7">
        <w:t xml:space="preserve"> – Economic and fiscal overview</w:t>
      </w:r>
      <w:bookmarkEnd w:id="0"/>
      <w:bookmarkEnd w:id="1"/>
    </w:p>
    <w:p w14:paraId="6A9756FD" w14:textId="77777777" w:rsidR="00900469" w:rsidRPr="001213F7" w:rsidRDefault="00900469" w:rsidP="00B62CB0">
      <w:pPr>
        <w:pStyle w:val="Heading1"/>
      </w:pPr>
      <w:bookmarkStart w:id="2" w:name="_Toc228294206"/>
      <w:bookmarkStart w:id="3" w:name="_Toc228545288"/>
      <w:r w:rsidRPr="001213F7">
        <w:rPr>
          <w:caps w:val="0"/>
        </w:rPr>
        <w:t>V</w:t>
      </w:r>
      <w:r w:rsidRPr="001213F7">
        <w:t>ictoria’s resilient economy and healthy labour market</w:t>
      </w:r>
      <w:bookmarkEnd w:id="2"/>
      <w:bookmarkEnd w:id="3"/>
    </w:p>
    <w:p w14:paraId="4AF11DB0" w14:textId="77777777" w:rsidR="00900469" w:rsidRPr="001213F7" w:rsidRDefault="00900469">
      <w:r w:rsidRPr="001213F7">
        <w:t xml:space="preserve">Current national and global challenges mean the economic outlook is subject to a high degree of uncertainty, but the economy enters this period on a firm footing. Victoria’s economy continues to grow, and the labour market is healthy, with the state in a resilient position to withstand current global challenges. Economic activity picked up during 2025, and the economy has continued to generate new jobs. The share of Victorians in employment remains historically high and the unemployment rate, at 4.8 per cent, remains below its long-term pre-pandemic average. </w:t>
      </w:r>
    </w:p>
    <w:p w14:paraId="1F0CC82C" w14:textId="2E574367" w:rsidR="00900469" w:rsidRPr="001213F7" w:rsidRDefault="00900469">
      <w:pPr>
        <w:ind w:right="-29"/>
      </w:pPr>
      <w:r w:rsidRPr="001213F7">
        <w:t>In the short term, national and global economic headwinds are resulting in heightened cost-of-living pressures, especially for Victorians on lower incomes. Inflation increased strongly in the second half of 2025 and early 2026, nationally and in Victoria. In response to rising inflation, the Reserve Bank of Australia (RBA) increased the cash rate in both February and March 2026 and is expected to increase the cash rate further this year, placing added pressure on households.</w:t>
      </w:r>
    </w:p>
    <w:p w14:paraId="486814A7" w14:textId="1502975A" w:rsidR="00900469" w:rsidRPr="001213F7" w:rsidRDefault="00900469">
      <w:pPr>
        <w:rPr>
          <w:rFonts w:cs="Calibri"/>
        </w:rPr>
      </w:pPr>
      <w:r w:rsidRPr="001213F7">
        <w:t>Since late February 2026, the Middle East conflict has also led to a surge in global oil prices, which is intensifying cost</w:t>
      </w:r>
      <w:r w:rsidRPr="001213F7">
        <w:noBreakHyphen/>
        <w:t xml:space="preserve">of-living pressures on households. Victorian </w:t>
      </w:r>
      <w:r w:rsidRPr="001213F7">
        <w:rPr>
          <w:rFonts w:cs="Calibri"/>
        </w:rPr>
        <w:t>petrol prices reached an average of $2.50 per litre in late March 2026, an increase of 85 cents per litre compared with mid-February 2026. Following the reduction in the fuel excise from 1 April, petrol averaged about $2.25 per litre in the first half of April – though the cost of filling a 55</w:t>
      </w:r>
      <w:r w:rsidRPr="001213F7">
        <w:rPr>
          <w:rFonts w:cs="Calibri"/>
        </w:rPr>
        <w:noBreakHyphen/>
        <w:t>litre tank of petrol</w:t>
      </w:r>
      <w:r w:rsidRPr="001213F7" w:rsidDel="00FE71F5">
        <w:rPr>
          <w:rFonts w:cs="Calibri"/>
        </w:rPr>
        <w:t xml:space="preserve"> </w:t>
      </w:r>
      <w:r w:rsidR="007260C0" w:rsidRPr="001213F7">
        <w:rPr>
          <w:rFonts w:cs="Calibri"/>
        </w:rPr>
        <w:t xml:space="preserve">was still </w:t>
      </w:r>
      <w:r w:rsidRPr="001213F7">
        <w:rPr>
          <w:rFonts w:cs="Calibri"/>
        </w:rPr>
        <w:t xml:space="preserve">about $35 </w:t>
      </w:r>
      <w:r w:rsidR="007260C0" w:rsidRPr="001213F7">
        <w:rPr>
          <w:rFonts w:cs="Calibri"/>
        </w:rPr>
        <w:t xml:space="preserve">higher </w:t>
      </w:r>
      <w:r w:rsidRPr="001213F7">
        <w:rPr>
          <w:rFonts w:cs="Calibri"/>
        </w:rPr>
        <w:t xml:space="preserve">compared with February prices. Petrol and diesel, along with </w:t>
      </w:r>
      <w:r w:rsidRPr="001213F7">
        <w:t>agricultural fertilisers and various industrial chemicals that are</w:t>
      </w:r>
      <w:r w:rsidRPr="001213F7">
        <w:rPr>
          <w:rFonts w:cs="Calibri"/>
        </w:rPr>
        <w:t xml:space="preserve"> also facing trade disruptions due to the Middle East conflict, are key contributors to the cost of production for the freight, agriculture, manufacturing and construction sectors. A spillover of higher energy costs into higher prices for goods and services – such as food and household utilities – </w:t>
      </w:r>
      <w:r w:rsidR="00187517" w:rsidRPr="001213F7">
        <w:rPr>
          <w:rFonts w:cs="Calibri"/>
        </w:rPr>
        <w:t>is forecast to</w:t>
      </w:r>
      <w:r w:rsidRPr="001213F7">
        <w:rPr>
          <w:rFonts w:cs="Calibri"/>
        </w:rPr>
        <w:t xml:space="preserve"> add further to cost-of-living pressures.</w:t>
      </w:r>
    </w:p>
    <w:p w14:paraId="5BED2E3F" w14:textId="2693BB8B" w:rsidR="00900469" w:rsidRPr="001213F7" w:rsidRDefault="00900469">
      <w:r w:rsidRPr="001213F7">
        <w:rPr>
          <w:rFonts w:cs="Calibri"/>
        </w:rPr>
        <w:t xml:space="preserve">While these developments and risks are material, </w:t>
      </w:r>
      <w:r w:rsidRPr="001213F7">
        <w:t xml:space="preserve">Victoria’s economy has navigated challenging periods in recent years and enters this current period of uncertainty with </w:t>
      </w:r>
      <w:r w:rsidR="003D5EAE" w:rsidRPr="001213F7">
        <w:t>the labour market healthy, and</w:t>
      </w:r>
      <w:r w:rsidRPr="001213F7">
        <w:t xml:space="preserve"> </w:t>
      </w:r>
      <w:r w:rsidR="00D13D47" w:rsidRPr="001213F7">
        <w:t xml:space="preserve">economic </w:t>
      </w:r>
      <w:r w:rsidRPr="001213F7">
        <w:t>activity</w:t>
      </w:r>
      <w:r w:rsidR="00D13D47" w:rsidRPr="001213F7">
        <w:t xml:space="preserve">, </w:t>
      </w:r>
      <w:r w:rsidRPr="001213F7">
        <w:t xml:space="preserve">business investment and </w:t>
      </w:r>
      <w:r w:rsidR="003D5EAE" w:rsidRPr="001213F7">
        <w:t>employment all growing</w:t>
      </w:r>
      <w:r w:rsidRPr="001213F7">
        <w:t>. Victoria’s skilled workforce, elevated business investment, diverse industry mix and growing population also contribute to the economy being in a good position to navigate this uncertainty and continue growing in the years ahead.</w:t>
      </w:r>
    </w:p>
    <w:p w14:paraId="35141016" w14:textId="74D9A347" w:rsidR="00900469" w:rsidRPr="001213F7" w:rsidRDefault="00900469">
      <w:pPr>
        <w:rPr>
          <w:rFonts w:eastAsia="Garamond"/>
        </w:rPr>
      </w:pPr>
      <w:r w:rsidRPr="001213F7">
        <w:rPr>
          <w:rFonts w:ascii="Garamond" w:hAnsi="Garamond"/>
        </w:rPr>
        <w:lastRenderedPageBreak/>
        <w:t>In 2025</w:t>
      </w:r>
      <w:r w:rsidRPr="001213F7">
        <w:rPr>
          <w:rFonts w:ascii="Garamond" w:hAnsi="Garamond"/>
        </w:rPr>
        <w:noBreakHyphen/>
        <w:t>26, Victoria’s economy is expected to grow by 1.75 per cent in real terms. This is higher than the growth in the previous two years. This represents a continued recovery from the earlier period of high national inflation and elevated interest rates in 2023 and 2024. The recent pickup in economic activity has been driven by consumer spending and dwelling investment. In annual terms, the most recent data show that dwelling investment is at a six</w:t>
      </w:r>
      <w:r w:rsidRPr="001213F7">
        <w:rPr>
          <w:rFonts w:ascii="Garamond" w:hAnsi="Garamond"/>
        </w:rPr>
        <w:noBreakHyphen/>
        <w:t>year high. Business investment is also elevated and rose to a record level in the December quarter 2025. Real gross state product (GSP) is currently estimated to be almost 15 per cent higher than it was in 2018</w:t>
      </w:r>
      <w:r w:rsidRPr="001213F7">
        <w:rPr>
          <w:rFonts w:ascii="Garamond" w:hAnsi="Garamond" w:cs="Aptos"/>
        </w:rPr>
        <w:noBreakHyphen/>
      </w:r>
      <w:r w:rsidRPr="001213F7">
        <w:rPr>
          <w:rFonts w:ascii="Garamond" w:hAnsi="Garamond"/>
        </w:rPr>
        <w:t>19, before the onset of the COVID</w:t>
      </w:r>
      <w:r w:rsidRPr="001213F7">
        <w:rPr>
          <w:rFonts w:ascii="Garamond" w:hAnsi="Garamond"/>
        </w:rPr>
        <w:noBreakHyphen/>
        <w:t>19 pandemic. This underscores the state economy</w:t>
      </w:r>
      <w:r w:rsidRPr="001213F7">
        <w:rPr>
          <w:rFonts w:ascii="Garamond" w:hAnsi="Garamond" w:cs="Aptos"/>
        </w:rPr>
        <w:t>’</w:t>
      </w:r>
      <w:r w:rsidRPr="001213F7">
        <w:rPr>
          <w:rFonts w:ascii="Garamond" w:hAnsi="Garamond"/>
        </w:rPr>
        <w:t>s ability to recover from economic shocks.</w:t>
      </w:r>
    </w:p>
    <w:p w14:paraId="5DB9F6BB" w14:textId="77777777" w:rsidR="00900469" w:rsidRPr="001213F7" w:rsidRDefault="00900469">
      <w:r w:rsidRPr="001213F7">
        <w:t>Recent strength in business investment builds on momentum over recent years, during which time Victoria outpaced the nation on this measure. Victorian business investment has risen by 13 per cent over the three years to 2025, compared with 9 per cent in the rest of Australia (see Chart 1.1). Reflecting this strong growth, business investment per worker reached its highest share on record in 2023</w:t>
      </w:r>
      <w:r w:rsidRPr="001213F7">
        <w:noBreakHyphen/>
        <w:t>24; it remained near that level in 2024</w:t>
      </w:r>
      <w:r w:rsidRPr="001213F7">
        <w:noBreakHyphen/>
        <w:t xml:space="preserve">25 and is expected to continue to be elevated over coming years. </w:t>
      </w:r>
    </w:p>
    <w:p w14:paraId="423B3C80" w14:textId="5A33FA24" w:rsidR="00900469" w:rsidRPr="001213F7" w:rsidRDefault="00900469">
      <w:pPr>
        <w:pStyle w:val="TableHeading"/>
        <w:spacing w:after="0"/>
        <w:rPr>
          <w:vertAlign w:val="superscript"/>
        </w:rPr>
      </w:pPr>
      <w:r w:rsidRPr="001213F7">
        <w:t xml:space="preserve">Chart 1.1: </w:t>
      </w:r>
      <w:r w:rsidRPr="001213F7">
        <w:tab/>
        <w:t xml:space="preserve">Growth in business investment and employment over the three years to 2025, Victoria and the rest of Australia </w:t>
      </w:r>
      <w:r w:rsidRPr="001213F7">
        <w:rPr>
          <w:vertAlign w:val="superscript"/>
        </w:rPr>
        <w:t>(a)</w:t>
      </w:r>
    </w:p>
    <w:p w14:paraId="758CC8CC" w14:textId="77777777" w:rsidR="00900469" w:rsidRPr="001213F7" w:rsidRDefault="00900469">
      <w:pPr>
        <w:spacing w:before="60"/>
      </w:pPr>
      <w:r w:rsidRPr="001213F7">
        <w:rPr>
          <w:noProof/>
        </w:rPr>
        <w:drawing>
          <wp:inline distT="0" distB="0" distL="0" distR="0" wp14:anchorId="29687A39" wp14:editId="78E11F62">
            <wp:extent cx="2363190" cy="2329180"/>
            <wp:effectExtent l="0" t="0" r="0" b="0"/>
            <wp:docPr id="206113648" name="Chart 1">
              <a:extLst xmlns:a="http://schemas.openxmlformats.org/drawingml/2006/main">
                <a:ext uri="{FF2B5EF4-FFF2-40B4-BE49-F238E27FC236}">
                  <a16:creationId xmlns:a16="http://schemas.microsoft.com/office/drawing/2014/main" id="{5CF7FED8-728C-C367-6D89-68842C847A6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r w:rsidRPr="001213F7">
        <w:t xml:space="preserve">   </w:t>
      </w:r>
      <w:r w:rsidRPr="001213F7">
        <w:rPr>
          <w:noProof/>
        </w:rPr>
        <w:drawing>
          <wp:inline distT="0" distB="0" distL="0" distR="0" wp14:anchorId="461BB599" wp14:editId="6F7DDCD9">
            <wp:extent cx="2357120" cy="2388235"/>
            <wp:effectExtent l="0" t="0" r="5080" b="0"/>
            <wp:docPr id="2116071271" name="Chart 1">
              <a:extLst xmlns:a="http://schemas.openxmlformats.org/drawingml/2006/main">
                <a:ext uri="{FF2B5EF4-FFF2-40B4-BE49-F238E27FC236}">
                  <a16:creationId xmlns:a16="http://schemas.microsoft.com/office/drawing/2014/main" id="{37BA4F9B-D3CA-2C74-7473-592F153A668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35003332" w14:textId="77777777" w:rsidR="00900469" w:rsidRPr="001213F7" w:rsidRDefault="00900469">
      <w:pPr>
        <w:pStyle w:val="Source"/>
      </w:pPr>
      <w:r w:rsidRPr="001213F7">
        <w:t>Source: Australian Bureau of Statistics</w:t>
      </w:r>
    </w:p>
    <w:p w14:paraId="63B8CD05" w14:textId="77777777" w:rsidR="00900469" w:rsidRPr="001213F7" w:rsidRDefault="00900469">
      <w:pPr>
        <w:pStyle w:val="Note"/>
      </w:pPr>
      <w:r w:rsidRPr="001213F7">
        <w:t>Note:</w:t>
      </w:r>
    </w:p>
    <w:p w14:paraId="439E1A13" w14:textId="77777777" w:rsidR="00900469" w:rsidRPr="001213F7" w:rsidRDefault="00900469" w:rsidP="00F9042B">
      <w:pPr>
        <w:pStyle w:val="Note"/>
      </w:pPr>
      <w:r w:rsidRPr="001213F7">
        <w:t>(a)</w:t>
      </w:r>
      <w:r w:rsidRPr="001213F7">
        <w:tab/>
        <w:t>Growth in business investment and employment are in year-average terms from 2022 to 2025 calendar years.</w:t>
      </w:r>
    </w:p>
    <w:p w14:paraId="235B1BE7" w14:textId="77777777" w:rsidR="00900469" w:rsidRPr="001213F7" w:rsidRDefault="00900469" w:rsidP="00F9042B">
      <w:pPr>
        <w:pStyle w:val="Note"/>
        <w:rPr>
          <w:rFonts w:eastAsia="Times New Roman"/>
        </w:rPr>
      </w:pPr>
    </w:p>
    <w:p w14:paraId="3D6CF5C7" w14:textId="3464B25A" w:rsidR="00C07A9F" w:rsidRPr="001213F7" w:rsidRDefault="00900469" w:rsidP="00C07A9F">
      <w:r w:rsidRPr="001213F7">
        <w:t xml:space="preserve">Victoria’s economic outlook remains positive, but growth will be tempered by the national and global economic challenges that have recently emerged. </w:t>
      </w:r>
      <w:r w:rsidR="00FC3BD2" w:rsidRPr="001213F7">
        <w:t>Elevated i</w:t>
      </w:r>
      <w:r w:rsidR="00502995" w:rsidRPr="001213F7">
        <w:t>nflation and higher interest rates, along with cost pressures and uncertainty associated with the Middle East conflict, are forecast to put downward pressure on economic activity across key components of GSP.</w:t>
      </w:r>
      <w:r w:rsidR="00C07A9F" w:rsidRPr="001213F7">
        <w:t xml:space="preserve"> Moreover, risks to the Victorian economic outlook are elevated, </w:t>
      </w:r>
      <w:r w:rsidR="00964DE6" w:rsidRPr="001213F7">
        <w:t>as</w:t>
      </w:r>
      <w:r w:rsidR="00482DF4" w:rsidRPr="001213F7">
        <w:t> </w:t>
      </w:r>
      <w:r w:rsidR="00964DE6" w:rsidRPr="001213F7">
        <w:t>they are to all economies worldwide</w:t>
      </w:r>
      <w:r w:rsidR="00C720FD" w:rsidRPr="001213F7">
        <w:t xml:space="preserve">. The </w:t>
      </w:r>
      <w:r w:rsidR="0015795B" w:rsidRPr="001213F7">
        <w:t xml:space="preserve">effects of the </w:t>
      </w:r>
      <w:r w:rsidR="005479FE" w:rsidRPr="001213F7">
        <w:t>Middle East conflict</w:t>
      </w:r>
      <w:r w:rsidR="0015795B" w:rsidRPr="001213F7">
        <w:t>,</w:t>
      </w:r>
      <w:r w:rsidR="005479FE" w:rsidRPr="001213F7">
        <w:t xml:space="preserve"> and the </w:t>
      </w:r>
      <w:r w:rsidR="00C720FD" w:rsidRPr="001213F7">
        <w:t>trajectory of inflationary pressures and interest rates</w:t>
      </w:r>
      <w:r w:rsidR="0015795B" w:rsidRPr="001213F7">
        <w:t>,</w:t>
      </w:r>
      <w:r w:rsidR="00C720FD" w:rsidRPr="001213F7">
        <w:t> remain key source</w:t>
      </w:r>
      <w:r w:rsidR="005479FE" w:rsidRPr="001213F7">
        <w:t>s</w:t>
      </w:r>
      <w:r w:rsidR="00C720FD" w:rsidRPr="001213F7">
        <w:t xml:space="preserve"> of uncertainty.</w:t>
      </w:r>
    </w:p>
    <w:p w14:paraId="14401BCC" w14:textId="181DB12E" w:rsidR="00502995" w:rsidRPr="001213F7" w:rsidRDefault="00502995"/>
    <w:p w14:paraId="794A2DF4" w14:textId="2EBF1232" w:rsidR="00900469" w:rsidRPr="001213F7" w:rsidRDefault="00502995">
      <w:r w:rsidRPr="001213F7">
        <w:lastRenderedPageBreak/>
        <w:t>Nonetheless, the fundamentals of Victoria’s economy remain strong, and the Victorian economy is forecast to grow by 1.50 per cent in 2026</w:t>
      </w:r>
      <w:r w:rsidRPr="001213F7">
        <w:noBreakHyphen/>
        <w:t xml:space="preserve">27. </w:t>
      </w:r>
      <w:r w:rsidR="00900469" w:rsidRPr="001213F7">
        <w:t xml:space="preserve">Growth is expected to be driven by household consumption, underpinned by further modest growth in real incomes and elevated household savings. Dwelling investment is expected to increase, supported by an elevated pipeline of construction work scheduled to be completed. Business investment is </w:t>
      </w:r>
      <w:r w:rsidR="00E907C2" w:rsidRPr="001213F7">
        <w:t xml:space="preserve">expected </w:t>
      </w:r>
      <w:r w:rsidR="00900469" w:rsidRPr="001213F7">
        <w:t>to grow strongly, notably in data centres and the renewable energy transition, consistent with investment intentions reported by surveyed firms.</w:t>
      </w:r>
      <w:r w:rsidR="00D7497A" w:rsidRPr="001213F7">
        <w:t xml:space="preserve"> </w:t>
      </w:r>
    </w:p>
    <w:p w14:paraId="2DD1DCF5" w14:textId="77777777" w:rsidR="00900469" w:rsidRPr="001213F7" w:rsidRDefault="00900469">
      <w:r w:rsidRPr="001213F7">
        <w:t>The economy has generated strong employment growth in recent years (see Chart 1.1). Nearly 3.8 million Victorians are currently employed and the proportion of Victorians in work is historically high.</w:t>
      </w:r>
      <w:r w:rsidRPr="001213F7" w:rsidDel="007D43BC">
        <w:t xml:space="preserve"> </w:t>
      </w:r>
      <w:r w:rsidRPr="001213F7">
        <w:t>The workforce participation rate is also elevated, including female participation which reached a record high in 2025. Meanwhile, the youth unemployment rate remains below pre</w:t>
      </w:r>
      <w:r w:rsidRPr="001213F7">
        <w:rPr>
          <w:rFonts w:ascii="Cambria Math" w:hAnsi="Cambria Math" w:cs="Cambria Math"/>
        </w:rPr>
        <w:t>‑</w:t>
      </w:r>
      <w:r w:rsidRPr="001213F7">
        <w:t xml:space="preserve">pandemic levels. This labour market strength has been felt across regional cities and communities, with Victoria’s regional unemployment rate remaining low in 2025, averaging 3.5 per cent – the lowest regional rate of the states. </w:t>
      </w:r>
    </w:p>
    <w:p w14:paraId="67166B75" w14:textId="77777777" w:rsidR="00900469" w:rsidRPr="001213F7" w:rsidRDefault="00900469">
      <w:r w:rsidRPr="001213F7">
        <w:t>The labour market outlook remains positive. Employment is forecast to increase by 1.50 per cent in 2025</w:t>
      </w:r>
      <w:r w:rsidRPr="001213F7">
        <w:noBreakHyphen/>
        <w:t>26 and grow by a further 1.25 per cent in 2026</w:t>
      </w:r>
      <w:r w:rsidRPr="001213F7">
        <w:noBreakHyphen/>
        <w:t>27, extending the solid gains recorded in recent years. The unemployment rate is expected to average 4.75 per cent in 2026</w:t>
      </w:r>
      <w:r w:rsidRPr="001213F7">
        <w:noBreakHyphen/>
        <w:t>27, unchanged from the estimated 2025</w:t>
      </w:r>
      <w:r w:rsidRPr="001213F7">
        <w:noBreakHyphen/>
        <w:t>26 outcome. This remains below the state’s 20</w:t>
      </w:r>
      <w:r w:rsidRPr="001213F7">
        <w:rPr>
          <w:rFonts w:ascii="Cambria Math" w:hAnsi="Cambria Math" w:cs="Cambria Math"/>
        </w:rPr>
        <w:noBreakHyphen/>
      </w:r>
      <w:r w:rsidRPr="001213F7">
        <w:t>year pre</w:t>
      </w:r>
      <w:r w:rsidRPr="001213F7">
        <w:rPr>
          <w:rFonts w:ascii="Cambria Math" w:hAnsi="Cambria Math" w:cs="Cambria Math"/>
        </w:rPr>
        <w:t>-</w:t>
      </w:r>
      <w:r w:rsidRPr="001213F7">
        <w:t xml:space="preserve">pandemic average of 5.5 per cent. </w:t>
      </w:r>
    </w:p>
    <w:p w14:paraId="62255A24" w14:textId="2821C639" w:rsidR="00900469" w:rsidRPr="001213F7" w:rsidRDefault="00900469">
      <w:r w:rsidRPr="001213F7">
        <w:t>Inflation increased in the second half of 2025, nationally and in Victoria. Year</w:t>
      </w:r>
      <w:r w:rsidRPr="001213F7">
        <w:rPr>
          <w:rFonts w:ascii="Cambria Math" w:hAnsi="Cambria Math" w:cs="Cambria Math"/>
        </w:rPr>
        <w:t>‑</w:t>
      </w:r>
      <w:r w:rsidRPr="001213F7">
        <w:t xml:space="preserve">ended Victorian inflation increased to </w:t>
      </w:r>
      <w:r w:rsidR="00B86257" w:rsidRPr="001213F7">
        <w:t>4.6</w:t>
      </w:r>
      <w:r w:rsidRPr="001213F7">
        <w:t xml:space="preserve"> per cent in </w:t>
      </w:r>
      <w:r w:rsidR="00C70400" w:rsidRPr="001213F7">
        <w:t xml:space="preserve">March </w:t>
      </w:r>
      <w:r w:rsidRPr="001213F7">
        <w:t xml:space="preserve">2026, </w:t>
      </w:r>
      <w:r w:rsidRPr="001213F7">
        <w:rPr>
          <w:color w:val="000000" w:themeColor="text1"/>
        </w:rPr>
        <w:t>up from a low of 1.7 per cent in June 2025</w:t>
      </w:r>
      <w:r w:rsidR="00983EFC" w:rsidRPr="001213F7">
        <w:rPr>
          <w:color w:val="000000" w:themeColor="text1"/>
        </w:rPr>
        <w:t>,</w:t>
      </w:r>
      <w:r w:rsidRPr="001213F7">
        <w:rPr>
          <w:color w:val="000000" w:themeColor="text1"/>
        </w:rPr>
        <w:t xml:space="preserve"> </w:t>
      </w:r>
      <w:r w:rsidR="00983EFC" w:rsidRPr="001213F7">
        <w:rPr>
          <w:color w:val="000000" w:themeColor="text1"/>
        </w:rPr>
        <w:t xml:space="preserve">in line with </w:t>
      </w:r>
      <w:r w:rsidRPr="001213F7">
        <w:rPr>
          <w:color w:val="000000" w:themeColor="text1"/>
        </w:rPr>
        <w:t>the national average. Although inflation remains well below the post</w:t>
      </w:r>
      <w:r w:rsidRPr="001213F7">
        <w:rPr>
          <w:rFonts w:ascii="Cambria Math" w:hAnsi="Cambria Math" w:cs="Cambria Math"/>
          <w:color w:val="000000" w:themeColor="text1"/>
        </w:rPr>
        <w:t>‑</w:t>
      </w:r>
      <w:r w:rsidRPr="001213F7">
        <w:rPr>
          <w:color w:val="000000" w:themeColor="text1"/>
        </w:rPr>
        <w:t>pan</w:t>
      </w:r>
      <w:r w:rsidRPr="001213F7">
        <w:t>demic peak of 7.9 per cent in December 2022, the recent increase is adding to cost-of-living pressures for Victorian households. The conflict in the Middle East and accompanying surge in global oil prices since the end of February is intensifying these pressures. In year-average terms, inflation is forecast to be 3.50 per cent in 2025</w:t>
      </w:r>
      <w:r w:rsidRPr="001213F7">
        <w:noBreakHyphen/>
        <w:t>26 and 2026</w:t>
      </w:r>
      <w:r w:rsidRPr="001213F7">
        <w:noBreakHyphen/>
        <w:t>27, before returning to the RBA’s target band by 2027</w:t>
      </w:r>
      <w:r w:rsidRPr="001213F7">
        <w:noBreakHyphen/>
        <w:t xml:space="preserve">28, averaging 2.75 per cent. </w:t>
      </w:r>
    </w:p>
    <w:p w14:paraId="7E4C3405" w14:textId="1A8C9747" w:rsidR="00900469" w:rsidRPr="001213F7" w:rsidRDefault="00900469" w:rsidP="00386230">
      <w:r w:rsidRPr="001213F7">
        <w:t>Wages have grown solidly in recent years, alongside the strong labour market, and this is expected to continue. Victorian wages are forecast to increase by 3.25</w:t>
      </w:r>
      <w:r w:rsidRPr="001213F7">
        <w:rPr>
          <w:rFonts w:ascii="Garamond" w:hAnsi="Garamond"/>
        </w:rPr>
        <w:t> </w:t>
      </w:r>
      <w:r w:rsidRPr="001213F7">
        <w:t>per cent in both 2025</w:t>
      </w:r>
      <w:r w:rsidRPr="001213F7">
        <w:noBreakHyphen/>
        <w:t>26 and 2026</w:t>
      </w:r>
      <w:r w:rsidRPr="001213F7">
        <w:rPr>
          <w:rFonts w:ascii="Garamond" w:hAnsi="Garamond"/>
        </w:rPr>
        <w:noBreakHyphen/>
      </w:r>
      <w:r w:rsidRPr="001213F7">
        <w:t>27. This will mitigate some of the impact of re-emerging cost</w:t>
      </w:r>
      <w:r w:rsidRPr="001213F7">
        <w:rPr>
          <w:rFonts w:ascii="Cambria Math" w:hAnsi="Cambria Math" w:cs="Cambria Math"/>
        </w:rPr>
        <w:t>‑</w:t>
      </w:r>
      <w:r w:rsidRPr="001213F7">
        <w:t>of</w:t>
      </w:r>
      <w:r w:rsidRPr="001213F7">
        <w:rPr>
          <w:rFonts w:ascii="Cambria Math" w:hAnsi="Cambria Math" w:cs="Cambria Math"/>
        </w:rPr>
        <w:t>‑</w:t>
      </w:r>
      <w:r w:rsidRPr="001213F7">
        <w:t>living pressures. Wages growth is forecast to exceed inflation from 2027</w:t>
      </w:r>
      <w:r w:rsidRPr="001213F7">
        <w:noBreakHyphen/>
        <w:t>28 onwards.</w:t>
      </w:r>
    </w:p>
    <w:p w14:paraId="7405BCC6" w14:textId="77777777" w:rsidR="00900469" w:rsidRPr="001213F7" w:rsidRDefault="00900469" w:rsidP="00386230">
      <w:pPr>
        <w:pStyle w:val="Heading1"/>
      </w:pPr>
      <w:bookmarkStart w:id="4" w:name="_Toc165467330"/>
      <w:bookmarkStart w:id="5" w:name="_Toc228294207"/>
      <w:bookmarkStart w:id="6" w:name="_Toc228545289"/>
      <w:r w:rsidRPr="001213F7">
        <w:lastRenderedPageBreak/>
        <w:t>Responsible financial management</w:t>
      </w:r>
      <w:bookmarkEnd w:id="4"/>
      <w:bookmarkEnd w:id="5"/>
      <w:bookmarkEnd w:id="6"/>
    </w:p>
    <w:p w14:paraId="1B27F570" w14:textId="77777777" w:rsidR="00900469" w:rsidRPr="001213F7" w:rsidRDefault="00900469" w:rsidP="00386230">
      <w:pPr>
        <w:keepNext/>
      </w:pPr>
      <w:r w:rsidRPr="001213F7">
        <w:t xml:space="preserve">In response to the COVID-19 pandemic, the Government developed a comprehensive fiscal strategy in the </w:t>
      </w:r>
      <w:r w:rsidRPr="001213F7">
        <w:rPr>
          <w:i/>
        </w:rPr>
        <w:t>2020</w:t>
      </w:r>
      <w:r w:rsidRPr="001213F7">
        <w:rPr>
          <w:i/>
        </w:rPr>
        <w:noBreakHyphen/>
        <w:t>21 </w:t>
      </w:r>
      <w:r w:rsidRPr="001213F7">
        <w:rPr>
          <w:i/>
          <w:iCs/>
        </w:rPr>
        <w:t>B</w:t>
      </w:r>
      <w:r w:rsidRPr="001213F7">
        <w:rPr>
          <w:i/>
        </w:rPr>
        <w:t>udget</w:t>
      </w:r>
      <w:r w:rsidRPr="001213F7">
        <w:t xml:space="preserve"> to protect Victorian households and businesses and provide a strong foundation for recovery. This initially involved a four-step plan to support Victorians, grow the economy and return to surpluses over the medium term.</w:t>
      </w:r>
    </w:p>
    <w:p w14:paraId="66FF86C1" w14:textId="77777777" w:rsidR="00900469" w:rsidRPr="001213F7" w:rsidRDefault="00900469" w:rsidP="00CE26BD">
      <w:pPr>
        <w:keepNext/>
      </w:pPr>
      <w:r w:rsidRPr="001213F7">
        <w:t xml:space="preserve">The Government has consistently reported on its progress over the last five years and updated the plan in the </w:t>
      </w:r>
      <w:r w:rsidRPr="001213F7">
        <w:rPr>
          <w:i/>
          <w:iCs/>
        </w:rPr>
        <w:t xml:space="preserve">2024-25 Budget </w:t>
      </w:r>
      <w:r w:rsidRPr="001213F7">
        <w:t>to introduce a fifth step. This plan provides a clear framework:</w:t>
      </w:r>
    </w:p>
    <w:p w14:paraId="73E17560" w14:textId="77777777" w:rsidR="00900469" w:rsidRPr="001213F7" w:rsidRDefault="00900469" w:rsidP="00CE26BD">
      <w:pPr>
        <w:pStyle w:val="ListBullet"/>
        <w:keepNext/>
        <w:numPr>
          <w:ilvl w:val="0"/>
          <w:numId w:val="18"/>
        </w:numPr>
      </w:pPr>
      <w:r w:rsidRPr="001213F7">
        <w:rPr>
          <w:b/>
        </w:rPr>
        <w:t>Step 1:</w:t>
      </w:r>
      <w:r w:rsidRPr="001213F7">
        <w:t xml:space="preserve"> creating jobs, reducing unemployment and restoring economic growth</w:t>
      </w:r>
    </w:p>
    <w:p w14:paraId="2B60C6DB" w14:textId="77777777" w:rsidR="00900469" w:rsidRPr="001213F7" w:rsidRDefault="00900469" w:rsidP="00CE26BD">
      <w:pPr>
        <w:pStyle w:val="ListBullet"/>
        <w:keepNext/>
        <w:numPr>
          <w:ilvl w:val="0"/>
          <w:numId w:val="13"/>
        </w:numPr>
      </w:pPr>
      <w:r w:rsidRPr="001213F7">
        <w:rPr>
          <w:b/>
        </w:rPr>
        <w:t>Step 2:</w:t>
      </w:r>
      <w:r w:rsidRPr="001213F7">
        <w:t xml:space="preserve"> returning to an operating cash surplus</w:t>
      </w:r>
    </w:p>
    <w:p w14:paraId="3AB99773" w14:textId="77777777" w:rsidR="00900469" w:rsidRPr="001213F7" w:rsidRDefault="00900469" w:rsidP="00CE26BD">
      <w:pPr>
        <w:pStyle w:val="ListBullet"/>
        <w:keepNext/>
        <w:numPr>
          <w:ilvl w:val="0"/>
          <w:numId w:val="13"/>
        </w:numPr>
        <w:rPr>
          <w:b/>
        </w:rPr>
      </w:pPr>
      <w:r w:rsidRPr="001213F7">
        <w:rPr>
          <w:b/>
        </w:rPr>
        <w:t xml:space="preserve">Step 3: </w:t>
      </w:r>
      <w:r w:rsidRPr="001213F7">
        <w:t>returning to operating surpluses</w:t>
      </w:r>
      <w:r w:rsidRPr="001213F7">
        <w:rPr>
          <w:b/>
        </w:rPr>
        <w:t xml:space="preserve"> </w:t>
      </w:r>
    </w:p>
    <w:p w14:paraId="7CF3F316" w14:textId="77777777" w:rsidR="00900469" w:rsidRPr="001213F7" w:rsidRDefault="00900469" w:rsidP="00D20C0A">
      <w:pPr>
        <w:pStyle w:val="ListBullet"/>
        <w:numPr>
          <w:ilvl w:val="0"/>
          <w:numId w:val="13"/>
        </w:numPr>
      </w:pPr>
      <w:r w:rsidRPr="001213F7">
        <w:rPr>
          <w:b/>
        </w:rPr>
        <w:t xml:space="preserve">Step 4: </w:t>
      </w:r>
      <w:r w:rsidRPr="001213F7">
        <w:t>stabilising net debt levels as a proportion of GSP</w:t>
      </w:r>
    </w:p>
    <w:p w14:paraId="35C18ACE" w14:textId="77777777" w:rsidR="00900469" w:rsidRPr="001213F7" w:rsidRDefault="00900469" w:rsidP="00D20C0A">
      <w:pPr>
        <w:pStyle w:val="ListBullet"/>
        <w:numPr>
          <w:ilvl w:val="0"/>
          <w:numId w:val="13"/>
        </w:numPr>
      </w:pPr>
      <w:r w:rsidRPr="001213F7">
        <w:rPr>
          <w:b/>
        </w:rPr>
        <w:t>Step 5:</w:t>
      </w:r>
      <w:r w:rsidRPr="001213F7">
        <w:t xml:space="preserve"> reducing net debt as a proportion of GSP.</w:t>
      </w:r>
    </w:p>
    <w:p w14:paraId="5CF6C565" w14:textId="77777777" w:rsidR="00900469" w:rsidRPr="001213F7" w:rsidRDefault="00900469" w:rsidP="00A92031">
      <w:pPr>
        <w:pStyle w:val="Heading2"/>
      </w:pPr>
      <w:r w:rsidRPr="001213F7">
        <w:t>Progress towards achieving the Government’s fiscal strategy</w:t>
      </w:r>
    </w:p>
    <w:p w14:paraId="01FF9541" w14:textId="77777777" w:rsidR="00900469" w:rsidRPr="001213F7" w:rsidRDefault="00900469" w:rsidP="00A92031">
      <w:pPr>
        <w:keepNext/>
      </w:pPr>
      <w:r w:rsidRPr="001213F7">
        <w:t xml:space="preserve">The first step – creating jobs, reducing unemployment and restoring economic growth in the aftermath of the pandemic – has been achieved, with Victoria’s economy continuing to grow and unemployment having declined to below pre-pandemic levels. </w:t>
      </w:r>
    </w:p>
    <w:p w14:paraId="450D7EC2" w14:textId="77777777" w:rsidR="00900469" w:rsidRPr="001213F7" w:rsidRDefault="00900469" w:rsidP="00A92031">
      <w:r w:rsidRPr="001213F7">
        <w:t>The second step in the Government’s fiscal strategy – returning to an operating cash surplus – means the State is generating sufficient cash inflows to exceed its cash outflows on operating activities, a key pillar of fiscal sustainability. The Government has delivered an operating cash surplus for the past three years, including a $3.2 billion surplus in 2024</w:t>
      </w:r>
      <w:r w:rsidRPr="001213F7">
        <w:noBreakHyphen/>
        <w:t>25. The Government continues to forecast an operating cash surplus of $6.9 billion in 2025-26, with average surpluses of $6.4 billion forecast across the budget and forward estimates.</w:t>
      </w:r>
    </w:p>
    <w:p w14:paraId="31C4AF66" w14:textId="42F17405" w:rsidR="00900469" w:rsidRPr="001213F7" w:rsidRDefault="00900469">
      <w:r w:rsidRPr="001213F7">
        <w:t>The third step – returning to an operating surplus – means the Government generates sufficient revenues to cover its cash expenditure and support the ongoing replacement of</w:t>
      </w:r>
      <w:r w:rsidR="003C78C8" w:rsidRPr="001213F7">
        <w:t> </w:t>
      </w:r>
      <w:r w:rsidRPr="001213F7">
        <w:t>existing assets. The Government remains on track to deliver an operating surplus of $0.7 billion in 2025</w:t>
      </w:r>
      <w:r w:rsidRPr="001213F7">
        <w:noBreakHyphen/>
        <w:t xml:space="preserve">26, the first surplus since the </w:t>
      </w:r>
      <w:r w:rsidRPr="001213F7">
        <w:rPr>
          <w:color w:val="000000" w:themeColor="text1"/>
        </w:rPr>
        <w:t>COVID-19 pandemic began.</w:t>
      </w:r>
      <w:r w:rsidRPr="001213F7">
        <w:t xml:space="preserve"> </w:t>
      </w:r>
      <w:r w:rsidRPr="001213F7">
        <w:rPr>
          <w:color w:val="000000" w:themeColor="text1"/>
        </w:rPr>
        <w:t xml:space="preserve">The operating surplus is then estimated to </w:t>
      </w:r>
      <w:r w:rsidRPr="001213F7">
        <w:t>be $1.0 billion in 2026</w:t>
      </w:r>
      <w:r w:rsidRPr="001213F7">
        <w:noBreakHyphen/>
        <w:t>27 and then improve to an average surplus of $1.9 billion across the three years of the forward estimates 2027-28 to</w:t>
      </w:r>
      <w:r w:rsidR="003C78C8" w:rsidRPr="001213F7">
        <w:t> </w:t>
      </w:r>
      <w:r w:rsidRPr="001213F7">
        <w:t>2029-30.</w:t>
      </w:r>
    </w:p>
    <w:p w14:paraId="61899B25" w14:textId="064A89CB" w:rsidR="00900469" w:rsidRPr="001213F7" w:rsidRDefault="00900469" w:rsidP="00B35132">
      <w:pPr>
        <w:ind w:right="53"/>
      </w:pPr>
      <w:r w:rsidRPr="001213F7">
        <w:t>The fourth and fifth steps – stabilising and then reducing net debt as a percentage of GSP</w:t>
      </w:r>
      <w:r w:rsidR="00B35132" w:rsidRPr="001213F7">
        <w:t> </w:t>
      </w:r>
      <w:r w:rsidRPr="001213F7">
        <w:t xml:space="preserve">– involves progressively improving operating cash surpluses while growing the economy. These surpluses help fund capital expenditure, reducing the reliance on borrowings. The </w:t>
      </w:r>
      <w:r w:rsidRPr="001213F7">
        <w:rPr>
          <w:i/>
          <w:iCs/>
        </w:rPr>
        <w:t>2026</w:t>
      </w:r>
      <w:r w:rsidRPr="001213F7">
        <w:rPr>
          <w:i/>
          <w:iCs/>
        </w:rPr>
        <w:noBreakHyphen/>
        <w:t xml:space="preserve">27 Budget </w:t>
      </w:r>
      <w:r w:rsidRPr="001213F7">
        <w:t xml:space="preserve">continues to forecast the achievement of these steps, with net debt as a proportion of GSP projected to reach 24.9 per cent at June 2027 before declining to 24.8 per cent by June 2028, 24.6 per cent by June 2029 and then further declining to 24.4 per cent by June 2030. </w:t>
      </w:r>
    </w:p>
    <w:p w14:paraId="7711B208" w14:textId="77777777" w:rsidR="00900469" w:rsidRPr="001213F7" w:rsidRDefault="00900469" w:rsidP="00386230">
      <w:pPr>
        <w:pStyle w:val="Heading2"/>
        <w:pageBreakBefore/>
      </w:pPr>
      <w:r w:rsidRPr="001213F7">
        <w:lastRenderedPageBreak/>
        <w:t>Financial position</w:t>
      </w:r>
    </w:p>
    <w:p w14:paraId="7CE7C3B4" w14:textId="77777777" w:rsidR="00900469" w:rsidRPr="001213F7" w:rsidRDefault="00900469" w:rsidP="00280670">
      <w:pPr>
        <w:ind w:right="-119"/>
      </w:pPr>
      <w:r w:rsidRPr="001213F7">
        <w:t>The net result from transactions for the general government sector is forecast to be in surplus by $0.7 billion in 2025</w:t>
      </w:r>
      <w:r w:rsidRPr="001213F7">
        <w:rPr>
          <w:color w:val="000000" w:themeColor="text1"/>
        </w:rPr>
        <w:noBreakHyphen/>
      </w:r>
      <w:r w:rsidRPr="001213F7">
        <w:t>26 and $1.0 billion in 2026</w:t>
      </w:r>
      <w:r w:rsidRPr="001213F7">
        <w:rPr>
          <w:color w:val="000000" w:themeColor="text1"/>
        </w:rPr>
        <w:noBreakHyphen/>
      </w:r>
      <w:r w:rsidRPr="001213F7">
        <w:t xml:space="preserve">27 (see Table 1.1). </w:t>
      </w:r>
      <w:r w:rsidRPr="001213F7">
        <w:rPr>
          <w:color w:val="000000" w:themeColor="text1"/>
        </w:rPr>
        <w:t xml:space="preserve">The operating surplus is then forecast to </w:t>
      </w:r>
      <w:r w:rsidRPr="001213F7">
        <w:t>improve to an average surplus of $1.9 billion across the three years of the forward estimates 2027-28 to 2029-30.</w:t>
      </w:r>
    </w:p>
    <w:p w14:paraId="624BD8AF" w14:textId="77777777" w:rsidR="00900469" w:rsidRPr="001213F7" w:rsidRDefault="00900469">
      <w:r w:rsidRPr="001213F7">
        <w:t>The Government continues to forecast an operating cash surplus of $6.9 billion in 2025</w:t>
      </w:r>
      <w:r w:rsidRPr="001213F7">
        <w:noBreakHyphen/>
        <w:t xml:space="preserve">26, with average operating cash surpluses of $6.4 billion forecast across the budget and forward estimates. </w:t>
      </w:r>
    </w:p>
    <w:p w14:paraId="12C49B00" w14:textId="77777777" w:rsidR="00900469" w:rsidRPr="001213F7" w:rsidRDefault="00900469" w:rsidP="00386230">
      <w:pPr>
        <w:pStyle w:val="TableHeading"/>
        <w:ind w:left="1022" w:hanging="1022"/>
      </w:pPr>
      <w:r w:rsidRPr="001213F7">
        <w:t xml:space="preserve">Table 1.1: </w:t>
      </w:r>
      <w:r w:rsidRPr="001213F7">
        <w:tab/>
        <w:t>General government fiscal aggregates</w:t>
      </w:r>
    </w:p>
    <w:tbl>
      <w:tblPr>
        <w:tblStyle w:val="DTFTableNumeric"/>
        <w:tblW w:w="7710" w:type="dxa"/>
        <w:tblLayout w:type="fixed"/>
        <w:tblLook w:val="06A0" w:firstRow="1" w:lastRow="0" w:firstColumn="1" w:lastColumn="0" w:noHBand="1" w:noVBand="1"/>
        <w:tblDescription w:val="Type:DtfTable|Workbook:https://vicgov.sharepoint.com/sites/VG002735/BP2/Spreadsheets/Link_BP2_Chapter4.xlsx|Table:GG_FiscalAggregates"/>
      </w:tblPr>
      <w:tblGrid>
        <w:gridCol w:w="2160"/>
        <w:gridCol w:w="792"/>
        <w:gridCol w:w="793"/>
        <w:gridCol w:w="793"/>
        <w:gridCol w:w="793"/>
        <w:gridCol w:w="793"/>
        <w:gridCol w:w="793"/>
        <w:gridCol w:w="793"/>
      </w:tblGrid>
      <w:tr w:rsidR="00900469" w:rsidRPr="001213F7" w14:paraId="5B1A1AB9"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160" w:type="dxa"/>
          </w:tcPr>
          <w:p w14:paraId="1B7B1848" w14:textId="77777777" w:rsidR="00900469" w:rsidRPr="001213F7" w:rsidRDefault="00900469">
            <w:pPr>
              <w:keepNext/>
            </w:pPr>
          </w:p>
        </w:tc>
        <w:tc>
          <w:tcPr>
            <w:tcW w:w="792" w:type="dxa"/>
          </w:tcPr>
          <w:p w14:paraId="5C5F4E5B" w14:textId="77777777" w:rsidR="00900469" w:rsidRPr="001213F7" w:rsidRDefault="00900469">
            <w:pPr>
              <w:keepNext/>
              <w:jc w:val="center"/>
              <w:cnfStyle w:val="100000000000" w:firstRow="1" w:lastRow="0" w:firstColumn="0" w:lastColumn="0" w:oddVBand="0" w:evenVBand="0" w:oddHBand="0" w:evenHBand="0" w:firstRowFirstColumn="0" w:firstRowLastColumn="0" w:lastRowFirstColumn="0" w:lastRowLastColumn="0"/>
            </w:pPr>
            <w:r w:rsidRPr="001213F7">
              <w:t>Unit of</w:t>
            </w:r>
          </w:p>
        </w:tc>
        <w:tc>
          <w:tcPr>
            <w:tcW w:w="793" w:type="dxa"/>
          </w:tcPr>
          <w:p w14:paraId="4F4DEED8" w14:textId="77777777" w:rsidR="00900469" w:rsidRPr="001213F7" w:rsidRDefault="00900469">
            <w:pPr>
              <w:keepNext/>
              <w:cnfStyle w:val="100000000000" w:firstRow="1" w:lastRow="0" w:firstColumn="0" w:lastColumn="0" w:oddVBand="0" w:evenVBand="0" w:oddHBand="0" w:evenHBand="0" w:firstRowFirstColumn="0" w:firstRowLastColumn="0" w:lastRowFirstColumn="0" w:lastRowLastColumn="0"/>
            </w:pPr>
            <w:r w:rsidRPr="001213F7">
              <w:t>2024</w:t>
            </w:r>
            <w:r w:rsidRPr="001213F7">
              <w:noBreakHyphen/>
              <w:t>25</w:t>
            </w:r>
          </w:p>
        </w:tc>
        <w:tc>
          <w:tcPr>
            <w:tcW w:w="793" w:type="dxa"/>
          </w:tcPr>
          <w:p w14:paraId="7BD0C2FC" w14:textId="77777777" w:rsidR="00900469" w:rsidRPr="001213F7" w:rsidRDefault="00900469">
            <w:pPr>
              <w:keepNext/>
              <w:cnfStyle w:val="100000000000" w:firstRow="1" w:lastRow="0" w:firstColumn="0" w:lastColumn="0" w:oddVBand="0" w:evenVBand="0" w:oddHBand="0" w:evenHBand="0" w:firstRowFirstColumn="0" w:firstRowLastColumn="0" w:lastRowFirstColumn="0" w:lastRowLastColumn="0"/>
            </w:pPr>
            <w:r w:rsidRPr="001213F7">
              <w:t>2025</w:t>
            </w:r>
            <w:r w:rsidRPr="001213F7">
              <w:noBreakHyphen/>
              <w:t>26</w:t>
            </w:r>
          </w:p>
        </w:tc>
        <w:tc>
          <w:tcPr>
            <w:tcW w:w="793" w:type="dxa"/>
          </w:tcPr>
          <w:p w14:paraId="12D53AAE" w14:textId="77777777" w:rsidR="00900469" w:rsidRPr="001213F7" w:rsidRDefault="00900469">
            <w:pPr>
              <w:keepNext/>
              <w:cnfStyle w:val="100000000000" w:firstRow="1" w:lastRow="0" w:firstColumn="0" w:lastColumn="0" w:oddVBand="0" w:evenVBand="0" w:oddHBand="0" w:evenHBand="0" w:firstRowFirstColumn="0" w:firstRowLastColumn="0" w:lastRowFirstColumn="0" w:lastRowLastColumn="0"/>
            </w:pPr>
            <w:r w:rsidRPr="001213F7">
              <w:t>2026</w:t>
            </w:r>
            <w:r w:rsidRPr="001213F7">
              <w:noBreakHyphen/>
              <w:t>27</w:t>
            </w:r>
          </w:p>
        </w:tc>
        <w:tc>
          <w:tcPr>
            <w:tcW w:w="793" w:type="dxa"/>
          </w:tcPr>
          <w:p w14:paraId="1938E5E0" w14:textId="77777777" w:rsidR="00900469" w:rsidRPr="001213F7" w:rsidRDefault="00900469">
            <w:pPr>
              <w:keepNext/>
              <w:cnfStyle w:val="100000000000" w:firstRow="1" w:lastRow="0" w:firstColumn="0" w:lastColumn="0" w:oddVBand="0" w:evenVBand="0" w:oddHBand="0" w:evenHBand="0" w:firstRowFirstColumn="0" w:firstRowLastColumn="0" w:lastRowFirstColumn="0" w:lastRowLastColumn="0"/>
            </w:pPr>
            <w:r w:rsidRPr="001213F7">
              <w:t>2027</w:t>
            </w:r>
            <w:r w:rsidRPr="001213F7">
              <w:noBreakHyphen/>
              <w:t>28</w:t>
            </w:r>
          </w:p>
        </w:tc>
        <w:tc>
          <w:tcPr>
            <w:tcW w:w="793" w:type="dxa"/>
          </w:tcPr>
          <w:p w14:paraId="36D792D9" w14:textId="77777777" w:rsidR="00900469" w:rsidRPr="001213F7" w:rsidRDefault="00900469">
            <w:pPr>
              <w:keepNext/>
              <w:cnfStyle w:val="100000000000" w:firstRow="1" w:lastRow="0" w:firstColumn="0" w:lastColumn="0" w:oddVBand="0" w:evenVBand="0" w:oddHBand="0" w:evenHBand="0" w:firstRowFirstColumn="0" w:firstRowLastColumn="0" w:lastRowFirstColumn="0" w:lastRowLastColumn="0"/>
            </w:pPr>
            <w:r w:rsidRPr="001213F7">
              <w:t>2028</w:t>
            </w:r>
            <w:r w:rsidRPr="001213F7">
              <w:noBreakHyphen/>
              <w:t>29</w:t>
            </w:r>
          </w:p>
        </w:tc>
        <w:tc>
          <w:tcPr>
            <w:tcW w:w="793" w:type="dxa"/>
          </w:tcPr>
          <w:p w14:paraId="07296BD2" w14:textId="77777777" w:rsidR="00900469" w:rsidRPr="001213F7" w:rsidRDefault="00900469">
            <w:pPr>
              <w:keepNext/>
              <w:cnfStyle w:val="100000000000" w:firstRow="1" w:lastRow="0" w:firstColumn="0" w:lastColumn="0" w:oddVBand="0" w:evenVBand="0" w:oddHBand="0" w:evenHBand="0" w:firstRowFirstColumn="0" w:firstRowLastColumn="0" w:lastRowFirstColumn="0" w:lastRowLastColumn="0"/>
            </w:pPr>
            <w:r w:rsidRPr="001213F7">
              <w:t>2029</w:t>
            </w:r>
            <w:r w:rsidRPr="001213F7">
              <w:noBreakHyphen/>
              <w:t>30</w:t>
            </w:r>
          </w:p>
        </w:tc>
      </w:tr>
      <w:tr w:rsidR="00900469" w:rsidRPr="001213F7" w14:paraId="238717A5"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160" w:type="dxa"/>
          </w:tcPr>
          <w:p w14:paraId="13801755" w14:textId="77777777" w:rsidR="00900469" w:rsidRPr="001213F7" w:rsidRDefault="00900469">
            <w:pPr>
              <w:keepNext/>
            </w:pPr>
          </w:p>
        </w:tc>
        <w:tc>
          <w:tcPr>
            <w:tcW w:w="792" w:type="dxa"/>
          </w:tcPr>
          <w:p w14:paraId="340BCF7A" w14:textId="77777777" w:rsidR="00900469" w:rsidRPr="001213F7" w:rsidRDefault="00900469">
            <w:pPr>
              <w:keepNext/>
              <w:jc w:val="center"/>
              <w:cnfStyle w:val="100000000000" w:firstRow="1" w:lastRow="0" w:firstColumn="0" w:lastColumn="0" w:oddVBand="0" w:evenVBand="0" w:oddHBand="0" w:evenHBand="0" w:firstRowFirstColumn="0" w:firstRowLastColumn="0" w:lastRowFirstColumn="0" w:lastRowLastColumn="0"/>
            </w:pPr>
            <w:r w:rsidRPr="001213F7">
              <w:t>measure</w:t>
            </w:r>
          </w:p>
        </w:tc>
        <w:tc>
          <w:tcPr>
            <w:tcW w:w="793" w:type="dxa"/>
          </w:tcPr>
          <w:p w14:paraId="44234C9E" w14:textId="77777777" w:rsidR="00900469" w:rsidRPr="001213F7" w:rsidRDefault="00900469">
            <w:pPr>
              <w:keepNext/>
              <w:cnfStyle w:val="100000000000" w:firstRow="1" w:lastRow="0" w:firstColumn="0" w:lastColumn="0" w:oddVBand="0" w:evenVBand="0" w:oddHBand="0" w:evenHBand="0" w:firstRowFirstColumn="0" w:firstRowLastColumn="0" w:lastRowFirstColumn="0" w:lastRowLastColumn="0"/>
            </w:pPr>
            <w:r w:rsidRPr="001213F7">
              <w:t>actual</w:t>
            </w:r>
          </w:p>
        </w:tc>
        <w:tc>
          <w:tcPr>
            <w:tcW w:w="793" w:type="dxa"/>
          </w:tcPr>
          <w:p w14:paraId="193F2650" w14:textId="77777777" w:rsidR="00900469" w:rsidRPr="001213F7" w:rsidRDefault="00900469">
            <w:pPr>
              <w:keepNext/>
              <w:cnfStyle w:val="100000000000" w:firstRow="1" w:lastRow="0" w:firstColumn="0" w:lastColumn="0" w:oddVBand="0" w:evenVBand="0" w:oddHBand="0" w:evenHBand="0" w:firstRowFirstColumn="0" w:firstRowLastColumn="0" w:lastRowFirstColumn="0" w:lastRowLastColumn="0"/>
            </w:pPr>
            <w:r w:rsidRPr="001213F7">
              <w:t>revised</w:t>
            </w:r>
          </w:p>
        </w:tc>
        <w:tc>
          <w:tcPr>
            <w:tcW w:w="793" w:type="dxa"/>
          </w:tcPr>
          <w:p w14:paraId="26AD8788" w14:textId="77777777" w:rsidR="00900469" w:rsidRPr="001213F7" w:rsidRDefault="00900469">
            <w:pPr>
              <w:keepNext/>
              <w:cnfStyle w:val="100000000000" w:firstRow="1" w:lastRow="0" w:firstColumn="0" w:lastColumn="0" w:oddVBand="0" w:evenVBand="0" w:oddHBand="0" w:evenHBand="0" w:firstRowFirstColumn="0" w:firstRowLastColumn="0" w:lastRowFirstColumn="0" w:lastRowLastColumn="0"/>
            </w:pPr>
            <w:r w:rsidRPr="001213F7">
              <w:t>budget</w:t>
            </w:r>
          </w:p>
        </w:tc>
        <w:tc>
          <w:tcPr>
            <w:tcW w:w="793" w:type="dxa"/>
          </w:tcPr>
          <w:p w14:paraId="6A353649" w14:textId="77777777" w:rsidR="00900469" w:rsidRPr="001213F7" w:rsidRDefault="00900469">
            <w:pPr>
              <w:keepNext/>
              <w:cnfStyle w:val="100000000000" w:firstRow="1" w:lastRow="0" w:firstColumn="0" w:lastColumn="0" w:oddVBand="0" w:evenVBand="0" w:oddHBand="0" w:evenHBand="0" w:firstRowFirstColumn="0" w:firstRowLastColumn="0" w:lastRowFirstColumn="0" w:lastRowLastColumn="0"/>
            </w:pPr>
            <w:r w:rsidRPr="001213F7">
              <w:t>estimate</w:t>
            </w:r>
          </w:p>
        </w:tc>
        <w:tc>
          <w:tcPr>
            <w:tcW w:w="793" w:type="dxa"/>
          </w:tcPr>
          <w:p w14:paraId="16706C1C" w14:textId="77777777" w:rsidR="00900469" w:rsidRPr="001213F7" w:rsidRDefault="00900469">
            <w:pPr>
              <w:keepNext/>
              <w:cnfStyle w:val="100000000000" w:firstRow="1" w:lastRow="0" w:firstColumn="0" w:lastColumn="0" w:oddVBand="0" w:evenVBand="0" w:oddHBand="0" w:evenHBand="0" w:firstRowFirstColumn="0" w:firstRowLastColumn="0" w:lastRowFirstColumn="0" w:lastRowLastColumn="0"/>
            </w:pPr>
            <w:r w:rsidRPr="001213F7">
              <w:t>estimate</w:t>
            </w:r>
          </w:p>
        </w:tc>
        <w:tc>
          <w:tcPr>
            <w:tcW w:w="793" w:type="dxa"/>
          </w:tcPr>
          <w:p w14:paraId="71F01CA0" w14:textId="77777777" w:rsidR="00900469" w:rsidRPr="001213F7" w:rsidRDefault="00900469">
            <w:pPr>
              <w:keepNext/>
              <w:cnfStyle w:val="100000000000" w:firstRow="1" w:lastRow="0" w:firstColumn="0" w:lastColumn="0" w:oddVBand="0" w:evenVBand="0" w:oddHBand="0" w:evenHBand="0" w:firstRowFirstColumn="0" w:firstRowLastColumn="0" w:lastRowFirstColumn="0" w:lastRowLastColumn="0"/>
            </w:pPr>
            <w:r w:rsidRPr="001213F7">
              <w:t>estimate</w:t>
            </w:r>
          </w:p>
        </w:tc>
      </w:tr>
      <w:tr w:rsidR="00900469" w:rsidRPr="001213F7" w14:paraId="5F1B1817" w14:textId="77777777">
        <w:tc>
          <w:tcPr>
            <w:cnfStyle w:val="001000000000" w:firstRow="0" w:lastRow="0" w:firstColumn="1" w:lastColumn="0" w:oddVBand="0" w:evenVBand="0" w:oddHBand="0" w:evenHBand="0" w:firstRowFirstColumn="0" w:firstRowLastColumn="0" w:lastRowFirstColumn="0" w:lastRowLastColumn="0"/>
            <w:tcW w:w="2160" w:type="dxa"/>
          </w:tcPr>
          <w:p w14:paraId="10A2CF9D" w14:textId="77777777" w:rsidR="00900469" w:rsidRPr="001213F7" w:rsidRDefault="00900469">
            <w:r w:rsidRPr="001213F7">
              <w:t>Net result from transactions</w:t>
            </w:r>
          </w:p>
        </w:tc>
        <w:tc>
          <w:tcPr>
            <w:tcW w:w="792" w:type="dxa"/>
          </w:tcPr>
          <w:p w14:paraId="51037620" w14:textId="77777777" w:rsidR="00900469" w:rsidRPr="001213F7" w:rsidRDefault="00900469">
            <w:pPr>
              <w:jc w:val="center"/>
              <w:cnfStyle w:val="000000000000" w:firstRow="0" w:lastRow="0" w:firstColumn="0" w:lastColumn="0" w:oddVBand="0" w:evenVBand="0" w:oddHBand="0" w:evenHBand="0" w:firstRowFirstColumn="0" w:firstRowLastColumn="0" w:lastRowFirstColumn="0" w:lastRowLastColumn="0"/>
            </w:pPr>
            <w:r w:rsidRPr="001213F7">
              <w:t>$ billion</w:t>
            </w:r>
          </w:p>
        </w:tc>
        <w:tc>
          <w:tcPr>
            <w:tcW w:w="793" w:type="dxa"/>
          </w:tcPr>
          <w:p w14:paraId="0CD79D65" w14:textId="77777777" w:rsidR="00900469" w:rsidRPr="001213F7" w:rsidRDefault="00900469">
            <w:pPr>
              <w:cnfStyle w:val="000000000000" w:firstRow="0" w:lastRow="0" w:firstColumn="0" w:lastColumn="0" w:oddVBand="0" w:evenVBand="0" w:oddHBand="0" w:evenHBand="0" w:firstRowFirstColumn="0" w:firstRowLastColumn="0" w:lastRowFirstColumn="0" w:lastRowLastColumn="0"/>
            </w:pPr>
            <w:r w:rsidRPr="001213F7">
              <w:t>(2.6)</w:t>
            </w:r>
          </w:p>
        </w:tc>
        <w:tc>
          <w:tcPr>
            <w:tcW w:w="793" w:type="dxa"/>
          </w:tcPr>
          <w:p w14:paraId="46BDD128" w14:textId="77777777" w:rsidR="00900469" w:rsidRPr="001213F7" w:rsidRDefault="00900469">
            <w:pPr>
              <w:cnfStyle w:val="000000000000" w:firstRow="0" w:lastRow="0" w:firstColumn="0" w:lastColumn="0" w:oddVBand="0" w:evenVBand="0" w:oddHBand="0" w:evenHBand="0" w:firstRowFirstColumn="0" w:firstRowLastColumn="0" w:lastRowFirstColumn="0" w:lastRowLastColumn="0"/>
            </w:pPr>
            <w:r w:rsidRPr="001213F7">
              <w:t>0.7</w:t>
            </w:r>
          </w:p>
        </w:tc>
        <w:tc>
          <w:tcPr>
            <w:tcW w:w="793" w:type="dxa"/>
          </w:tcPr>
          <w:p w14:paraId="7B0DBE79" w14:textId="77777777" w:rsidR="00900469" w:rsidRPr="001213F7" w:rsidRDefault="00900469">
            <w:pPr>
              <w:cnfStyle w:val="000000000000" w:firstRow="0" w:lastRow="0" w:firstColumn="0" w:lastColumn="0" w:oddVBand="0" w:evenVBand="0" w:oddHBand="0" w:evenHBand="0" w:firstRowFirstColumn="0" w:firstRowLastColumn="0" w:lastRowFirstColumn="0" w:lastRowLastColumn="0"/>
            </w:pPr>
            <w:r w:rsidRPr="001213F7">
              <w:t>1.0</w:t>
            </w:r>
          </w:p>
        </w:tc>
        <w:tc>
          <w:tcPr>
            <w:tcW w:w="793" w:type="dxa"/>
          </w:tcPr>
          <w:p w14:paraId="59512B15" w14:textId="77777777" w:rsidR="00900469" w:rsidRPr="001213F7" w:rsidRDefault="00900469">
            <w:pPr>
              <w:cnfStyle w:val="000000000000" w:firstRow="0" w:lastRow="0" w:firstColumn="0" w:lastColumn="0" w:oddVBand="0" w:evenVBand="0" w:oddHBand="0" w:evenHBand="0" w:firstRowFirstColumn="0" w:firstRowLastColumn="0" w:lastRowFirstColumn="0" w:lastRowLastColumn="0"/>
            </w:pPr>
            <w:r w:rsidRPr="001213F7">
              <w:t>1.9</w:t>
            </w:r>
          </w:p>
        </w:tc>
        <w:tc>
          <w:tcPr>
            <w:tcW w:w="793" w:type="dxa"/>
          </w:tcPr>
          <w:p w14:paraId="19EE99AD" w14:textId="77777777" w:rsidR="00900469" w:rsidRPr="001213F7" w:rsidRDefault="00900469">
            <w:pPr>
              <w:cnfStyle w:val="000000000000" w:firstRow="0" w:lastRow="0" w:firstColumn="0" w:lastColumn="0" w:oddVBand="0" w:evenVBand="0" w:oddHBand="0" w:evenHBand="0" w:firstRowFirstColumn="0" w:firstRowLastColumn="0" w:lastRowFirstColumn="0" w:lastRowLastColumn="0"/>
            </w:pPr>
            <w:r w:rsidRPr="001213F7">
              <w:t>1.9</w:t>
            </w:r>
          </w:p>
        </w:tc>
        <w:tc>
          <w:tcPr>
            <w:tcW w:w="793" w:type="dxa"/>
          </w:tcPr>
          <w:p w14:paraId="718A3B8A" w14:textId="77777777" w:rsidR="00900469" w:rsidRPr="001213F7" w:rsidRDefault="00900469">
            <w:pPr>
              <w:cnfStyle w:val="000000000000" w:firstRow="0" w:lastRow="0" w:firstColumn="0" w:lastColumn="0" w:oddVBand="0" w:evenVBand="0" w:oddHBand="0" w:evenHBand="0" w:firstRowFirstColumn="0" w:firstRowLastColumn="0" w:lastRowFirstColumn="0" w:lastRowLastColumn="0"/>
            </w:pPr>
            <w:r w:rsidRPr="001213F7">
              <w:t>2.0</w:t>
            </w:r>
          </w:p>
        </w:tc>
      </w:tr>
      <w:tr w:rsidR="00900469" w:rsidRPr="001213F7" w14:paraId="33A1F72B" w14:textId="77777777">
        <w:tc>
          <w:tcPr>
            <w:cnfStyle w:val="001000000000" w:firstRow="0" w:lastRow="0" w:firstColumn="1" w:lastColumn="0" w:oddVBand="0" w:evenVBand="0" w:oddHBand="0" w:evenHBand="0" w:firstRowFirstColumn="0" w:firstRowLastColumn="0" w:lastRowFirstColumn="0" w:lastRowLastColumn="0"/>
            <w:tcW w:w="2160" w:type="dxa"/>
          </w:tcPr>
          <w:p w14:paraId="2D78070B" w14:textId="77777777" w:rsidR="00900469" w:rsidRPr="001213F7" w:rsidRDefault="00900469">
            <w:r w:rsidRPr="001213F7">
              <w:t>Net cash flows from operating activities</w:t>
            </w:r>
          </w:p>
        </w:tc>
        <w:tc>
          <w:tcPr>
            <w:tcW w:w="792" w:type="dxa"/>
          </w:tcPr>
          <w:p w14:paraId="70B2FEEB" w14:textId="77777777" w:rsidR="00900469" w:rsidRPr="001213F7" w:rsidRDefault="00900469">
            <w:pPr>
              <w:jc w:val="center"/>
              <w:cnfStyle w:val="000000000000" w:firstRow="0" w:lastRow="0" w:firstColumn="0" w:lastColumn="0" w:oddVBand="0" w:evenVBand="0" w:oddHBand="0" w:evenHBand="0" w:firstRowFirstColumn="0" w:firstRowLastColumn="0" w:lastRowFirstColumn="0" w:lastRowLastColumn="0"/>
            </w:pPr>
            <w:r w:rsidRPr="001213F7">
              <w:t>$ billion</w:t>
            </w:r>
          </w:p>
        </w:tc>
        <w:tc>
          <w:tcPr>
            <w:tcW w:w="793" w:type="dxa"/>
          </w:tcPr>
          <w:p w14:paraId="1DEA79FB" w14:textId="77777777" w:rsidR="00900469" w:rsidRPr="001213F7" w:rsidRDefault="00900469">
            <w:pPr>
              <w:cnfStyle w:val="000000000000" w:firstRow="0" w:lastRow="0" w:firstColumn="0" w:lastColumn="0" w:oddVBand="0" w:evenVBand="0" w:oddHBand="0" w:evenHBand="0" w:firstRowFirstColumn="0" w:firstRowLastColumn="0" w:lastRowFirstColumn="0" w:lastRowLastColumn="0"/>
            </w:pPr>
            <w:r w:rsidRPr="001213F7">
              <w:t>3.2</w:t>
            </w:r>
          </w:p>
        </w:tc>
        <w:tc>
          <w:tcPr>
            <w:tcW w:w="793" w:type="dxa"/>
          </w:tcPr>
          <w:p w14:paraId="4756485B" w14:textId="77777777" w:rsidR="00900469" w:rsidRPr="001213F7" w:rsidRDefault="00900469">
            <w:pPr>
              <w:cnfStyle w:val="000000000000" w:firstRow="0" w:lastRow="0" w:firstColumn="0" w:lastColumn="0" w:oddVBand="0" w:evenVBand="0" w:oddHBand="0" w:evenHBand="0" w:firstRowFirstColumn="0" w:firstRowLastColumn="0" w:lastRowFirstColumn="0" w:lastRowLastColumn="0"/>
            </w:pPr>
            <w:r w:rsidRPr="001213F7">
              <w:t>6.9</w:t>
            </w:r>
          </w:p>
        </w:tc>
        <w:tc>
          <w:tcPr>
            <w:tcW w:w="793" w:type="dxa"/>
          </w:tcPr>
          <w:p w14:paraId="5422B169" w14:textId="77777777" w:rsidR="00900469" w:rsidRPr="001213F7" w:rsidRDefault="00900469">
            <w:pPr>
              <w:cnfStyle w:val="000000000000" w:firstRow="0" w:lastRow="0" w:firstColumn="0" w:lastColumn="0" w:oddVBand="0" w:evenVBand="0" w:oddHBand="0" w:evenHBand="0" w:firstRowFirstColumn="0" w:firstRowLastColumn="0" w:lastRowFirstColumn="0" w:lastRowLastColumn="0"/>
            </w:pPr>
            <w:r w:rsidRPr="001213F7">
              <w:t>6.5</w:t>
            </w:r>
          </w:p>
        </w:tc>
        <w:tc>
          <w:tcPr>
            <w:tcW w:w="793" w:type="dxa"/>
          </w:tcPr>
          <w:p w14:paraId="51FCE7A1" w14:textId="77777777" w:rsidR="00900469" w:rsidRPr="001213F7" w:rsidRDefault="00900469">
            <w:pPr>
              <w:cnfStyle w:val="000000000000" w:firstRow="0" w:lastRow="0" w:firstColumn="0" w:lastColumn="0" w:oddVBand="0" w:evenVBand="0" w:oddHBand="0" w:evenHBand="0" w:firstRowFirstColumn="0" w:firstRowLastColumn="0" w:lastRowFirstColumn="0" w:lastRowLastColumn="0"/>
            </w:pPr>
            <w:r w:rsidRPr="001213F7">
              <w:t>6.3</w:t>
            </w:r>
          </w:p>
        </w:tc>
        <w:tc>
          <w:tcPr>
            <w:tcW w:w="793" w:type="dxa"/>
          </w:tcPr>
          <w:p w14:paraId="6E4EE733" w14:textId="77777777" w:rsidR="00900469" w:rsidRPr="001213F7" w:rsidRDefault="00900469">
            <w:pPr>
              <w:cnfStyle w:val="000000000000" w:firstRow="0" w:lastRow="0" w:firstColumn="0" w:lastColumn="0" w:oddVBand="0" w:evenVBand="0" w:oddHBand="0" w:evenHBand="0" w:firstRowFirstColumn="0" w:firstRowLastColumn="0" w:lastRowFirstColumn="0" w:lastRowLastColumn="0"/>
            </w:pPr>
            <w:r w:rsidRPr="001213F7">
              <w:t>6.5</w:t>
            </w:r>
          </w:p>
        </w:tc>
        <w:tc>
          <w:tcPr>
            <w:tcW w:w="793" w:type="dxa"/>
          </w:tcPr>
          <w:p w14:paraId="640875F4" w14:textId="77777777" w:rsidR="00900469" w:rsidRPr="001213F7" w:rsidRDefault="00900469">
            <w:pPr>
              <w:cnfStyle w:val="000000000000" w:firstRow="0" w:lastRow="0" w:firstColumn="0" w:lastColumn="0" w:oddVBand="0" w:evenVBand="0" w:oddHBand="0" w:evenHBand="0" w:firstRowFirstColumn="0" w:firstRowLastColumn="0" w:lastRowFirstColumn="0" w:lastRowLastColumn="0"/>
            </w:pPr>
            <w:r w:rsidRPr="001213F7">
              <w:t>6.5</w:t>
            </w:r>
          </w:p>
        </w:tc>
      </w:tr>
      <w:tr w:rsidR="00900469" w:rsidRPr="001213F7" w14:paraId="6DBF5BC9" w14:textId="77777777">
        <w:tc>
          <w:tcPr>
            <w:cnfStyle w:val="001000000000" w:firstRow="0" w:lastRow="0" w:firstColumn="1" w:lastColumn="0" w:oddVBand="0" w:evenVBand="0" w:oddHBand="0" w:evenHBand="0" w:firstRowFirstColumn="0" w:firstRowLastColumn="0" w:lastRowFirstColumn="0" w:lastRowLastColumn="0"/>
            <w:tcW w:w="2160" w:type="dxa"/>
          </w:tcPr>
          <w:p w14:paraId="67940B2E" w14:textId="77777777" w:rsidR="00900469" w:rsidRPr="001213F7" w:rsidRDefault="00900469">
            <w:r w:rsidRPr="001213F7">
              <w:t xml:space="preserve">Government infrastructure investment </w:t>
            </w:r>
            <w:r w:rsidRPr="001213F7">
              <w:rPr>
                <w:vertAlign w:val="superscript"/>
              </w:rPr>
              <w:t>(a)(b)</w:t>
            </w:r>
          </w:p>
        </w:tc>
        <w:tc>
          <w:tcPr>
            <w:tcW w:w="792" w:type="dxa"/>
          </w:tcPr>
          <w:p w14:paraId="357DC664" w14:textId="77777777" w:rsidR="00900469" w:rsidRPr="001213F7" w:rsidRDefault="00900469">
            <w:pPr>
              <w:jc w:val="center"/>
              <w:cnfStyle w:val="000000000000" w:firstRow="0" w:lastRow="0" w:firstColumn="0" w:lastColumn="0" w:oddVBand="0" w:evenVBand="0" w:oddHBand="0" w:evenHBand="0" w:firstRowFirstColumn="0" w:firstRowLastColumn="0" w:lastRowFirstColumn="0" w:lastRowLastColumn="0"/>
            </w:pPr>
            <w:r w:rsidRPr="001213F7">
              <w:t>$ billion</w:t>
            </w:r>
          </w:p>
        </w:tc>
        <w:tc>
          <w:tcPr>
            <w:tcW w:w="793" w:type="dxa"/>
          </w:tcPr>
          <w:p w14:paraId="3530CCA3" w14:textId="77777777" w:rsidR="00900469" w:rsidRPr="001213F7" w:rsidRDefault="00900469">
            <w:pPr>
              <w:cnfStyle w:val="000000000000" w:firstRow="0" w:lastRow="0" w:firstColumn="0" w:lastColumn="0" w:oddVBand="0" w:evenVBand="0" w:oddHBand="0" w:evenHBand="0" w:firstRowFirstColumn="0" w:firstRowLastColumn="0" w:lastRowFirstColumn="0" w:lastRowLastColumn="0"/>
            </w:pPr>
            <w:r w:rsidRPr="001213F7">
              <w:t>23.5</w:t>
            </w:r>
          </w:p>
        </w:tc>
        <w:tc>
          <w:tcPr>
            <w:tcW w:w="793" w:type="dxa"/>
          </w:tcPr>
          <w:p w14:paraId="2C2748AE" w14:textId="77777777" w:rsidR="00900469" w:rsidRPr="001213F7" w:rsidRDefault="00900469">
            <w:pPr>
              <w:cnfStyle w:val="000000000000" w:firstRow="0" w:lastRow="0" w:firstColumn="0" w:lastColumn="0" w:oddVBand="0" w:evenVBand="0" w:oddHBand="0" w:evenHBand="0" w:firstRowFirstColumn="0" w:firstRowLastColumn="0" w:lastRowFirstColumn="0" w:lastRowLastColumn="0"/>
            </w:pPr>
            <w:r w:rsidRPr="001213F7">
              <w:t>21.4</w:t>
            </w:r>
          </w:p>
        </w:tc>
        <w:tc>
          <w:tcPr>
            <w:tcW w:w="793" w:type="dxa"/>
          </w:tcPr>
          <w:p w14:paraId="7A1C0F47" w14:textId="77777777" w:rsidR="00900469" w:rsidRPr="001213F7" w:rsidRDefault="00900469">
            <w:pPr>
              <w:cnfStyle w:val="000000000000" w:firstRow="0" w:lastRow="0" w:firstColumn="0" w:lastColumn="0" w:oddVBand="0" w:evenVBand="0" w:oddHBand="0" w:evenHBand="0" w:firstRowFirstColumn="0" w:firstRowLastColumn="0" w:lastRowFirstColumn="0" w:lastRowLastColumn="0"/>
            </w:pPr>
            <w:r w:rsidRPr="001213F7">
              <w:t>19.4</w:t>
            </w:r>
          </w:p>
        </w:tc>
        <w:tc>
          <w:tcPr>
            <w:tcW w:w="793" w:type="dxa"/>
          </w:tcPr>
          <w:p w14:paraId="21830F5B" w14:textId="77777777" w:rsidR="00900469" w:rsidRPr="001213F7" w:rsidRDefault="00900469">
            <w:pPr>
              <w:cnfStyle w:val="000000000000" w:firstRow="0" w:lastRow="0" w:firstColumn="0" w:lastColumn="0" w:oddVBand="0" w:evenVBand="0" w:oddHBand="0" w:evenHBand="0" w:firstRowFirstColumn="0" w:firstRowLastColumn="0" w:lastRowFirstColumn="0" w:lastRowLastColumn="0"/>
            </w:pPr>
            <w:r w:rsidRPr="001213F7">
              <w:t>15.9</w:t>
            </w:r>
          </w:p>
        </w:tc>
        <w:tc>
          <w:tcPr>
            <w:tcW w:w="793" w:type="dxa"/>
          </w:tcPr>
          <w:p w14:paraId="3BF0D393" w14:textId="77777777" w:rsidR="00900469" w:rsidRPr="001213F7" w:rsidRDefault="00900469">
            <w:pPr>
              <w:cnfStyle w:val="000000000000" w:firstRow="0" w:lastRow="0" w:firstColumn="0" w:lastColumn="0" w:oddVBand="0" w:evenVBand="0" w:oddHBand="0" w:evenHBand="0" w:firstRowFirstColumn="0" w:firstRowLastColumn="0" w:lastRowFirstColumn="0" w:lastRowLastColumn="0"/>
            </w:pPr>
            <w:r w:rsidRPr="001213F7">
              <w:t>15.5</w:t>
            </w:r>
          </w:p>
        </w:tc>
        <w:tc>
          <w:tcPr>
            <w:tcW w:w="793" w:type="dxa"/>
          </w:tcPr>
          <w:p w14:paraId="20F18D1D" w14:textId="77777777" w:rsidR="00900469" w:rsidRPr="001213F7" w:rsidRDefault="00900469">
            <w:pPr>
              <w:cnfStyle w:val="000000000000" w:firstRow="0" w:lastRow="0" w:firstColumn="0" w:lastColumn="0" w:oddVBand="0" w:evenVBand="0" w:oddHBand="0" w:evenHBand="0" w:firstRowFirstColumn="0" w:firstRowLastColumn="0" w:lastRowFirstColumn="0" w:lastRowLastColumn="0"/>
            </w:pPr>
            <w:r w:rsidRPr="001213F7">
              <w:t>15.3</w:t>
            </w:r>
          </w:p>
        </w:tc>
      </w:tr>
      <w:tr w:rsidR="00900469" w:rsidRPr="001213F7" w14:paraId="64FFF982" w14:textId="77777777">
        <w:tc>
          <w:tcPr>
            <w:cnfStyle w:val="001000000000" w:firstRow="0" w:lastRow="0" w:firstColumn="1" w:lastColumn="0" w:oddVBand="0" w:evenVBand="0" w:oddHBand="0" w:evenHBand="0" w:firstRowFirstColumn="0" w:firstRowLastColumn="0" w:lastRowFirstColumn="0" w:lastRowLastColumn="0"/>
            <w:tcW w:w="2160" w:type="dxa"/>
          </w:tcPr>
          <w:p w14:paraId="61312E72" w14:textId="77777777" w:rsidR="00900469" w:rsidRPr="001213F7" w:rsidRDefault="00900469">
            <w:r w:rsidRPr="001213F7">
              <w:t>Net debt</w:t>
            </w:r>
          </w:p>
        </w:tc>
        <w:tc>
          <w:tcPr>
            <w:tcW w:w="792" w:type="dxa"/>
          </w:tcPr>
          <w:p w14:paraId="36CFB224" w14:textId="77777777" w:rsidR="00900469" w:rsidRPr="001213F7" w:rsidRDefault="00900469">
            <w:pPr>
              <w:jc w:val="center"/>
              <w:cnfStyle w:val="000000000000" w:firstRow="0" w:lastRow="0" w:firstColumn="0" w:lastColumn="0" w:oddVBand="0" w:evenVBand="0" w:oddHBand="0" w:evenHBand="0" w:firstRowFirstColumn="0" w:firstRowLastColumn="0" w:lastRowFirstColumn="0" w:lastRowLastColumn="0"/>
            </w:pPr>
            <w:r w:rsidRPr="001213F7">
              <w:t>$ billion</w:t>
            </w:r>
          </w:p>
        </w:tc>
        <w:tc>
          <w:tcPr>
            <w:tcW w:w="793" w:type="dxa"/>
          </w:tcPr>
          <w:p w14:paraId="58F1EA0A" w14:textId="77777777" w:rsidR="00900469" w:rsidRPr="001213F7" w:rsidRDefault="00900469">
            <w:pPr>
              <w:cnfStyle w:val="000000000000" w:firstRow="0" w:lastRow="0" w:firstColumn="0" w:lastColumn="0" w:oddVBand="0" w:evenVBand="0" w:oddHBand="0" w:evenHBand="0" w:firstRowFirstColumn="0" w:firstRowLastColumn="0" w:lastRowFirstColumn="0" w:lastRowLastColumn="0"/>
            </w:pPr>
            <w:r w:rsidRPr="001213F7">
              <w:t>150.9</w:t>
            </w:r>
          </w:p>
        </w:tc>
        <w:tc>
          <w:tcPr>
            <w:tcW w:w="793" w:type="dxa"/>
          </w:tcPr>
          <w:p w14:paraId="53AC6F1A" w14:textId="77777777" w:rsidR="00900469" w:rsidRPr="001213F7" w:rsidRDefault="00900469">
            <w:pPr>
              <w:cnfStyle w:val="000000000000" w:firstRow="0" w:lastRow="0" w:firstColumn="0" w:lastColumn="0" w:oddVBand="0" w:evenVBand="0" w:oddHBand="0" w:evenHBand="0" w:firstRowFirstColumn="0" w:firstRowLastColumn="0" w:lastRowFirstColumn="0" w:lastRowLastColumn="0"/>
            </w:pPr>
            <w:r w:rsidRPr="001213F7">
              <w:t>165.3</w:t>
            </w:r>
          </w:p>
        </w:tc>
        <w:tc>
          <w:tcPr>
            <w:tcW w:w="793" w:type="dxa"/>
          </w:tcPr>
          <w:p w14:paraId="192F20C0" w14:textId="77777777" w:rsidR="00900469" w:rsidRPr="001213F7" w:rsidRDefault="00900469">
            <w:pPr>
              <w:cnfStyle w:val="000000000000" w:firstRow="0" w:lastRow="0" w:firstColumn="0" w:lastColumn="0" w:oddVBand="0" w:evenVBand="0" w:oddHBand="0" w:evenHBand="0" w:firstRowFirstColumn="0" w:firstRowLastColumn="0" w:lastRowFirstColumn="0" w:lastRowLastColumn="0"/>
            </w:pPr>
            <w:r w:rsidRPr="001213F7">
              <w:t>175.6</w:t>
            </w:r>
          </w:p>
        </w:tc>
        <w:tc>
          <w:tcPr>
            <w:tcW w:w="793" w:type="dxa"/>
          </w:tcPr>
          <w:p w14:paraId="4008133B" w14:textId="77777777" w:rsidR="00900469" w:rsidRPr="001213F7" w:rsidRDefault="00900469">
            <w:pPr>
              <w:cnfStyle w:val="000000000000" w:firstRow="0" w:lastRow="0" w:firstColumn="0" w:lastColumn="0" w:oddVBand="0" w:evenVBand="0" w:oddHBand="0" w:evenHBand="0" w:firstRowFirstColumn="0" w:firstRowLastColumn="0" w:lastRowFirstColumn="0" w:lastRowLastColumn="0"/>
            </w:pPr>
            <w:r w:rsidRPr="001213F7">
              <w:t>183.2</w:t>
            </w:r>
          </w:p>
        </w:tc>
        <w:tc>
          <w:tcPr>
            <w:tcW w:w="793" w:type="dxa"/>
          </w:tcPr>
          <w:p w14:paraId="10D6A217" w14:textId="77777777" w:rsidR="00900469" w:rsidRPr="001213F7" w:rsidRDefault="00900469">
            <w:pPr>
              <w:cnfStyle w:val="000000000000" w:firstRow="0" w:lastRow="0" w:firstColumn="0" w:lastColumn="0" w:oddVBand="0" w:evenVBand="0" w:oddHBand="0" w:evenHBand="0" w:firstRowFirstColumn="0" w:firstRowLastColumn="0" w:lastRowFirstColumn="0" w:lastRowLastColumn="0"/>
            </w:pPr>
            <w:r w:rsidRPr="001213F7">
              <w:t>191.1</w:t>
            </w:r>
          </w:p>
        </w:tc>
        <w:tc>
          <w:tcPr>
            <w:tcW w:w="793" w:type="dxa"/>
          </w:tcPr>
          <w:p w14:paraId="1515162A" w14:textId="77777777" w:rsidR="00900469" w:rsidRPr="001213F7" w:rsidRDefault="00900469">
            <w:pPr>
              <w:cnfStyle w:val="000000000000" w:firstRow="0" w:lastRow="0" w:firstColumn="0" w:lastColumn="0" w:oddVBand="0" w:evenVBand="0" w:oddHBand="0" w:evenHBand="0" w:firstRowFirstColumn="0" w:firstRowLastColumn="0" w:lastRowFirstColumn="0" w:lastRowLastColumn="0"/>
            </w:pPr>
            <w:r w:rsidRPr="001213F7">
              <w:t>199.3</w:t>
            </w:r>
          </w:p>
        </w:tc>
      </w:tr>
      <w:tr w:rsidR="00900469" w:rsidRPr="001213F7" w14:paraId="3C57E3E7" w14:textId="77777777">
        <w:tc>
          <w:tcPr>
            <w:cnfStyle w:val="001000000000" w:firstRow="0" w:lastRow="0" w:firstColumn="1" w:lastColumn="0" w:oddVBand="0" w:evenVBand="0" w:oddHBand="0" w:evenHBand="0" w:firstRowFirstColumn="0" w:firstRowLastColumn="0" w:lastRowFirstColumn="0" w:lastRowLastColumn="0"/>
            <w:tcW w:w="2160" w:type="dxa"/>
            <w:tcBorders>
              <w:bottom w:val="single" w:sz="12" w:space="0" w:color="auto"/>
            </w:tcBorders>
          </w:tcPr>
          <w:p w14:paraId="4B13EF88" w14:textId="77777777" w:rsidR="00900469" w:rsidRPr="001213F7" w:rsidRDefault="00900469">
            <w:r w:rsidRPr="001213F7">
              <w:t xml:space="preserve">Net debt to GSP </w:t>
            </w:r>
            <w:r w:rsidRPr="001213F7">
              <w:rPr>
                <w:vertAlign w:val="superscript"/>
              </w:rPr>
              <w:t>(c)</w:t>
            </w:r>
          </w:p>
        </w:tc>
        <w:tc>
          <w:tcPr>
            <w:tcW w:w="792" w:type="dxa"/>
            <w:tcBorders>
              <w:bottom w:val="single" w:sz="12" w:space="0" w:color="auto"/>
            </w:tcBorders>
          </w:tcPr>
          <w:p w14:paraId="56D8FF2F" w14:textId="77777777" w:rsidR="00900469" w:rsidRPr="001213F7" w:rsidRDefault="00900469">
            <w:pPr>
              <w:jc w:val="center"/>
              <w:cnfStyle w:val="000000000000" w:firstRow="0" w:lastRow="0" w:firstColumn="0" w:lastColumn="0" w:oddVBand="0" w:evenVBand="0" w:oddHBand="0" w:evenHBand="0" w:firstRowFirstColumn="0" w:firstRowLastColumn="0" w:lastRowFirstColumn="0" w:lastRowLastColumn="0"/>
            </w:pPr>
            <w:r w:rsidRPr="001213F7">
              <w:t>per cent</w:t>
            </w:r>
          </w:p>
        </w:tc>
        <w:tc>
          <w:tcPr>
            <w:tcW w:w="793" w:type="dxa"/>
            <w:tcBorders>
              <w:bottom w:val="single" w:sz="12" w:space="0" w:color="auto"/>
            </w:tcBorders>
          </w:tcPr>
          <w:p w14:paraId="5DC2928D" w14:textId="77777777" w:rsidR="00900469" w:rsidRPr="001213F7" w:rsidRDefault="00900469">
            <w:pPr>
              <w:cnfStyle w:val="000000000000" w:firstRow="0" w:lastRow="0" w:firstColumn="0" w:lastColumn="0" w:oddVBand="0" w:evenVBand="0" w:oddHBand="0" w:evenHBand="0" w:firstRowFirstColumn="0" w:firstRowLastColumn="0" w:lastRowFirstColumn="0" w:lastRowLastColumn="0"/>
            </w:pPr>
            <w:r w:rsidRPr="001213F7">
              <w:t>23.7</w:t>
            </w:r>
          </w:p>
        </w:tc>
        <w:tc>
          <w:tcPr>
            <w:tcW w:w="793" w:type="dxa"/>
            <w:tcBorders>
              <w:bottom w:val="single" w:sz="12" w:space="0" w:color="auto"/>
            </w:tcBorders>
          </w:tcPr>
          <w:p w14:paraId="0C7D1B52" w14:textId="77777777" w:rsidR="00900469" w:rsidRPr="001213F7" w:rsidRDefault="00900469">
            <w:pPr>
              <w:cnfStyle w:val="000000000000" w:firstRow="0" w:lastRow="0" w:firstColumn="0" w:lastColumn="0" w:oddVBand="0" w:evenVBand="0" w:oddHBand="0" w:evenHBand="0" w:firstRowFirstColumn="0" w:firstRowLastColumn="0" w:lastRowFirstColumn="0" w:lastRowLastColumn="0"/>
            </w:pPr>
            <w:r w:rsidRPr="001213F7">
              <w:t>24.7</w:t>
            </w:r>
          </w:p>
        </w:tc>
        <w:tc>
          <w:tcPr>
            <w:tcW w:w="793" w:type="dxa"/>
            <w:tcBorders>
              <w:bottom w:val="single" w:sz="12" w:space="0" w:color="auto"/>
            </w:tcBorders>
          </w:tcPr>
          <w:p w14:paraId="368DC213" w14:textId="77777777" w:rsidR="00900469" w:rsidRPr="001213F7" w:rsidRDefault="00900469">
            <w:pPr>
              <w:cnfStyle w:val="000000000000" w:firstRow="0" w:lastRow="0" w:firstColumn="0" w:lastColumn="0" w:oddVBand="0" w:evenVBand="0" w:oddHBand="0" w:evenHBand="0" w:firstRowFirstColumn="0" w:firstRowLastColumn="0" w:lastRowFirstColumn="0" w:lastRowLastColumn="0"/>
            </w:pPr>
            <w:r w:rsidRPr="001213F7">
              <w:t>24.9</w:t>
            </w:r>
          </w:p>
        </w:tc>
        <w:tc>
          <w:tcPr>
            <w:tcW w:w="793" w:type="dxa"/>
            <w:tcBorders>
              <w:bottom w:val="single" w:sz="12" w:space="0" w:color="auto"/>
            </w:tcBorders>
          </w:tcPr>
          <w:p w14:paraId="775B2FF6" w14:textId="77777777" w:rsidR="00900469" w:rsidRPr="001213F7" w:rsidRDefault="00900469">
            <w:pPr>
              <w:cnfStyle w:val="000000000000" w:firstRow="0" w:lastRow="0" w:firstColumn="0" w:lastColumn="0" w:oddVBand="0" w:evenVBand="0" w:oddHBand="0" w:evenHBand="0" w:firstRowFirstColumn="0" w:firstRowLastColumn="0" w:lastRowFirstColumn="0" w:lastRowLastColumn="0"/>
            </w:pPr>
            <w:r w:rsidRPr="001213F7">
              <w:t>24.8</w:t>
            </w:r>
          </w:p>
        </w:tc>
        <w:tc>
          <w:tcPr>
            <w:tcW w:w="793" w:type="dxa"/>
            <w:tcBorders>
              <w:bottom w:val="single" w:sz="12" w:space="0" w:color="auto"/>
            </w:tcBorders>
          </w:tcPr>
          <w:p w14:paraId="004BE123" w14:textId="77777777" w:rsidR="00900469" w:rsidRPr="001213F7" w:rsidRDefault="00900469">
            <w:pPr>
              <w:cnfStyle w:val="000000000000" w:firstRow="0" w:lastRow="0" w:firstColumn="0" w:lastColumn="0" w:oddVBand="0" w:evenVBand="0" w:oddHBand="0" w:evenHBand="0" w:firstRowFirstColumn="0" w:firstRowLastColumn="0" w:lastRowFirstColumn="0" w:lastRowLastColumn="0"/>
            </w:pPr>
            <w:r w:rsidRPr="001213F7">
              <w:t>24.6</w:t>
            </w:r>
          </w:p>
        </w:tc>
        <w:tc>
          <w:tcPr>
            <w:tcW w:w="793" w:type="dxa"/>
            <w:tcBorders>
              <w:bottom w:val="single" w:sz="12" w:space="0" w:color="auto"/>
            </w:tcBorders>
          </w:tcPr>
          <w:p w14:paraId="7A08BD6C" w14:textId="77777777" w:rsidR="00900469" w:rsidRPr="001213F7" w:rsidRDefault="00900469">
            <w:pPr>
              <w:cnfStyle w:val="000000000000" w:firstRow="0" w:lastRow="0" w:firstColumn="0" w:lastColumn="0" w:oddVBand="0" w:evenVBand="0" w:oddHBand="0" w:evenHBand="0" w:firstRowFirstColumn="0" w:firstRowLastColumn="0" w:lastRowFirstColumn="0" w:lastRowLastColumn="0"/>
            </w:pPr>
            <w:r w:rsidRPr="001213F7">
              <w:t>24.4</w:t>
            </w:r>
          </w:p>
        </w:tc>
      </w:tr>
    </w:tbl>
    <w:p w14:paraId="12CEECF6" w14:textId="77777777" w:rsidR="00900469" w:rsidRPr="001213F7" w:rsidRDefault="00900469" w:rsidP="00303EAE">
      <w:pPr>
        <w:pStyle w:val="Note"/>
        <w:keepNext/>
        <w:ind w:left="288" w:hanging="288"/>
      </w:pPr>
      <w:r w:rsidRPr="001213F7">
        <w:t>Notes:</w:t>
      </w:r>
    </w:p>
    <w:p w14:paraId="27655D41" w14:textId="77777777" w:rsidR="00900469" w:rsidRPr="001213F7" w:rsidRDefault="00900469" w:rsidP="00A92031">
      <w:pPr>
        <w:pStyle w:val="Note"/>
      </w:pPr>
      <w:r w:rsidRPr="001213F7">
        <w:t>(a)</w:t>
      </w:r>
      <w:r w:rsidRPr="001213F7">
        <w:tab/>
        <w:t>Includes general government net infrastructure investment and the estimated cash flows for public private partnership projects.</w:t>
      </w:r>
    </w:p>
    <w:p w14:paraId="76B74FD1" w14:textId="77777777" w:rsidR="00900469" w:rsidRPr="001213F7" w:rsidRDefault="00900469" w:rsidP="00A92031">
      <w:pPr>
        <w:pStyle w:val="Note"/>
      </w:pPr>
      <w:r w:rsidRPr="001213F7">
        <w:t>(b)</w:t>
      </w:r>
      <w:r w:rsidRPr="001213F7">
        <w:tab/>
        <w:t>Includes the estimated private sector construction-related expenditure associated with the North East Link held in the public non</w:t>
      </w:r>
      <w:r w:rsidRPr="001213F7">
        <w:noBreakHyphen/>
        <w:t>financial corporations (PNFC) sector.</w:t>
      </w:r>
    </w:p>
    <w:p w14:paraId="717DF085" w14:textId="77777777" w:rsidR="00900469" w:rsidRPr="001213F7" w:rsidRDefault="00900469" w:rsidP="00A92031">
      <w:pPr>
        <w:pStyle w:val="Note"/>
      </w:pPr>
      <w:r w:rsidRPr="001213F7">
        <w:t>(c)</w:t>
      </w:r>
      <w:r w:rsidRPr="001213F7">
        <w:tab/>
        <w:t>The ratios to GSP may vary between publications due to revisions by the Australian Bureau of Statistics to GSP data.</w:t>
      </w:r>
    </w:p>
    <w:p w14:paraId="0781183A" w14:textId="77777777" w:rsidR="00900469" w:rsidRPr="001213F7" w:rsidRDefault="00900469" w:rsidP="00A92031">
      <w:pPr>
        <w:pStyle w:val="Note"/>
      </w:pPr>
    </w:p>
    <w:p w14:paraId="7E8B30EC" w14:textId="77777777" w:rsidR="00900469" w:rsidRPr="001213F7" w:rsidRDefault="00900469" w:rsidP="00A92031">
      <w:pPr>
        <w:keepLines w:val="0"/>
      </w:pPr>
      <w:r w:rsidRPr="001213F7">
        <w:t>Total revenue for the general government sector is expected to be $115.6 billion in 2026</w:t>
      </w:r>
      <w:r w:rsidRPr="001213F7">
        <w:rPr>
          <w:rFonts w:ascii="Times New Roman" w:hAnsi="Times New Roman"/>
        </w:rPr>
        <w:t>‑</w:t>
      </w:r>
      <w:r w:rsidRPr="001213F7">
        <w:t>27. Revenue growth is then expected to average 2.7 per cent a year over the forward estimates, reaching $125.4 billion in 2029</w:t>
      </w:r>
      <w:r w:rsidRPr="001213F7">
        <w:noBreakHyphen/>
        <w:t>30.</w:t>
      </w:r>
    </w:p>
    <w:p w14:paraId="3CE0D55B" w14:textId="77777777" w:rsidR="00900469" w:rsidRPr="001213F7" w:rsidRDefault="00900469" w:rsidP="00A92031">
      <w:pPr>
        <w:keepLines w:val="0"/>
        <w:rPr>
          <w:color w:val="000000" w:themeColor="text1"/>
        </w:rPr>
      </w:pPr>
      <w:r w:rsidRPr="001213F7">
        <w:rPr>
          <w:color w:val="000000" w:themeColor="text1"/>
        </w:rPr>
        <w:t xml:space="preserve">Total general government sector expenditure is expected to be $114.5 billion in </w:t>
      </w:r>
      <w:r w:rsidRPr="001213F7">
        <w:t>2026</w:t>
      </w:r>
      <w:r w:rsidRPr="001213F7">
        <w:rPr>
          <w:rFonts w:ascii="Times New Roman" w:hAnsi="Times New Roman"/>
        </w:rPr>
        <w:t>‑</w:t>
      </w:r>
      <w:r w:rsidRPr="001213F7">
        <w:t>27</w:t>
      </w:r>
      <w:r w:rsidRPr="001213F7">
        <w:rPr>
          <w:color w:val="000000" w:themeColor="text1"/>
        </w:rPr>
        <w:t xml:space="preserve"> and grow by an average of 2.5 per cent a year over the forward estimates, reaching $123.4 billion in </w:t>
      </w:r>
      <w:r w:rsidRPr="001213F7">
        <w:t>2029</w:t>
      </w:r>
      <w:r w:rsidRPr="001213F7">
        <w:noBreakHyphen/>
        <w:t>30</w:t>
      </w:r>
      <w:r w:rsidRPr="001213F7">
        <w:rPr>
          <w:color w:val="000000" w:themeColor="text1"/>
        </w:rPr>
        <w:t>.</w:t>
      </w:r>
    </w:p>
    <w:p w14:paraId="1865D535" w14:textId="77777777" w:rsidR="00900469" w:rsidRPr="001213F7" w:rsidRDefault="00900469">
      <w:pPr>
        <w:ind w:right="-119"/>
      </w:pPr>
      <w:r w:rsidRPr="001213F7">
        <w:t>Government infrastructure investment (GII) peaked at $24.2 billion in 2023-24. GII is projected to be $21.4 billion for 2025-26 and moderate to $15.3 billion by 2029-30. GII averages $16.5 billion a year over the budget and forward estimates, which is around the 2015-16 to 2029-30 average of $16.1 billion. The Government is committed to a sustainable infrastructure program and returning infrastructure investment to pre-COVID levels.</w:t>
      </w:r>
    </w:p>
    <w:p w14:paraId="15B1213B" w14:textId="77777777" w:rsidR="00900469" w:rsidRPr="001213F7" w:rsidRDefault="00900469" w:rsidP="00A92031">
      <w:r w:rsidRPr="001213F7">
        <w:t>A sustainable pipeline of infrastructure projects will continue to provide certainty to the construction industry and maintain a steady flow of investment in social and economic infrastructure for all Victorians.</w:t>
      </w:r>
    </w:p>
    <w:p w14:paraId="47549925" w14:textId="77777777" w:rsidR="00900469" w:rsidRPr="001213F7" w:rsidRDefault="00900469" w:rsidP="00386230">
      <w:pPr>
        <w:keepNext/>
      </w:pPr>
      <w:r w:rsidRPr="001213F7">
        <w:lastRenderedPageBreak/>
        <w:t xml:space="preserve">Net debt is expected to be $175.6 billion at June 2027 and increase to $191.1 billion by June 2029. Compared with the </w:t>
      </w:r>
      <w:r w:rsidRPr="001213F7">
        <w:rPr>
          <w:i/>
        </w:rPr>
        <w:t>2025</w:t>
      </w:r>
      <w:r w:rsidRPr="001213F7">
        <w:rPr>
          <w:i/>
        </w:rPr>
        <w:noBreakHyphen/>
        <w:t>26 Budget Update,</w:t>
      </w:r>
      <w:r w:rsidRPr="001213F7">
        <w:t xml:space="preserve"> this is an improvement in all years across the budget and forward estimates, including an improvement of $1.5 billion by June 2029. Net debt is then forecast to increase to $199.3 billion by June 2030. </w:t>
      </w:r>
    </w:p>
    <w:p w14:paraId="1383E993" w14:textId="77777777" w:rsidR="00900469" w:rsidRPr="001213F7" w:rsidRDefault="00900469" w:rsidP="00183786">
      <w:r w:rsidRPr="001213F7">
        <w:t xml:space="preserve">As a proportion of GSP, net debt is projected to reach 24.9 per cent at June 2027 before declining each year across the forward estimates to 24.4 per cent by June 2030. Compared with the </w:t>
      </w:r>
      <w:r w:rsidRPr="001213F7">
        <w:rPr>
          <w:i/>
          <w:iCs/>
        </w:rPr>
        <w:t>2025-26 Budget Update</w:t>
      </w:r>
      <w:r w:rsidRPr="001213F7">
        <w:t>, net debt to GSP is lower across all published years.</w:t>
      </w:r>
    </w:p>
    <w:p w14:paraId="46A46AAB" w14:textId="77777777" w:rsidR="00900469" w:rsidRPr="001213F7" w:rsidRDefault="00900469" w:rsidP="0029664E">
      <w:pPr>
        <w:pStyle w:val="Heading2"/>
      </w:pPr>
      <w:r w:rsidRPr="001213F7">
        <w:t xml:space="preserve">Debt reduction </w:t>
      </w:r>
    </w:p>
    <w:p w14:paraId="2C9CF9CA" w14:textId="77777777" w:rsidR="00900469" w:rsidRPr="001213F7" w:rsidRDefault="00900469">
      <w:pPr>
        <w:keepNext/>
      </w:pPr>
      <w:r w:rsidRPr="001213F7">
        <w:t>Steps 4 and 5 of the fiscal strategy are to stabilise and then reduce net debt as a percentage of GSP by the end of the forward estimates. These steps involve progressively improving the operating cash surpluses while growing the economy. These surpluses will fund a higher proportion of capital expenditure, reducing the use of borrowings to fund the State’s capital program.</w:t>
      </w:r>
    </w:p>
    <w:p w14:paraId="1D2781CB" w14:textId="77777777" w:rsidR="00900469" w:rsidRPr="001213F7" w:rsidRDefault="00900469">
      <w:r w:rsidRPr="001213F7">
        <w:t xml:space="preserve">Nominal net debt is lower in each year across the budget and forward estimates compared with the </w:t>
      </w:r>
      <w:r w:rsidRPr="001213F7">
        <w:rPr>
          <w:i/>
        </w:rPr>
        <w:t>2025-26 Budget Update</w:t>
      </w:r>
      <w:r w:rsidRPr="001213F7">
        <w:t>.</w:t>
      </w:r>
    </w:p>
    <w:p w14:paraId="0FAB0032" w14:textId="477F3AB6" w:rsidR="00900469" w:rsidRPr="001213F7" w:rsidRDefault="00900469" w:rsidP="0029664E">
      <w:pPr>
        <w:ind w:right="151"/>
        <w:rPr>
          <w:color w:val="000000" w:themeColor="text1"/>
        </w:rPr>
      </w:pPr>
      <w:r w:rsidRPr="001213F7">
        <w:rPr>
          <w:color w:val="000000" w:themeColor="text1"/>
        </w:rPr>
        <w:t>The net debt to GSP ratio is a measure of the size of the State’s debt compared with the size of the economy. Chart 1.</w:t>
      </w:r>
      <w:r w:rsidR="009E0B89" w:rsidRPr="001213F7">
        <w:rPr>
          <w:color w:val="000000" w:themeColor="text1"/>
        </w:rPr>
        <w:t>2</w:t>
      </w:r>
      <w:r w:rsidRPr="001213F7">
        <w:rPr>
          <w:color w:val="000000" w:themeColor="text1"/>
        </w:rPr>
        <w:t xml:space="preserve"> shows that the annual growth rate of net debt to GSP increased during the three years from 2019</w:t>
      </w:r>
      <w:r w:rsidRPr="001213F7">
        <w:rPr>
          <w:color w:val="000000" w:themeColor="text1"/>
        </w:rPr>
        <w:noBreakHyphen/>
        <w:t>20 due to the impact of the pandemic, and that the Government’s fiscal strategy is working to stabilise then</w:t>
      </w:r>
      <w:r w:rsidRPr="001213F7" w:rsidDel="00BC328A">
        <w:rPr>
          <w:color w:val="000000" w:themeColor="text1"/>
        </w:rPr>
        <w:t xml:space="preserve"> </w:t>
      </w:r>
      <w:r w:rsidRPr="001213F7">
        <w:rPr>
          <w:color w:val="000000" w:themeColor="text1"/>
        </w:rPr>
        <w:t xml:space="preserve">reduce net debt to GSP across the budget and forward estimates. </w:t>
      </w:r>
    </w:p>
    <w:p w14:paraId="2E334187" w14:textId="1B487357" w:rsidR="00900469" w:rsidRPr="001213F7" w:rsidRDefault="00900469" w:rsidP="00A834A0">
      <w:pPr>
        <w:pStyle w:val="TableHeading"/>
        <w:rPr>
          <w:vertAlign w:val="superscript"/>
        </w:rPr>
      </w:pPr>
      <w:r w:rsidRPr="001213F7">
        <w:t>Chart 1.</w:t>
      </w:r>
      <w:r w:rsidR="009E0B89" w:rsidRPr="001213F7">
        <w:t>2</w:t>
      </w:r>
      <w:r w:rsidRPr="001213F7">
        <w:t>:</w:t>
      </w:r>
      <w:r w:rsidRPr="001213F7">
        <w:tab/>
        <w:t xml:space="preserve">Annual net debt to GSP growth </w:t>
      </w:r>
      <w:r w:rsidRPr="001213F7">
        <w:rPr>
          <w:vertAlign w:val="superscript"/>
        </w:rPr>
        <w:t>(a)(b)</w:t>
      </w:r>
    </w:p>
    <w:p w14:paraId="7F6596D4" w14:textId="77777777" w:rsidR="00900469" w:rsidRPr="001213F7" w:rsidRDefault="00900469">
      <w:r w:rsidRPr="001213F7">
        <w:rPr>
          <w:noProof/>
        </w:rPr>
        <w:drawing>
          <wp:inline distT="0" distB="0" distL="0" distR="0" wp14:anchorId="50A6D8D0" wp14:editId="2BD8851F">
            <wp:extent cx="4896485" cy="2789555"/>
            <wp:effectExtent l="0" t="0" r="0" b="0"/>
            <wp:docPr id="136805076" name="Chart 1">
              <a:extLst xmlns:a="http://schemas.openxmlformats.org/drawingml/2006/main">
                <a:ext uri="{FF2B5EF4-FFF2-40B4-BE49-F238E27FC236}">
                  <a16:creationId xmlns:a16="http://schemas.microsoft.com/office/drawing/2014/main" id="{85B23294-8AE9-4640-8C7A-BC7F3D4FE9F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77584B75" w14:textId="77777777" w:rsidR="00900469" w:rsidRPr="001213F7" w:rsidRDefault="00900469" w:rsidP="00A92031">
      <w:pPr>
        <w:pStyle w:val="Note"/>
      </w:pPr>
      <w:r w:rsidRPr="001213F7">
        <w:t>Notes:</w:t>
      </w:r>
    </w:p>
    <w:p w14:paraId="1153BEDE" w14:textId="77777777" w:rsidR="00900469" w:rsidRPr="001213F7" w:rsidRDefault="00900469" w:rsidP="00A92031">
      <w:pPr>
        <w:pStyle w:val="Note"/>
      </w:pPr>
      <w:r w:rsidRPr="001213F7">
        <w:t>(a)</w:t>
      </w:r>
      <w:r w:rsidRPr="001213F7">
        <w:tab/>
        <w:t>The decrease in 2016</w:t>
      </w:r>
      <w:r w:rsidRPr="001213F7">
        <w:noBreakHyphen/>
        <w:t>17 largely reflects the receipt of proceeds from entering into a medium-term lease over the operations of the Port of Melbourne.</w:t>
      </w:r>
    </w:p>
    <w:p w14:paraId="54CE0BC3" w14:textId="77777777" w:rsidR="00900469" w:rsidRPr="001213F7" w:rsidRDefault="00900469" w:rsidP="00A92031">
      <w:pPr>
        <w:pStyle w:val="Note"/>
      </w:pPr>
      <w:r w:rsidRPr="001213F7">
        <w:t>(b)</w:t>
      </w:r>
      <w:r w:rsidRPr="001213F7">
        <w:tab/>
        <w:t xml:space="preserve">The increase in 2019-20 reflects the impact of changes to accounting standards. The step-change increase in net debt includes the requirement to classify operating leases as debt and the treatment for service concession arrangements, including certain public private partnerships. </w:t>
      </w:r>
    </w:p>
    <w:p w14:paraId="7FA60BC2" w14:textId="77777777" w:rsidR="00900469" w:rsidRPr="001213F7" w:rsidRDefault="00900469" w:rsidP="00402CBD">
      <w:pPr>
        <w:pStyle w:val="Heading2"/>
      </w:pPr>
      <w:r w:rsidRPr="001213F7">
        <w:lastRenderedPageBreak/>
        <w:t>Longer-term objectives and targets</w:t>
      </w:r>
    </w:p>
    <w:p w14:paraId="201DFC1A" w14:textId="77777777" w:rsidR="00900469" w:rsidRPr="001213F7" w:rsidRDefault="00900469">
      <w:pPr>
        <w:keepNext/>
        <w:ind w:right="-119"/>
      </w:pPr>
      <w:r w:rsidRPr="001213F7" w:rsidDel="00076B72">
        <w:t xml:space="preserve">The </w:t>
      </w:r>
      <w:r w:rsidRPr="001213F7" w:rsidDel="00076B72">
        <w:rPr>
          <w:i/>
        </w:rPr>
        <w:t>202</w:t>
      </w:r>
      <w:r w:rsidRPr="001213F7">
        <w:rPr>
          <w:i/>
        </w:rPr>
        <w:t>6</w:t>
      </w:r>
      <w:r w:rsidRPr="001213F7" w:rsidDel="00076B72">
        <w:rPr>
          <w:i/>
        </w:rPr>
        <w:noBreakHyphen/>
        <w:t>2</w:t>
      </w:r>
      <w:r w:rsidRPr="001213F7">
        <w:rPr>
          <w:i/>
        </w:rPr>
        <w:t>7</w:t>
      </w:r>
      <w:r w:rsidRPr="001213F7" w:rsidDel="00076B72">
        <w:rPr>
          <w:i/>
        </w:rPr>
        <w:t xml:space="preserve"> Budget</w:t>
      </w:r>
      <w:r w:rsidRPr="001213F7" w:rsidDel="00076B72">
        <w:t xml:space="preserve"> reflects the Government’s long-term financial management objectives</w:t>
      </w:r>
      <w:r w:rsidRPr="001213F7">
        <w:t xml:space="preserve"> </w:t>
      </w:r>
      <w:r w:rsidRPr="001213F7" w:rsidDel="00076B72">
        <w:t xml:space="preserve">– as set out in Table 1.2, and these remain unchanged from the </w:t>
      </w:r>
      <w:r w:rsidRPr="001213F7">
        <w:rPr>
          <w:i/>
          <w:iCs/>
        </w:rPr>
        <w:t>2025</w:t>
      </w:r>
      <w:r w:rsidRPr="001213F7">
        <w:rPr>
          <w:i/>
          <w:iCs/>
        </w:rPr>
        <w:noBreakHyphen/>
        <w:t>26 Budget Update</w:t>
      </w:r>
      <w:r w:rsidRPr="001213F7">
        <w:t>.</w:t>
      </w:r>
    </w:p>
    <w:p w14:paraId="395D3734" w14:textId="77777777" w:rsidR="00900469" w:rsidRPr="001213F7" w:rsidRDefault="00900469" w:rsidP="00303EAE">
      <w:pPr>
        <w:pStyle w:val="TableHeading"/>
      </w:pPr>
      <w:r w:rsidRPr="001213F7">
        <w:t xml:space="preserve">Table 1.2: </w:t>
      </w:r>
      <w:r w:rsidRPr="001213F7">
        <w:tab/>
        <w:t>Long-term financial management objectives</w:t>
      </w:r>
    </w:p>
    <w:tbl>
      <w:tblPr>
        <w:tblStyle w:val="DTFTableText"/>
        <w:tblW w:w="7712" w:type="dxa"/>
        <w:tblLook w:val="06A0" w:firstRow="1" w:lastRow="0" w:firstColumn="1" w:lastColumn="0" w:noHBand="1" w:noVBand="1"/>
      </w:tblPr>
      <w:tblGrid>
        <w:gridCol w:w="2508"/>
        <w:gridCol w:w="5204"/>
      </w:tblGrid>
      <w:tr w:rsidR="00900469" w:rsidRPr="001213F7" w14:paraId="5D17C5AF"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8" w:type="dxa"/>
          </w:tcPr>
          <w:p w14:paraId="481BA3DA" w14:textId="77777777" w:rsidR="00900469" w:rsidRPr="001213F7" w:rsidRDefault="00900469">
            <w:pPr>
              <w:keepNext/>
              <w:spacing w:before="20" w:after="20"/>
              <w:rPr>
                <w:rFonts w:cstheme="majorHAnsi"/>
                <w:b w:val="0"/>
                <w:szCs w:val="18"/>
              </w:rPr>
            </w:pPr>
            <w:r w:rsidRPr="001213F7">
              <w:rPr>
                <w:rFonts w:cstheme="majorHAnsi"/>
                <w:szCs w:val="18"/>
              </w:rPr>
              <w:t>Priority</w:t>
            </w:r>
          </w:p>
        </w:tc>
        <w:tc>
          <w:tcPr>
            <w:tcW w:w="5204" w:type="dxa"/>
          </w:tcPr>
          <w:p w14:paraId="6769B37E" w14:textId="77777777" w:rsidR="00900469" w:rsidRPr="001213F7" w:rsidRDefault="00900469">
            <w:pPr>
              <w:keepNext/>
              <w:spacing w:before="20" w:after="20"/>
              <w:cnfStyle w:val="100000000000" w:firstRow="1" w:lastRow="0" w:firstColumn="0" w:lastColumn="0" w:oddVBand="0" w:evenVBand="0" w:oddHBand="0" w:evenHBand="0" w:firstRowFirstColumn="0" w:firstRowLastColumn="0" w:lastRowFirstColumn="0" w:lastRowLastColumn="0"/>
              <w:rPr>
                <w:rFonts w:cstheme="majorHAnsi"/>
                <w:szCs w:val="18"/>
              </w:rPr>
            </w:pPr>
            <w:r w:rsidRPr="001213F7">
              <w:rPr>
                <w:rFonts w:cstheme="majorHAnsi"/>
                <w:szCs w:val="18"/>
              </w:rPr>
              <w:t>Objective</w:t>
            </w:r>
          </w:p>
        </w:tc>
      </w:tr>
      <w:tr w:rsidR="00900469" w:rsidRPr="001213F7" w14:paraId="024E8922" w14:textId="77777777">
        <w:tc>
          <w:tcPr>
            <w:cnfStyle w:val="001000000000" w:firstRow="0" w:lastRow="0" w:firstColumn="1" w:lastColumn="0" w:oddVBand="0" w:evenVBand="0" w:oddHBand="0" w:evenHBand="0" w:firstRowFirstColumn="0" w:firstRowLastColumn="0" w:lastRowFirstColumn="0" w:lastRowLastColumn="0"/>
            <w:tcW w:w="2508" w:type="dxa"/>
          </w:tcPr>
          <w:p w14:paraId="7407AD67" w14:textId="77777777" w:rsidR="00900469" w:rsidRPr="001213F7" w:rsidRDefault="00900469">
            <w:pPr>
              <w:spacing w:before="20" w:after="20"/>
              <w:rPr>
                <w:rFonts w:cstheme="majorHAnsi"/>
                <w:szCs w:val="18"/>
              </w:rPr>
            </w:pPr>
            <w:r w:rsidRPr="001213F7">
              <w:rPr>
                <w:rFonts w:cstheme="majorHAnsi"/>
                <w:szCs w:val="18"/>
              </w:rPr>
              <w:t>Sound financial management</w:t>
            </w:r>
          </w:p>
        </w:tc>
        <w:tc>
          <w:tcPr>
            <w:tcW w:w="5204" w:type="dxa"/>
          </w:tcPr>
          <w:p w14:paraId="659438A9" w14:textId="77777777" w:rsidR="00900469" w:rsidRPr="001213F7" w:rsidRDefault="00900469">
            <w:pPr>
              <w:spacing w:before="20" w:after="20"/>
              <w:cnfStyle w:val="000000000000" w:firstRow="0" w:lastRow="0" w:firstColumn="0" w:lastColumn="0" w:oddVBand="0" w:evenVBand="0" w:oddHBand="0" w:evenHBand="0" w:firstRowFirstColumn="0" w:firstRowLastColumn="0" w:lastRowFirstColumn="0" w:lastRowLastColumn="0"/>
              <w:rPr>
                <w:rFonts w:cstheme="majorHAnsi"/>
                <w:szCs w:val="18"/>
              </w:rPr>
            </w:pPr>
            <w:r w:rsidRPr="001213F7">
              <w:rPr>
                <w:rFonts w:cstheme="majorHAnsi"/>
                <w:szCs w:val="18"/>
              </w:rPr>
              <w:t>Victoria’s finances will be managed in a responsible manner to provide capacity to fund services and infrastructure and support households and businesses at levels consistent with sound financial management.</w:t>
            </w:r>
          </w:p>
        </w:tc>
      </w:tr>
      <w:tr w:rsidR="00900469" w:rsidRPr="001213F7" w14:paraId="05C11753" w14:textId="77777777">
        <w:tc>
          <w:tcPr>
            <w:cnfStyle w:val="001000000000" w:firstRow="0" w:lastRow="0" w:firstColumn="1" w:lastColumn="0" w:oddVBand="0" w:evenVBand="0" w:oddHBand="0" w:evenHBand="0" w:firstRowFirstColumn="0" w:firstRowLastColumn="0" w:lastRowFirstColumn="0" w:lastRowLastColumn="0"/>
            <w:tcW w:w="2508" w:type="dxa"/>
          </w:tcPr>
          <w:p w14:paraId="19EF99BF" w14:textId="77777777" w:rsidR="00900469" w:rsidRPr="001213F7" w:rsidRDefault="00900469">
            <w:pPr>
              <w:spacing w:before="20" w:after="20"/>
              <w:rPr>
                <w:rFonts w:cstheme="majorHAnsi"/>
                <w:szCs w:val="18"/>
              </w:rPr>
            </w:pPr>
            <w:r w:rsidRPr="001213F7">
              <w:rPr>
                <w:rFonts w:cstheme="majorHAnsi"/>
                <w:szCs w:val="18"/>
              </w:rPr>
              <w:t>Improved services</w:t>
            </w:r>
          </w:p>
        </w:tc>
        <w:tc>
          <w:tcPr>
            <w:tcW w:w="5204" w:type="dxa"/>
          </w:tcPr>
          <w:p w14:paraId="17E9F74E" w14:textId="77777777" w:rsidR="00900469" w:rsidRPr="001213F7" w:rsidRDefault="00900469">
            <w:pPr>
              <w:spacing w:before="20" w:after="20"/>
              <w:cnfStyle w:val="000000000000" w:firstRow="0" w:lastRow="0" w:firstColumn="0" w:lastColumn="0" w:oddVBand="0" w:evenVBand="0" w:oddHBand="0" w:evenHBand="0" w:firstRowFirstColumn="0" w:firstRowLastColumn="0" w:lastRowFirstColumn="0" w:lastRowLastColumn="0"/>
              <w:rPr>
                <w:rFonts w:cstheme="majorHAnsi"/>
                <w:szCs w:val="18"/>
              </w:rPr>
            </w:pPr>
            <w:r w:rsidRPr="001213F7">
              <w:rPr>
                <w:rFonts w:cstheme="majorHAnsi"/>
                <w:szCs w:val="18"/>
              </w:rPr>
              <w:t>Public services will improve over time.</w:t>
            </w:r>
          </w:p>
        </w:tc>
      </w:tr>
      <w:tr w:rsidR="00900469" w:rsidRPr="001213F7" w14:paraId="2EA60163" w14:textId="77777777">
        <w:tc>
          <w:tcPr>
            <w:cnfStyle w:val="001000000000" w:firstRow="0" w:lastRow="0" w:firstColumn="1" w:lastColumn="0" w:oddVBand="0" w:evenVBand="0" w:oddHBand="0" w:evenHBand="0" w:firstRowFirstColumn="0" w:firstRowLastColumn="0" w:lastRowFirstColumn="0" w:lastRowLastColumn="0"/>
            <w:tcW w:w="2508" w:type="dxa"/>
          </w:tcPr>
          <w:p w14:paraId="5BA8702A" w14:textId="77777777" w:rsidR="00900469" w:rsidRPr="001213F7" w:rsidRDefault="00900469">
            <w:pPr>
              <w:spacing w:before="20" w:after="20"/>
              <w:rPr>
                <w:rFonts w:cstheme="majorHAnsi"/>
                <w:szCs w:val="18"/>
              </w:rPr>
            </w:pPr>
            <w:r w:rsidRPr="001213F7">
              <w:rPr>
                <w:rFonts w:cstheme="majorHAnsi"/>
                <w:szCs w:val="18"/>
              </w:rPr>
              <w:t>Building infrastructure</w:t>
            </w:r>
          </w:p>
        </w:tc>
        <w:tc>
          <w:tcPr>
            <w:tcW w:w="5204" w:type="dxa"/>
          </w:tcPr>
          <w:p w14:paraId="67E3F11E" w14:textId="77777777" w:rsidR="00900469" w:rsidRPr="001213F7" w:rsidRDefault="00900469">
            <w:pPr>
              <w:spacing w:before="20" w:after="20"/>
              <w:cnfStyle w:val="000000000000" w:firstRow="0" w:lastRow="0" w:firstColumn="0" w:lastColumn="0" w:oddVBand="0" w:evenVBand="0" w:oddHBand="0" w:evenHBand="0" w:firstRowFirstColumn="0" w:firstRowLastColumn="0" w:lastRowFirstColumn="0" w:lastRowLastColumn="0"/>
              <w:rPr>
                <w:rFonts w:cstheme="majorHAnsi"/>
                <w:szCs w:val="18"/>
              </w:rPr>
            </w:pPr>
            <w:r w:rsidRPr="001213F7">
              <w:rPr>
                <w:rFonts w:cstheme="majorHAnsi"/>
                <w:szCs w:val="18"/>
              </w:rPr>
              <w:t>Public infrastructure will grow steadily over time to meet the needs of a growing population.</w:t>
            </w:r>
          </w:p>
        </w:tc>
      </w:tr>
      <w:tr w:rsidR="00900469" w:rsidRPr="001213F7" w14:paraId="52ACFB1D" w14:textId="77777777">
        <w:tc>
          <w:tcPr>
            <w:cnfStyle w:val="001000000000" w:firstRow="0" w:lastRow="0" w:firstColumn="1" w:lastColumn="0" w:oddVBand="0" w:evenVBand="0" w:oddHBand="0" w:evenHBand="0" w:firstRowFirstColumn="0" w:firstRowLastColumn="0" w:lastRowFirstColumn="0" w:lastRowLastColumn="0"/>
            <w:tcW w:w="2508" w:type="dxa"/>
          </w:tcPr>
          <w:p w14:paraId="3190059D" w14:textId="77777777" w:rsidR="00900469" w:rsidRPr="001213F7" w:rsidRDefault="00900469">
            <w:pPr>
              <w:spacing w:before="20" w:after="20"/>
              <w:rPr>
                <w:rFonts w:cstheme="majorHAnsi"/>
                <w:szCs w:val="18"/>
              </w:rPr>
            </w:pPr>
            <w:r w:rsidRPr="001213F7">
              <w:rPr>
                <w:rFonts w:cstheme="majorHAnsi"/>
                <w:szCs w:val="18"/>
              </w:rPr>
              <w:t>Efficient use of public resources</w:t>
            </w:r>
          </w:p>
        </w:tc>
        <w:tc>
          <w:tcPr>
            <w:tcW w:w="5204" w:type="dxa"/>
          </w:tcPr>
          <w:p w14:paraId="7D3418EB" w14:textId="77777777" w:rsidR="00900469" w:rsidRPr="001213F7" w:rsidRDefault="00900469">
            <w:pPr>
              <w:spacing w:before="20" w:after="20"/>
              <w:cnfStyle w:val="000000000000" w:firstRow="0" w:lastRow="0" w:firstColumn="0" w:lastColumn="0" w:oddVBand="0" w:evenVBand="0" w:oddHBand="0" w:evenHBand="0" w:firstRowFirstColumn="0" w:firstRowLastColumn="0" w:lastRowFirstColumn="0" w:lastRowLastColumn="0"/>
              <w:rPr>
                <w:rFonts w:cstheme="majorHAnsi"/>
                <w:szCs w:val="18"/>
              </w:rPr>
            </w:pPr>
            <w:r w:rsidRPr="001213F7">
              <w:rPr>
                <w:rFonts w:cstheme="majorHAnsi"/>
                <w:szCs w:val="18"/>
              </w:rPr>
              <w:t>Public sector resources will be invested in services and infrastructure to maximise the economic, social and environmental benefits.</w:t>
            </w:r>
          </w:p>
        </w:tc>
      </w:tr>
      <w:tr w:rsidR="00900469" w:rsidRPr="001213F7" w14:paraId="53106A96" w14:textId="77777777">
        <w:tc>
          <w:tcPr>
            <w:cnfStyle w:val="001000000000" w:firstRow="0" w:lastRow="0" w:firstColumn="1" w:lastColumn="0" w:oddVBand="0" w:evenVBand="0" w:oddHBand="0" w:evenHBand="0" w:firstRowFirstColumn="0" w:firstRowLastColumn="0" w:lastRowFirstColumn="0" w:lastRowLastColumn="0"/>
            <w:tcW w:w="2508" w:type="dxa"/>
          </w:tcPr>
          <w:p w14:paraId="512A583B" w14:textId="77777777" w:rsidR="00900469" w:rsidRPr="001213F7" w:rsidRDefault="00900469">
            <w:pPr>
              <w:spacing w:before="20" w:after="20"/>
              <w:rPr>
                <w:rFonts w:cstheme="majorHAnsi"/>
                <w:szCs w:val="18"/>
              </w:rPr>
            </w:pPr>
            <w:r w:rsidRPr="001213F7">
              <w:rPr>
                <w:rFonts w:cstheme="majorHAnsi"/>
                <w:szCs w:val="18"/>
              </w:rPr>
              <w:t>A resilient economy</w:t>
            </w:r>
          </w:p>
        </w:tc>
        <w:tc>
          <w:tcPr>
            <w:tcW w:w="5204" w:type="dxa"/>
          </w:tcPr>
          <w:p w14:paraId="6087C153" w14:textId="77777777" w:rsidR="00900469" w:rsidRPr="001213F7" w:rsidRDefault="00900469">
            <w:pPr>
              <w:spacing w:before="20" w:after="20"/>
              <w:cnfStyle w:val="000000000000" w:firstRow="0" w:lastRow="0" w:firstColumn="0" w:lastColumn="0" w:oddVBand="0" w:evenVBand="0" w:oddHBand="0" w:evenHBand="0" w:firstRowFirstColumn="0" w:firstRowLastColumn="0" w:lastRowFirstColumn="0" w:lastRowLastColumn="0"/>
              <w:rPr>
                <w:rFonts w:cstheme="majorHAnsi"/>
                <w:szCs w:val="18"/>
              </w:rPr>
            </w:pPr>
            <w:r w:rsidRPr="001213F7">
              <w:rPr>
                <w:rFonts w:cstheme="majorHAnsi"/>
                <w:szCs w:val="18"/>
              </w:rPr>
              <w:t>Increase economic resilience by supporting an innovative and diversified economy that will unlock employment growth, long</w:t>
            </w:r>
            <w:r w:rsidRPr="001213F7">
              <w:rPr>
                <w:rFonts w:cstheme="majorHAnsi"/>
                <w:szCs w:val="18"/>
              </w:rPr>
              <w:noBreakHyphen/>
              <w:t>term economic growth and productivity in Victoria.</w:t>
            </w:r>
          </w:p>
        </w:tc>
      </w:tr>
    </w:tbl>
    <w:p w14:paraId="37D5E9BD" w14:textId="77777777" w:rsidR="00900469" w:rsidRPr="001213F7" w:rsidRDefault="00900469" w:rsidP="00A92031">
      <w:pPr>
        <w:ind w:right="61"/>
      </w:pPr>
      <w:r w:rsidRPr="001213F7">
        <w:t xml:space="preserve">Progress towards these long-term financial management objectives is supported by the measures and targets in Table 1.3. These measures and targets are also unchanged from the </w:t>
      </w:r>
      <w:r w:rsidRPr="001213F7">
        <w:rPr>
          <w:i/>
          <w:iCs/>
        </w:rPr>
        <w:t>2025</w:t>
      </w:r>
      <w:r w:rsidRPr="001213F7">
        <w:rPr>
          <w:i/>
          <w:iCs/>
        </w:rPr>
        <w:noBreakHyphen/>
        <w:t>26 Budget Update</w:t>
      </w:r>
      <w:r w:rsidRPr="001213F7">
        <w:t xml:space="preserve">. </w:t>
      </w:r>
    </w:p>
    <w:p w14:paraId="2474CB0F" w14:textId="77777777" w:rsidR="00900469" w:rsidRPr="001213F7" w:rsidRDefault="00900469" w:rsidP="000A71D3">
      <w:pPr>
        <w:pStyle w:val="TableHeading"/>
      </w:pPr>
      <w:r w:rsidRPr="001213F7">
        <w:t xml:space="preserve">Table 1.3: </w:t>
      </w:r>
      <w:r w:rsidRPr="001213F7">
        <w:tab/>
        <w:t>Financial measures and targets</w:t>
      </w:r>
    </w:p>
    <w:tbl>
      <w:tblPr>
        <w:tblStyle w:val="DTFTableText"/>
        <w:tblW w:w="0" w:type="auto"/>
        <w:tblLook w:val="06A0" w:firstRow="1" w:lastRow="0" w:firstColumn="1" w:lastColumn="0" w:noHBand="1" w:noVBand="1"/>
      </w:tblPr>
      <w:tblGrid>
        <w:gridCol w:w="2410"/>
        <w:gridCol w:w="5273"/>
      </w:tblGrid>
      <w:tr w:rsidR="00900469" w:rsidRPr="001213F7" w14:paraId="60FE61A9" w14:textId="77777777" w:rsidTr="00213CA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2F9EB84C" w14:textId="77777777" w:rsidR="00900469" w:rsidRPr="001213F7" w:rsidRDefault="00900469">
            <w:pPr>
              <w:spacing w:before="20" w:after="20"/>
              <w:rPr>
                <w:rFonts w:cstheme="majorHAnsi"/>
                <w:b w:val="0"/>
                <w:szCs w:val="18"/>
              </w:rPr>
            </w:pPr>
            <w:r w:rsidRPr="001213F7">
              <w:rPr>
                <w:rFonts w:cstheme="majorHAnsi"/>
                <w:szCs w:val="18"/>
              </w:rPr>
              <w:t>Financial measures</w:t>
            </w:r>
          </w:p>
        </w:tc>
        <w:tc>
          <w:tcPr>
            <w:tcW w:w="5273" w:type="dxa"/>
          </w:tcPr>
          <w:p w14:paraId="7710F7C6" w14:textId="77777777" w:rsidR="00900469" w:rsidRPr="001213F7" w:rsidRDefault="00900469">
            <w:pPr>
              <w:spacing w:before="20" w:after="20"/>
              <w:cnfStyle w:val="100000000000" w:firstRow="1" w:lastRow="0" w:firstColumn="0" w:lastColumn="0" w:oddVBand="0" w:evenVBand="0" w:oddHBand="0" w:evenHBand="0" w:firstRowFirstColumn="0" w:firstRowLastColumn="0" w:lastRowFirstColumn="0" w:lastRowLastColumn="0"/>
              <w:rPr>
                <w:rFonts w:cstheme="majorHAnsi"/>
                <w:szCs w:val="18"/>
              </w:rPr>
            </w:pPr>
            <w:r w:rsidRPr="001213F7">
              <w:rPr>
                <w:rFonts w:cstheme="majorHAnsi"/>
                <w:szCs w:val="18"/>
              </w:rPr>
              <w:t>Target</w:t>
            </w:r>
          </w:p>
        </w:tc>
      </w:tr>
      <w:tr w:rsidR="00900469" w:rsidRPr="001213F7" w14:paraId="0087C43F" w14:textId="77777777" w:rsidTr="00213CA4">
        <w:tc>
          <w:tcPr>
            <w:cnfStyle w:val="001000000000" w:firstRow="0" w:lastRow="0" w:firstColumn="1" w:lastColumn="0" w:oddVBand="0" w:evenVBand="0" w:oddHBand="0" w:evenHBand="0" w:firstRowFirstColumn="0" w:firstRowLastColumn="0" w:lastRowFirstColumn="0" w:lastRowLastColumn="0"/>
            <w:tcW w:w="2410" w:type="dxa"/>
          </w:tcPr>
          <w:p w14:paraId="19F57E9E" w14:textId="77777777" w:rsidR="00900469" w:rsidRPr="001213F7" w:rsidRDefault="00900469">
            <w:pPr>
              <w:spacing w:before="20" w:after="20"/>
              <w:rPr>
                <w:szCs w:val="18"/>
              </w:rPr>
            </w:pPr>
            <w:r w:rsidRPr="001213F7">
              <w:rPr>
                <w:szCs w:val="18"/>
              </w:rPr>
              <w:t>Net debt to GSP</w:t>
            </w:r>
          </w:p>
        </w:tc>
        <w:tc>
          <w:tcPr>
            <w:tcW w:w="5273" w:type="dxa"/>
          </w:tcPr>
          <w:p w14:paraId="7A072E4A" w14:textId="77777777" w:rsidR="00900469" w:rsidRPr="001213F7" w:rsidRDefault="00900469">
            <w:pPr>
              <w:spacing w:before="20" w:after="20"/>
              <w:cnfStyle w:val="000000000000" w:firstRow="0" w:lastRow="0" w:firstColumn="0" w:lastColumn="0" w:oddVBand="0" w:evenVBand="0" w:oddHBand="0" w:evenHBand="0" w:firstRowFirstColumn="0" w:firstRowLastColumn="0" w:lastRowFirstColumn="0" w:lastRowLastColumn="0"/>
              <w:rPr>
                <w:szCs w:val="18"/>
              </w:rPr>
            </w:pPr>
            <w:r w:rsidRPr="001213F7">
              <w:rPr>
                <w:szCs w:val="18"/>
              </w:rPr>
              <w:t>General government net debt as a percentage of GSP to stabilise and reduce in the medium term.</w:t>
            </w:r>
          </w:p>
        </w:tc>
      </w:tr>
      <w:tr w:rsidR="00900469" w:rsidRPr="001213F7" w14:paraId="6B48EA88" w14:textId="77777777" w:rsidTr="00213CA4">
        <w:tc>
          <w:tcPr>
            <w:cnfStyle w:val="001000000000" w:firstRow="0" w:lastRow="0" w:firstColumn="1" w:lastColumn="0" w:oddVBand="0" w:evenVBand="0" w:oddHBand="0" w:evenHBand="0" w:firstRowFirstColumn="0" w:firstRowLastColumn="0" w:lastRowFirstColumn="0" w:lastRowLastColumn="0"/>
            <w:tcW w:w="2410" w:type="dxa"/>
          </w:tcPr>
          <w:p w14:paraId="738065FF" w14:textId="77777777" w:rsidR="00900469" w:rsidRPr="001213F7" w:rsidRDefault="00900469">
            <w:pPr>
              <w:spacing w:before="20" w:after="20"/>
              <w:rPr>
                <w:rFonts w:cstheme="majorHAnsi"/>
                <w:szCs w:val="18"/>
              </w:rPr>
            </w:pPr>
            <w:r w:rsidRPr="001213F7">
              <w:rPr>
                <w:rFonts w:cstheme="majorHAnsi"/>
                <w:szCs w:val="18"/>
              </w:rPr>
              <w:t>Interest expense to revenue</w:t>
            </w:r>
          </w:p>
        </w:tc>
        <w:tc>
          <w:tcPr>
            <w:tcW w:w="5273" w:type="dxa"/>
          </w:tcPr>
          <w:p w14:paraId="1FD5E1EC" w14:textId="77777777" w:rsidR="00900469" w:rsidRPr="001213F7" w:rsidRDefault="00900469">
            <w:pPr>
              <w:spacing w:before="20" w:after="20"/>
              <w:cnfStyle w:val="000000000000" w:firstRow="0" w:lastRow="0" w:firstColumn="0" w:lastColumn="0" w:oddVBand="0" w:evenVBand="0" w:oddHBand="0" w:evenHBand="0" w:firstRowFirstColumn="0" w:firstRowLastColumn="0" w:lastRowFirstColumn="0" w:lastRowLastColumn="0"/>
              <w:rPr>
                <w:rFonts w:cstheme="majorHAnsi"/>
                <w:szCs w:val="18"/>
              </w:rPr>
            </w:pPr>
            <w:r w:rsidRPr="001213F7">
              <w:rPr>
                <w:rFonts w:cstheme="majorHAnsi"/>
                <w:szCs w:val="18"/>
              </w:rPr>
              <w:t>General government interest expense as a percentage of revenue to stabilise in the medium term.</w:t>
            </w:r>
          </w:p>
        </w:tc>
      </w:tr>
      <w:tr w:rsidR="00900469" w:rsidRPr="001213F7" w14:paraId="2CE3DF4D" w14:textId="77777777" w:rsidTr="00213CA4">
        <w:tc>
          <w:tcPr>
            <w:cnfStyle w:val="001000000000" w:firstRow="0" w:lastRow="0" w:firstColumn="1" w:lastColumn="0" w:oddVBand="0" w:evenVBand="0" w:oddHBand="0" w:evenHBand="0" w:firstRowFirstColumn="0" w:firstRowLastColumn="0" w:lastRowFirstColumn="0" w:lastRowLastColumn="0"/>
            <w:tcW w:w="2410" w:type="dxa"/>
            <w:tcBorders>
              <w:bottom w:val="nil"/>
            </w:tcBorders>
          </w:tcPr>
          <w:p w14:paraId="675A4E67" w14:textId="77777777" w:rsidR="00900469" w:rsidRPr="001213F7" w:rsidRDefault="00900469">
            <w:pPr>
              <w:spacing w:before="20" w:after="20"/>
              <w:rPr>
                <w:rFonts w:cstheme="majorHAnsi"/>
                <w:szCs w:val="18"/>
              </w:rPr>
            </w:pPr>
            <w:r w:rsidRPr="001213F7">
              <w:rPr>
                <w:rFonts w:cstheme="majorHAnsi"/>
                <w:szCs w:val="18"/>
              </w:rPr>
              <w:t>Superannuation liabilities</w:t>
            </w:r>
          </w:p>
        </w:tc>
        <w:tc>
          <w:tcPr>
            <w:tcW w:w="5273" w:type="dxa"/>
            <w:tcBorders>
              <w:bottom w:val="nil"/>
            </w:tcBorders>
          </w:tcPr>
          <w:p w14:paraId="0E7EADF2" w14:textId="77777777" w:rsidR="00900469" w:rsidRPr="001213F7" w:rsidRDefault="00900469">
            <w:pPr>
              <w:spacing w:before="20" w:after="20"/>
              <w:cnfStyle w:val="000000000000" w:firstRow="0" w:lastRow="0" w:firstColumn="0" w:lastColumn="0" w:oddVBand="0" w:evenVBand="0" w:oddHBand="0" w:evenHBand="0" w:firstRowFirstColumn="0" w:firstRowLastColumn="0" w:lastRowFirstColumn="0" w:lastRowLastColumn="0"/>
              <w:rPr>
                <w:rFonts w:cstheme="majorHAnsi"/>
                <w:szCs w:val="18"/>
              </w:rPr>
            </w:pPr>
            <w:r w:rsidRPr="001213F7">
              <w:rPr>
                <w:rFonts w:cstheme="majorHAnsi"/>
                <w:szCs w:val="18"/>
              </w:rPr>
              <w:t>Fully fund the unfunded superannuation liability by 2035.</w:t>
            </w:r>
          </w:p>
        </w:tc>
      </w:tr>
      <w:tr w:rsidR="00900469" w:rsidRPr="001213F7" w14:paraId="342CC5E8" w14:textId="77777777" w:rsidTr="00213CA4">
        <w:tc>
          <w:tcPr>
            <w:cnfStyle w:val="001000000000" w:firstRow="0" w:lastRow="0" w:firstColumn="1" w:lastColumn="0" w:oddVBand="0" w:evenVBand="0" w:oddHBand="0" w:evenHBand="0" w:firstRowFirstColumn="0" w:firstRowLastColumn="0" w:lastRowFirstColumn="0" w:lastRowLastColumn="0"/>
            <w:tcW w:w="2410" w:type="dxa"/>
            <w:tcBorders>
              <w:bottom w:val="single" w:sz="12" w:space="0" w:color="auto"/>
            </w:tcBorders>
          </w:tcPr>
          <w:p w14:paraId="3CFA6444" w14:textId="77777777" w:rsidR="00900469" w:rsidRPr="001213F7" w:rsidRDefault="00900469">
            <w:pPr>
              <w:spacing w:before="20" w:after="20"/>
              <w:rPr>
                <w:rFonts w:cstheme="majorHAnsi"/>
                <w:szCs w:val="18"/>
              </w:rPr>
            </w:pPr>
            <w:r w:rsidRPr="001213F7">
              <w:rPr>
                <w:rFonts w:cstheme="majorHAnsi"/>
                <w:szCs w:val="18"/>
              </w:rPr>
              <w:t>Operating cash surplus</w:t>
            </w:r>
          </w:p>
        </w:tc>
        <w:tc>
          <w:tcPr>
            <w:tcW w:w="5273" w:type="dxa"/>
            <w:tcBorders>
              <w:bottom w:val="single" w:sz="12" w:space="0" w:color="auto"/>
            </w:tcBorders>
          </w:tcPr>
          <w:p w14:paraId="6CE54FA1" w14:textId="77777777" w:rsidR="00900469" w:rsidRPr="001213F7" w:rsidRDefault="00900469">
            <w:pPr>
              <w:spacing w:before="20" w:after="20"/>
              <w:cnfStyle w:val="000000000000" w:firstRow="0" w:lastRow="0" w:firstColumn="0" w:lastColumn="0" w:oddVBand="0" w:evenVBand="0" w:oddHBand="0" w:evenHBand="0" w:firstRowFirstColumn="0" w:firstRowLastColumn="0" w:lastRowFirstColumn="0" w:lastRowLastColumn="0"/>
              <w:rPr>
                <w:rFonts w:cstheme="majorHAnsi"/>
                <w:szCs w:val="18"/>
              </w:rPr>
            </w:pPr>
            <w:r w:rsidRPr="001213F7">
              <w:rPr>
                <w:rFonts w:cstheme="majorHAnsi"/>
                <w:szCs w:val="18"/>
              </w:rPr>
              <w:t>A net operating cash surplus consistent with maintaining general government net debt at a sustainable level.</w:t>
            </w:r>
          </w:p>
        </w:tc>
      </w:tr>
    </w:tbl>
    <w:p w14:paraId="34B116D8" w14:textId="77777777" w:rsidR="00900469" w:rsidRPr="001213F7" w:rsidRDefault="00900469" w:rsidP="008A5506">
      <w:pPr>
        <w:pStyle w:val="Heading1"/>
      </w:pPr>
      <w:bookmarkStart w:id="7" w:name="_Toc165467331"/>
      <w:bookmarkStart w:id="8" w:name="_Toc228294208"/>
      <w:bookmarkStart w:id="9" w:name="_Toc228545290"/>
      <w:r w:rsidRPr="001213F7">
        <w:lastRenderedPageBreak/>
        <w:t>Summary of initiatives</w:t>
      </w:r>
      <w:bookmarkEnd w:id="7"/>
      <w:bookmarkEnd w:id="8"/>
      <w:bookmarkEnd w:id="9"/>
    </w:p>
    <w:p w14:paraId="4319F9CE" w14:textId="0103F06F" w:rsidR="006757F4" w:rsidRPr="001213F7" w:rsidRDefault="006757F4" w:rsidP="006757F4">
      <w:pPr>
        <w:keepNext/>
      </w:pPr>
      <w:r w:rsidRPr="001213F7">
        <w:t>The</w:t>
      </w:r>
      <w:r w:rsidRPr="001213F7">
        <w:rPr>
          <w:i/>
        </w:rPr>
        <w:t xml:space="preserve"> 2026-27 Budget</w:t>
      </w:r>
      <w:r w:rsidRPr="001213F7">
        <w:t xml:space="preserve"> responsibly invests in frontline services; in providing time-limited cost</w:t>
      </w:r>
      <w:r w:rsidRPr="001213F7">
        <w:noBreakHyphen/>
        <w:t>of</w:t>
      </w:r>
      <w:r w:rsidRPr="001213F7">
        <w:noBreakHyphen/>
        <w:t xml:space="preserve">living relief; and in making medium- to long-term investments in housing, energy and transport upgrades to make life easier for Victorians. This budget also continues to implement measures aligned with the </w:t>
      </w:r>
      <w:r w:rsidR="001008FE" w:rsidRPr="001213F7">
        <w:t>Independent Review of the Victorian Public Service</w:t>
      </w:r>
      <w:r w:rsidRPr="001213F7">
        <w:t>, refocusing investment to support the State’s fiscal strategy without compromising service delivery.</w:t>
      </w:r>
    </w:p>
    <w:p w14:paraId="1C9D3FFC" w14:textId="3393B07B" w:rsidR="006757F4" w:rsidRPr="001213F7" w:rsidRDefault="006757F4" w:rsidP="006757F4">
      <w:pPr>
        <w:pStyle w:val="ShadedBoxHeading"/>
      </w:pPr>
      <w:r w:rsidRPr="001213F7">
        <w:t>Box 1.1:</w:t>
      </w:r>
      <w:r w:rsidR="00D95542" w:rsidRPr="001213F7">
        <w:t xml:space="preserve"> </w:t>
      </w:r>
      <w:r w:rsidR="00091412" w:rsidRPr="001213F7">
        <w:t xml:space="preserve"> </w:t>
      </w:r>
      <w:r w:rsidRPr="001213F7">
        <w:t>Immediate cost-of-living relief and initiatives to make life more affordable</w:t>
      </w:r>
    </w:p>
    <w:p w14:paraId="57AC6ACE" w14:textId="6EEA8F02" w:rsidR="006757F4" w:rsidRPr="001213F7" w:rsidRDefault="00C41E3D" w:rsidP="006757F4">
      <w:pPr>
        <w:pStyle w:val="ShadedBoxText"/>
      </w:pPr>
      <w:r w:rsidRPr="001213F7">
        <w:t>T</w:t>
      </w:r>
      <w:r w:rsidR="000817CD" w:rsidRPr="001213F7">
        <w:t>he conflict in the Middle East is driving up fuel prices and putting more pressure on household budgets, which follows two interest rate rises in early 2026 and rising inflation across the nation</w:t>
      </w:r>
      <w:r w:rsidR="006757F4" w:rsidRPr="001213F7">
        <w:t xml:space="preserve">. The </w:t>
      </w:r>
      <w:r w:rsidR="006757F4" w:rsidRPr="001213F7">
        <w:rPr>
          <w:i/>
          <w:iCs/>
        </w:rPr>
        <w:t>2026-27 Budget</w:t>
      </w:r>
      <w:r w:rsidR="006757F4" w:rsidRPr="001213F7">
        <w:t xml:space="preserve"> provides $2.5 billion in cost</w:t>
      </w:r>
      <w:r w:rsidR="006757F4" w:rsidRPr="001213F7">
        <w:noBreakHyphen/>
        <w:t xml:space="preserve">of-living supports, and housing </w:t>
      </w:r>
      <w:r w:rsidR="00DF4E39" w:rsidRPr="001213F7">
        <w:t xml:space="preserve">and energy </w:t>
      </w:r>
      <w:r w:rsidR="006757F4" w:rsidRPr="001213F7">
        <w:t>initiatives to make life more affordable. This includes:</w:t>
      </w:r>
    </w:p>
    <w:p w14:paraId="0C8A4CE3" w14:textId="77777777" w:rsidR="006757F4" w:rsidRPr="001213F7" w:rsidRDefault="006757F4" w:rsidP="005B5857">
      <w:pPr>
        <w:pStyle w:val="ShadedBoxHeading"/>
        <w:spacing w:before="100"/>
      </w:pPr>
      <w:r w:rsidRPr="001213F7">
        <w:t>Reducing costs for families with children</w:t>
      </w:r>
    </w:p>
    <w:p w14:paraId="30B45118" w14:textId="377D44E0" w:rsidR="006757F4" w:rsidRPr="001213F7" w:rsidRDefault="006757F4" w:rsidP="00F21337">
      <w:pPr>
        <w:pStyle w:val="ShadedBoxText"/>
        <w:spacing w:before="60"/>
      </w:pPr>
      <w:r w:rsidRPr="001213F7">
        <w:t>$120 million in cost-of-living supports to help families with kids at kinder and school. Key initiatives include:</w:t>
      </w:r>
    </w:p>
    <w:p w14:paraId="1097DB24" w14:textId="5BC816AC" w:rsidR="006757F4" w:rsidRPr="001213F7" w:rsidRDefault="006757F4" w:rsidP="006757F4">
      <w:pPr>
        <w:pStyle w:val="ShadedBoxBullet"/>
        <w:keepLines w:val="0"/>
        <w:numPr>
          <w:ilvl w:val="0"/>
          <w:numId w:val="17"/>
        </w:numPr>
        <w:ind w:left="360"/>
      </w:pPr>
      <w:r w:rsidRPr="001213F7">
        <w:t>$28 million for the Affordable School Uniforms Program</w:t>
      </w:r>
    </w:p>
    <w:p w14:paraId="2CBEAA41" w14:textId="261AA166" w:rsidR="006757F4" w:rsidRPr="001213F7" w:rsidRDefault="006757F4" w:rsidP="006757F4">
      <w:pPr>
        <w:pStyle w:val="ShadedBoxBullet"/>
        <w:keepLines w:val="0"/>
        <w:numPr>
          <w:ilvl w:val="0"/>
          <w:numId w:val="17"/>
        </w:numPr>
        <w:ind w:left="360"/>
      </w:pPr>
      <w:r w:rsidRPr="001213F7">
        <w:t>$24 million for outside-of-school-hours care for young Victorians with disability</w:t>
      </w:r>
    </w:p>
    <w:p w14:paraId="7A31F02F" w14:textId="66AE8285" w:rsidR="00A231C0" w:rsidRPr="001213F7" w:rsidRDefault="00A231C0" w:rsidP="006757F4">
      <w:pPr>
        <w:pStyle w:val="ShadedBoxBullet"/>
        <w:keepLines w:val="0"/>
        <w:numPr>
          <w:ilvl w:val="0"/>
          <w:numId w:val="17"/>
        </w:numPr>
        <w:ind w:left="360"/>
      </w:pPr>
      <w:r w:rsidRPr="001213F7">
        <w:t>$16 million to continue and expand the Glasses for Kids Program</w:t>
      </w:r>
    </w:p>
    <w:p w14:paraId="29963F9B" w14:textId="4FD2188F" w:rsidR="006757F4" w:rsidRPr="001213F7" w:rsidRDefault="006757F4" w:rsidP="006757F4">
      <w:pPr>
        <w:pStyle w:val="ShadedBoxBullet"/>
        <w:keepLines w:val="0"/>
        <w:numPr>
          <w:ilvl w:val="0"/>
          <w:numId w:val="17"/>
        </w:numPr>
        <w:ind w:left="360"/>
      </w:pPr>
      <w:r w:rsidRPr="001213F7">
        <w:t>$15 million for free admission for under 16s to Melbourne Zoo, Healesville Sanctuary, Kyabram Fauna Park and Werribee Open Range Zoo on weekends, public</w:t>
      </w:r>
      <w:r w:rsidR="00B42E91" w:rsidRPr="001213F7">
        <w:t> </w:t>
      </w:r>
      <w:r w:rsidRPr="001213F7">
        <w:t>holidays and during school holidays</w:t>
      </w:r>
    </w:p>
    <w:p w14:paraId="0412D56F" w14:textId="4A050389" w:rsidR="006757F4" w:rsidRPr="001213F7" w:rsidRDefault="006757F4" w:rsidP="006757F4">
      <w:pPr>
        <w:pStyle w:val="ShadedBoxBullet"/>
        <w:keepLines w:val="0"/>
        <w:numPr>
          <w:ilvl w:val="0"/>
          <w:numId w:val="17"/>
        </w:numPr>
        <w:ind w:left="360"/>
      </w:pPr>
      <w:r w:rsidRPr="001213F7">
        <w:t>$14 million</w:t>
      </w:r>
      <w:r w:rsidR="006D2149" w:rsidRPr="001213F7">
        <w:rPr>
          <w:rStyle w:val="AggregatesfactscodeChar"/>
          <w:rFonts w:asciiTheme="minorHAnsi" w:hAnsiTheme="minorHAnsi"/>
          <w:vanish w:val="0"/>
          <w:color w:val="auto"/>
          <w:kern w:val="0"/>
          <w14:ligatures w14:val="none"/>
        </w:rPr>
        <w:t xml:space="preserve"> </w:t>
      </w:r>
      <w:r w:rsidRPr="001213F7">
        <w:t>for the School Breakfast Clubs Program</w:t>
      </w:r>
    </w:p>
    <w:p w14:paraId="1DC871B7" w14:textId="3D657397" w:rsidR="00103C62" w:rsidRPr="001213F7" w:rsidRDefault="00103C62" w:rsidP="006757F4">
      <w:pPr>
        <w:pStyle w:val="ShadedBoxBullet"/>
        <w:keepLines w:val="0"/>
        <w:numPr>
          <w:ilvl w:val="0"/>
          <w:numId w:val="17"/>
        </w:numPr>
        <w:ind w:left="360"/>
      </w:pPr>
      <w:r w:rsidRPr="001213F7">
        <w:t>$11 million for 55</w:t>
      </w:r>
      <w:r w:rsidR="002F1D6F" w:rsidRPr="001213F7">
        <w:t> </w:t>
      </w:r>
      <w:r w:rsidRPr="001213F7">
        <w:t>000 more Get Active Kids Vouchers to help cover the cost of sports enrolment and equipment.</w:t>
      </w:r>
    </w:p>
    <w:p w14:paraId="6192B8AC" w14:textId="77777777" w:rsidR="006757F4" w:rsidRPr="001213F7" w:rsidRDefault="006757F4" w:rsidP="005B5857">
      <w:pPr>
        <w:pStyle w:val="ShadedBoxHeading"/>
        <w:spacing w:before="100"/>
      </w:pPr>
      <w:r w:rsidRPr="001213F7">
        <w:t xml:space="preserve">Reducing the cost of transport </w:t>
      </w:r>
    </w:p>
    <w:p w14:paraId="54C384E9" w14:textId="78103301" w:rsidR="006757F4" w:rsidRPr="001213F7" w:rsidRDefault="006757F4" w:rsidP="00F21337">
      <w:pPr>
        <w:pStyle w:val="ShadedBoxText"/>
        <w:spacing w:before="60"/>
      </w:pPr>
      <w:r w:rsidRPr="001213F7">
        <w:t xml:space="preserve">In response to rising fuel prices caused by the </w:t>
      </w:r>
      <w:r w:rsidR="00C41E3D" w:rsidRPr="001213F7">
        <w:t>conflict</w:t>
      </w:r>
      <w:r w:rsidRPr="001213F7">
        <w:t xml:space="preserve"> in the Middle East, this budget provides $1.2 billion in initiatives to ease transport</w:t>
      </w:r>
      <w:r w:rsidR="00A15B1A" w:rsidRPr="001213F7">
        <w:t>-</w:t>
      </w:r>
      <w:r w:rsidRPr="001213F7">
        <w:t>related costs for Victorians, including:</w:t>
      </w:r>
    </w:p>
    <w:p w14:paraId="6BCEC418" w14:textId="2081B4B0" w:rsidR="006757F4" w:rsidRPr="001213F7" w:rsidRDefault="006757F4" w:rsidP="006757F4">
      <w:pPr>
        <w:pStyle w:val="ShadedBoxBullet"/>
        <w:keepLines w:val="0"/>
        <w:numPr>
          <w:ilvl w:val="0"/>
          <w:numId w:val="17"/>
        </w:numPr>
        <w:ind w:left="360"/>
      </w:pPr>
      <w:r w:rsidRPr="001213F7">
        <w:t>$75</w:t>
      </w:r>
      <w:r w:rsidR="00216A6F" w:rsidRPr="001213F7">
        <w:t>9</w:t>
      </w:r>
      <w:r w:rsidRPr="001213F7">
        <w:t xml:space="preserve"> million to provide 20 per cent rebate</w:t>
      </w:r>
      <w:r w:rsidR="00B34725" w:rsidRPr="001213F7">
        <w:t>s</w:t>
      </w:r>
      <w:r w:rsidRPr="001213F7">
        <w:t xml:space="preserve"> for the cost of up to two light vehicle registrations per person in the 2025-26 financial year </w:t>
      </w:r>
    </w:p>
    <w:p w14:paraId="7645CAAC" w14:textId="591FEC13" w:rsidR="006757F4" w:rsidRPr="001213F7" w:rsidRDefault="006757F4" w:rsidP="006757F4">
      <w:pPr>
        <w:pStyle w:val="ShadedBoxBullet"/>
        <w:keepLines w:val="0"/>
        <w:numPr>
          <w:ilvl w:val="0"/>
          <w:numId w:val="17"/>
        </w:numPr>
        <w:ind w:left="360"/>
      </w:pPr>
      <w:r w:rsidRPr="001213F7">
        <w:t>$433 million to provide free public transport in April and May, then half</w:t>
      </w:r>
      <w:r w:rsidR="00B27C70" w:rsidRPr="001213F7">
        <w:t>-</w:t>
      </w:r>
      <w:r w:rsidRPr="001213F7">
        <w:t xml:space="preserve">price fares on trams, trains and buses across Victoria until 1 January 2027  </w:t>
      </w:r>
    </w:p>
    <w:p w14:paraId="6E7D0F5C" w14:textId="38B07E7A" w:rsidR="006757F4" w:rsidRPr="001213F7" w:rsidRDefault="006757F4" w:rsidP="006757F4">
      <w:pPr>
        <w:pStyle w:val="ShadedBoxBullet"/>
        <w:keepLines w:val="0"/>
        <w:numPr>
          <w:ilvl w:val="0"/>
          <w:numId w:val="17"/>
        </w:numPr>
        <w:ind w:left="360"/>
      </w:pPr>
      <w:r w:rsidRPr="001213F7">
        <w:t xml:space="preserve">$5 million for the Fair Fuel Plan, increasing monitoring of fuel retailers and allowing consumers to compare fuel prices from more than 1 500 registered fuel retailers. </w:t>
      </w:r>
    </w:p>
    <w:p w14:paraId="4EC32565" w14:textId="77777777" w:rsidR="006757F4" w:rsidRPr="001213F7" w:rsidRDefault="006757F4" w:rsidP="005B5857">
      <w:pPr>
        <w:pStyle w:val="ShadedBoxHeading"/>
        <w:spacing w:before="100"/>
      </w:pPr>
      <w:r w:rsidRPr="001213F7">
        <w:t>Support for those most vulnerable</w:t>
      </w:r>
    </w:p>
    <w:p w14:paraId="2F7E7FF7" w14:textId="65F0E589" w:rsidR="006757F4" w:rsidRPr="001213F7" w:rsidRDefault="006757F4" w:rsidP="006757F4">
      <w:pPr>
        <w:pStyle w:val="ShadedBoxBullet"/>
        <w:keepLines w:val="0"/>
        <w:numPr>
          <w:ilvl w:val="0"/>
          <w:numId w:val="17"/>
        </w:numPr>
        <w:ind w:left="360"/>
      </w:pPr>
      <w:r w:rsidRPr="001213F7">
        <w:t>$26 million for additional emergency accommodation and nine new outreach teams to</w:t>
      </w:r>
      <w:r w:rsidR="00851D00" w:rsidRPr="001213F7">
        <w:t> </w:t>
      </w:r>
      <w:r w:rsidRPr="001213F7">
        <w:t>expand support for rough sleepers and help connect them to the help they need</w:t>
      </w:r>
    </w:p>
    <w:p w14:paraId="22FFEC44" w14:textId="65A2A317" w:rsidR="006757F4" w:rsidRPr="001213F7" w:rsidRDefault="006757F4" w:rsidP="006757F4">
      <w:pPr>
        <w:pStyle w:val="ShadedBoxBullet"/>
        <w:keepLines w:val="0"/>
        <w:numPr>
          <w:ilvl w:val="0"/>
          <w:numId w:val="17"/>
        </w:numPr>
        <w:ind w:left="360"/>
      </w:pPr>
      <w:r w:rsidRPr="001213F7">
        <w:t>$15 million to boost allowances for kinship, foster and permanent carers to keep pace</w:t>
      </w:r>
      <w:r w:rsidR="00851D00" w:rsidRPr="001213F7">
        <w:t> </w:t>
      </w:r>
      <w:r w:rsidRPr="001213F7">
        <w:t xml:space="preserve">with the cost of living </w:t>
      </w:r>
    </w:p>
    <w:p w14:paraId="497F5B6B" w14:textId="2B579FE5" w:rsidR="00386230" w:rsidRPr="001213F7" w:rsidRDefault="006757F4" w:rsidP="00722A11">
      <w:pPr>
        <w:pStyle w:val="ShadedBoxBullet"/>
        <w:keepLines w:val="0"/>
        <w:numPr>
          <w:ilvl w:val="0"/>
          <w:numId w:val="17"/>
        </w:numPr>
        <w:ind w:left="360"/>
      </w:pPr>
      <w:r w:rsidRPr="001213F7">
        <w:t>$15 million to provide stable housing and wraparound support to people experiencing</w:t>
      </w:r>
      <w:r w:rsidR="00851D00" w:rsidRPr="001213F7">
        <w:t> </w:t>
      </w:r>
      <w:r w:rsidRPr="001213F7">
        <w:t>homelessness</w:t>
      </w:r>
    </w:p>
    <w:p w14:paraId="60146741" w14:textId="77777777" w:rsidR="00082512" w:rsidRPr="001213F7" w:rsidRDefault="00082512" w:rsidP="005B5857">
      <w:pPr>
        <w:pStyle w:val="Note"/>
        <w:spacing w:before="0"/>
        <w:ind w:left="288" w:hanging="288"/>
        <w:contextualSpacing w:val="0"/>
        <w:rPr>
          <w:sz w:val="4"/>
        </w:rPr>
      </w:pPr>
    </w:p>
    <w:p w14:paraId="5BA4B123" w14:textId="5B9DD54E" w:rsidR="006757F4" w:rsidRPr="001213F7" w:rsidRDefault="006757F4" w:rsidP="006757F4">
      <w:pPr>
        <w:pStyle w:val="ShadedBoxBullet"/>
        <w:keepNext/>
        <w:keepLines w:val="0"/>
        <w:numPr>
          <w:ilvl w:val="0"/>
          <w:numId w:val="17"/>
        </w:numPr>
        <w:ind w:left="360"/>
      </w:pPr>
      <w:r w:rsidRPr="001213F7">
        <w:lastRenderedPageBreak/>
        <w:t>$11 million for community organisations to deliver food relief</w:t>
      </w:r>
    </w:p>
    <w:p w14:paraId="582C6780" w14:textId="510CE541" w:rsidR="006757F4" w:rsidRPr="001213F7" w:rsidRDefault="006757F4" w:rsidP="006757F4">
      <w:pPr>
        <w:pStyle w:val="ShadedBoxBullet"/>
        <w:keepLines w:val="0"/>
        <w:numPr>
          <w:ilvl w:val="0"/>
          <w:numId w:val="17"/>
        </w:numPr>
        <w:ind w:left="360"/>
      </w:pPr>
      <w:r w:rsidRPr="001213F7">
        <w:t>$6.3 million to continue the VET transport fund, helping</w:t>
      </w:r>
      <w:r w:rsidRPr="001213F7" w:rsidDel="00F22461">
        <w:t xml:space="preserve"> </w:t>
      </w:r>
      <w:r w:rsidRPr="001213F7">
        <w:t>rural and regional students get to VET classes during school</w:t>
      </w:r>
    </w:p>
    <w:p w14:paraId="3A8B86E5" w14:textId="76C3D93C" w:rsidR="006757F4" w:rsidRPr="001213F7" w:rsidRDefault="006757F4" w:rsidP="006757F4">
      <w:pPr>
        <w:pStyle w:val="ShadedBoxBullet"/>
        <w:keepLines w:val="0"/>
        <w:numPr>
          <w:ilvl w:val="0"/>
          <w:numId w:val="17"/>
        </w:numPr>
        <w:ind w:left="360"/>
      </w:pPr>
      <w:r w:rsidRPr="001213F7">
        <w:t>$6.1 million for support for vulnerable renters to maintain tenancies.</w:t>
      </w:r>
    </w:p>
    <w:p w14:paraId="15C2E087" w14:textId="77777777" w:rsidR="006757F4" w:rsidRPr="001213F7" w:rsidRDefault="006757F4" w:rsidP="006757F4">
      <w:pPr>
        <w:pStyle w:val="ShadedBoxHeading"/>
      </w:pPr>
      <w:r w:rsidRPr="001213F7">
        <w:t>More affordable housing</w:t>
      </w:r>
    </w:p>
    <w:p w14:paraId="702C4CA5" w14:textId="5271BED8" w:rsidR="006757F4" w:rsidRPr="001213F7" w:rsidRDefault="006757F4" w:rsidP="006757F4">
      <w:pPr>
        <w:pStyle w:val="ShadedBoxText"/>
        <w:keepNext/>
      </w:pPr>
      <w:r w:rsidRPr="001213F7">
        <w:t>This budget invests over $1 billion</w:t>
      </w:r>
      <w:r w:rsidR="006D2149" w:rsidRPr="001213F7">
        <w:t xml:space="preserve"> </w:t>
      </w:r>
      <w:r w:rsidRPr="001213F7">
        <w:t>for housing support across Victoria. Key investments include:</w:t>
      </w:r>
    </w:p>
    <w:p w14:paraId="6E853938" w14:textId="70B33B9C" w:rsidR="006757F4" w:rsidRPr="001213F7" w:rsidRDefault="006757F4" w:rsidP="006757F4">
      <w:pPr>
        <w:pStyle w:val="ShadedBoxBullet"/>
        <w:keepLines w:val="0"/>
        <w:numPr>
          <w:ilvl w:val="0"/>
          <w:numId w:val="17"/>
        </w:numPr>
        <w:ind w:left="360"/>
      </w:pPr>
      <w:r w:rsidRPr="001213F7">
        <w:t>$860 million estimated investment into the Social Housing Growth Fund over the next five years, to support delivery of 7 000 new social housing homes over the next decade</w:t>
      </w:r>
    </w:p>
    <w:p w14:paraId="07F10D1D" w14:textId="2D9AE7FD" w:rsidR="006757F4" w:rsidRPr="001213F7" w:rsidRDefault="006757F4" w:rsidP="006757F4">
      <w:pPr>
        <w:pStyle w:val="ShadedBoxBullet"/>
        <w:keepLines w:val="0"/>
        <w:numPr>
          <w:ilvl w:val="0"/>
          <w:numId w:val="17"/>
        </w:numPr>
        <w:ind w:left="360"/>
        <w:rPr>
          <w:lang w:eastAsia="en-AU"/>
        </w:rPr>
      </w:pPr>
      <w:r w:rsidRPr="001213F7">
        <w:t xml:space="preserve">$97 million </w:t>
      </w:r>
      <w:r w:rsidRPr="001213F7">
        <w:rPr>
          <w:lang w:eastAsia="en-AU"/>
        </w:rPr>
        <w:t>to continue delivering housing reforms, as well as $37 million to unlock better uses of Victorian land.</w:t>
      </w:r>
    </w:p>
    <w:p w14:paraId="4590B713" w14:textId="77777777" w:rsidR="006757F4" w:rsidRPr="001213F7" w:rsidRDefault="006757F4" w:rsidP="006757F4">
      <w:pPr>
        <w:pStyle w:val="ShadedBoxHeading"/>
      </w:pPr>
      <w:r w:rsidRPr="001213F7">
        <w:t>More affordable energy</w:t>
      </w:r>
    </w:p>
    <w:p w14:paraId="5BCC2DD1" w14:textId="2AC2A396" w:rsidR="006757F4" w:rsidRPr="001213F7" w:rsidRDefault="006757F4" w:rsidP="006757F4">
      <w:pPr>
        <w:pStyle w:val="ShadedBoxBullet"/>
        <w:keepLines w:val="0"/>
        <w:numPr>
          <w:ilvl w:val="0"/>
          <w:numId w:val="17"/>
        </w:numPr>
        <w:ind w:left="360"/>
      </w:pPr>
      <w:r w:rsidRPr="001213F7">
        <w:t>$28 million to extend the Solar Victoria hot water rebate program</w:t>
      </w:r>
    </w:p>
    <w:p w14:paraId="43068391" w14:textId="080A80B2" w:rsidR="006757F4" w:rsidRPr="001213F7" w:rsidRDefault="006757F4" w:rsidP="006757F4">
      <w:pPr>
        <w:pStyle w:val="ShadedBoxBullet"/>
        <w:keepLines w:val="0"/>
        <w:numPr>
          <w:ilvl w:val="0"/>
          <w:numId w:val="17"/>
        </w:numPr>
        <w:ind w:left="360"/>
      </w:pPr>
      <w:r w:rsidRPr="001213F7">
        <w:t>$10 million to support action on energy efficiency by the community housing sector, and $0.9 million to support reforms to the Victorian Energy Upgrades program</w:t>
      </w:r>
    </w:p>
    <w:p w14:paraId="6BF226F1" w14:textId="15F7DFEB" w:rsidR="006757F4" w:rsidRPr="001213F7" w:rsidRDefault="006757F4" w:rsidP="006757F4">
      <w:pPr>
        <w:pStyle w:val="ShadedBoxBullet"/>
        <w:keepLines w:val="0"/>
        <w:numPr>
          <w:ilvl w:val="0"/>
          <w:numId w:val="17"/>
        </w:numPr>
        <w:ind w:left="360"/>
      </w:pPr>
      <w:r w:rsidRPr="001213F7">
        <w:t>$1.1 million to extend the Energy Assistance Program, to support vulnerable customers to maximise their energy bill savings.</w:t>
      </w:r>
    </w:p>
    <w:p w14:paraId="43CCE084" w14:textId="77777777" w:rsidR="006757F4" w:rsidRPr="001213F7" w:rsidRDefault="006757F4" w:rsidP="006757F4">
      <w:pPr>
        <w:pStyle w:val="Heading2"/>
      </w:pPr>
      <w:r w:rsidRPr="001213F7">
        <w:t>Transport</w:t>
      </w:r>
    </w:p>
    <w:p w14:paraId="25CDF043" w14:textId="6155F723" w:rsidR="006757F4" w:rsidRPr="001213F7" w:rsidRDefault="006757F4" w:rsidP="006757F4">
      <w:r w:rsidRPr="001213F7">
        <w:t xml:space="preserve">The </w:t>
      </w:r>
      <w:r w:rsidRPr="001213F7">
        <w:rPr>
          <w:i/>
          <w:iCs/>
        </w:rPr>
        <w:t xml:space="preserve">2026-27 Budget </w:t>
      </w:r>
      <w:r w:rsidRPr="001213F7">
        <w:t xml:space="preserve">invests $2.2 billion into upgrading Victoria’s public transport network and roads. </w:t>
      </w:r>
    </w:p>
    <w:p w14:paraId="6886F8AE" w14:textId="39F6DF78" w:rsidR="006757F4" w:rsidRPr="001213F7" w:rsidRDefault="006757F4" w:rsidP="006757F4">
      <w:r w:rsidRPr="001213F7">
        <w:t xml:space="preserve">This includes $1.6 billion invested into public transport to deliver a safer, more reliable network of trains, trams, buses and ferry services for Victorians. </w:t>
      </w:r>
    </w:p>
    <w:p w14:paraId="1CFF09D9" w14:textId="2D7E41FC" w:rsidR="006757F4" w:rsidRPr="001213F7" w:rsidRDefault="006757F4" w:rsidP="006757F4">
      <w:r w:rsidRPr="001213F7">
        <w:t xml:space="preserve">Building on the opening of the Metro Tunnel in 2025, this budget is headlined by $674 million for 25 </w:t>
      </w:r>
      <w:r w:rsidR="00FB0755" w:rsidRPr="001213F7">
        <w:t>addit</w:t>
      </w:r>
      <w:r w:rsidR="00815CBB" w:rsidRPr="001213F7">
        <w:t>i</w:t>
      </w:r>
      <w:r w:rsidR="00FB0755" w:rsidRPr="001213F7">
        <w:t>onal</w:t>
      </w:r>
      <w:r w:rsidRPr="001213F7">
        <w:t xml:space="preserve"> six-car X’Trapolis 2.0 trains on the metropolitan train network. The budget also provides $92 million to maintain and uplift capacity on the Shepparton and Wyndham Vale Lines, continue additional Seymour peak timetable services and uplift for Clifton Hill and Burnley group services. </w:t>
      </w:r>
    </w:p>
    <w:p w14:paraId="7F298D1D" w14:textId="689AEB4C" w:rsidR="006757F4" w:rsidRPr="001213F7" w:rsidRDefault="006757F4" w:rsidP="006757F4">
      <w:r w:rsidRPr="001213F7">
        <w:t xml:space="preserve">The budget also invests $105 million to deliver new and improved bus services across Victoria and to maintain ferry services. A further investment of $76 million is provided for infrastructure works to improve tram network performance across Melbourne. </w:t>
      </w:r>
    </w:p>
    <w:p w14:paraId="78179615" w14:textId="6A34C0D3" w:rsidR="006757F4" w:rsidRPr="001213F7" w:rsidRDefault="006757F4" w:rsidP="006757F4">
      <w:r w:rsidRPr="001213F7">
        <w:t xml:space="preserve">The </w:t>
      </w:r>
      <w:r w:rsidRPr="001213F7">
        <w:rPr>
          <w:i/>
          <w:iCs/>
        </w:rPr>
        <w:t>2026-27 Budget</w:t>
      </w:r>
      <w:r w:rsidRPr="001213F7">
        <w:t xml:space="preserve"> includes $560 million in new funding for road maintenance to fix potholes and resurface roads. The budget also provides $29 million for planning and delivery of new and upgraded roads in metropolitan Melbourne and $73 million for planning and delivery of regional road upgrades across Victoria. </w:t>
      </w:r>
    </w:p>
    <w:p w14:paraId="3BE589E8" w14:textId="53EC9A54" w:rsidR="006757F4" w:rsidRPr="001213F7" w:rsidRDefault="006757F4" w:rsidP="006757F4">
      <w:pPr>
        <w:pStyle w:val="Heading2"/>
      </w:pPr>
      <w:r w:rsidRPr="001213F7">
        <w:lastRenderedPageBreak/>
        <w:t>Health</w:t>
      </w:r>
    </w:p>
    <w:p w14:paraId="6FE860DF" w14:textId="04D65A96" w:rsidR="006757F4" w:rsidRPr="001213F7" w:rsidRDefault="006757F4" w:rsidP="006757F4">
      <w:pPr>
        <w:keepNext/>
      </w:pPr>
      <w:r w:rsidRPr="001213F7">
        <w:t xml:space="preserve">The </w:t>
      </w:r>
      <w:r w:rsidRPr="001213F7">
        <w:rPr>
          <w:i/>
        </w:rPr>
        <w:t>2026-27 Budget</w:t>
      </w:r>
      <w:r w:rsidRPr="001213F7">
        <w:t xml:space="preserve"> invests a further $3.9 billion to meet Victoria’s healthcare needs and make it easier for Victorians to access high-quality health care</w:t>
      </w:r>
    </w:p>
    <w:p w14:paraId="40D931D0" w14:textId="64E4220E" w:rsidR="006757F4" w:rsidRPr="001213F7" w:rsidRDefault="006757F4" w:rsidP="006757F4">
      <w:pPr>
        <w:keepNext/>
      </w:pPr>
      <w:r w:rsidRPr="001213F7">
        <w:t>This budget provides $1.6 billion for hospital staffing, medicines and resources to allow Victoria’s health services to continue delivering current services and meet increasing demand, as well as $76 million to strengthen Victoria’s health workforce.</w:t>
      </w:r>
    </w:p>
    <w:p w14:paraId="6758DA7E" w14:textId="35FC72D4" w:rsidR="006757F4" w:rsidRPr="001213F7" w:rsidRDefault="006757F4" w:rsidP="006757F4">
      <w:r w:rsidRPr="001213F7">
        <w:t>An investment of $284 million is provided to open and operate hospitals and wards, including one new</w:t>
      </w:r>
      <w:r w:rsidRPr="001213F7" w:rsidDel="00732EA6">
        <w:t xml:space="preserve"> community hospital</w:t>
      </w:r>
      <w:r w:rsidRPr="001213F7">
        <w:t xml:space="preserve"> and planning for future service delivery. The budget also invests $145 million in hospital infrastructure and equipment upgrades, including $75 million for the Regional Health Infrastructure Fund and $15 million for the</w:t>
      </w:r>
      <w:r w:rsidR="000D1987" w:rsidRPr="001213F7">
        <w:t> </w:t>
      </w:r>
      <w:r w:rsidRPr="001213F7">
        <w:t>Metropolitan Health Infrastructure Fund.</w:t>
      </w:r>
    </w:p>
    <w:p w14:paraId="369D54FD" w14:textId="30CE09C1" w:rsidR="00395AAF" w:rsidRPr="001213F7" w:rsidRDefault="00395AAF" w:rsidP="00395AAF">
      <w:r w:rsidRPr="001213F7">
        <w:t>The Budget also includes $133 million to deliver hospital-level care in patients’ homes through home visits and virtual care.</w:t>
      </w:r>
    </w:p>
    <w:p w14:paraId="56C2FD1F" w14:textId="6B5909AD" w:rsidR="006757F4" w:rsidRPr="001213F7" w:rsidRDefault="006757F4" w:rsidP="006757F4">
      <w:r w:rsidRPr="001213F7">
        <w:t>A further $10 million is provided to maintain nine state-run Urgent Care Clinics to treat patients who require urgent, non-emergency care.</w:t>
      </w:r>
    </w:p>
    <w:p w14:paraId="117576F1" w14:textId="4D868885" w:rsidR="006757F4" w:rsidRPr="001213F7" w:rsidRDefault="006757F4" w:rsidP="006757F4">
      <w:r w:rsidRPr="001213F7">
        <w:t>The budget commits $299 million to support new families, including $249 million</w:t>
      </w:r>
      <w:r w:rsidRPr="001213F7">
        <w:rPr>
          <w:color w:val="FF0000"/>
        </w:rPr>
        <w:t xml:space="preserve"> </w:t>
      </w:r>
      <w:r w:rsidRPr="001213F7">
        <w:t>for maternity services in Melbourne’s western suburbs and $43 million</w:t>
      </w:r>
      <w:r w:rsidRPr="001213F7">
        <w:rPr>
          <w:color w:val="FF0000"/>
        </w:rPr>
        <w:t xml:space="preserve"> </w:t>
      </w:r>
      <w:r w:rsidRPr="001213F7">
        <w:t>in IVF support. An</w:t>
      </w:r>
      <w:r w:rsidR="000D1987" w:rsidRPr="001213F7">
        <w:t> </w:t>
      </w:r>
      <w:r w:rsidRPr="001213F7">
        <w:t>additional $109 million is provided to improve paediatric planned surgery and paediatric specialist appointment access.</w:t>
      </w:r>
    </w:p>
    <w:p w14:paraId="6260A582" w14:textId="7CFB26A2" w:rsidR="006757F4" w:rsidRPr="001213F7" w:rsidRDefault="006757F4" w:rsidP="006757F4">
      <w:r w:rsidRPr="001213F7">
        <w:t xml:space="preserve">This budget commits an additional $80 million to continue support for residential aged care facilities and services and $30 million to strengthen palliative care. It also invests $133 million to deliver hospital-level care in patients’ homes through home visits and virtual care. </w:t>
      </w:r>
    </w:p>
    <w:p w14:paraId="79409C41" w14:textId="4A060578" w:rsidR="006757F4" w:rsidRPr="001213F7" w:rsidRDefault="006757F4" w:rsidP="006757F4">
      <w:r w:rsidRPr="001213F7">
        <w:t xml:space="preserve">This </w:t>
      </w:r>
      <w:r w:rsidR="00701690" w:rsidRPr="001213F7">
        <w:t xml:space="preserve">budget </w:t>
      </w:r>
      <w:r w:rsidR="00892AFA" w:rsidRPr="001213F7">
        <w:t>includes</w:t>
      </w:r>
      <w:r w:rsidRPr="001213F7">
        <w:t xml:space="preserve"> a range of initiatives that improve mental health services and facilities, provide culturally safe support for First Peoples and strengthen suicide prevention. This includes</w:t>
      </w:r>
      <w:r w:rsidRPr="001213F7" w:rsidDel="004643FF">
        <w:t xml:space="preserve"> </w:t>
      </w:r>
      <w:r w:rsidRPr="001213F7">
        <w:t>$30 million for new and existing mental health Hospital in the Home beds to enable more people to access home-based acute inpatient mental health care.</w:t>
      </w:r>
    </w:p>
    <w:p w14:paraId="3EB754FC" w14:textId="640CA6BB" w:rsidR="006757F4" w:rsidRPr="001213F7" w:rsidRDefault="006757F4" w:rsidP="006757F4">
      <w:r w:rsidRPr="001213F7">
        <w:t xml:space="preserve">This budget also provides $104 million to reduce alcohol and drug harm. </w:t>
      </w:r>
    </w:p>
    <w:p w14:paraId="336C8F01" w14:textId="5414CFE7" w:rsidR="004477BF" w:rsidRPr="001213F7" w:rsidRDefault="004C166D" w:rsidP="007D7097">
      <w:pPr>
        <w:pStyle w:val="ShadedBoxHeading"/>
        <w:spacing w:before="240"/>
      </w:pPr>
      <w:r w:rsidRPr="001213F7">
        <w:t>Box 1.2:  Disability services</w:t>
      </w:r>
    </w:p>
    <w:p w14:paraId="2344C343" w14:textId="1B217495" w:rsidR="00DC4ADC" w:rsidRPr="001213F7" w:rsidRDefault="00EC1726" w:rsidP="00AC3D0C">
      <w:pPr>
        <w:pStyle w:val="ShadedBoxText"/>
        <w:rPr>
          <w:lang w:val="en-US"/>
        </w:rPr>
      </w:pPr>
      <w:r w:rsidRPr="001213F7">
        <w:t xml:space="preserve">An investment of $2.5 billion is provided for disability supports. This includes </w:t>
      </w:r>
      <w:r w:rsidRPr="001213F7">
        <w:rPr>
          <w:lang w:val="en-US"/>
        </w:rPr>
        <w:t xml:space="preserve">$2.4 billion over five years, with the Commonwealth, to fund Victoria’s commitments under the National Agreement on Foundational Supports. It also includes </w:t>
      </w:r>
      <w:r w:rsidRPr="001213F7">
        <w:t>$42 million for advocacy, support and liaison services for Victorians with disability</w:t>
      </w:r>
      <w:r w:rsidRPr="001213F7">
        <w:rPr>
          <w:lang w:val="en-US"/>
        </w:rPr>
        <w:t>, as well as $20 million to support people in home and aged care outside of the NDIS and $17 million to make sure wheelchair use</w:t>
      </w:r>
      <w:r w:rsidR="00357584" w:rsidRPr="001213F7">
        <w:rPr>
          <w:lang w:val="en-US"/>
        </w:rPr>
        <w:t>r</w:t>
      </w:r>
      <w:r w:rsidRPr="001213F7">
        <w:rPr>
          <w:lang w:val="en-US"/>
        </w:rPr>
        <w:t xml:space="preserve">s can get a taxi when they need one. </w:t>
      </w:r>
    </w:p>
    <w:p w14:paraId="5A542789" w14:textId="6D8235CB" w:rsidR="004C166D" w:rsidRPr="001213F7" w:rsidRDefault="00EC1726" w:rsidP="00DC4ADC">
      <w:pPr>
        <w:pStyle w:val="ShadedBoxText"/>
      </w:pPr>
      <w:r w:rsidRPr="001213F7">
        <w:t>This,</w:t>
      </w:r>
      <w:r w:rsidR="00825692" w:rsidRPr="001213F7">
        <w:t xml:space="preserve"> </w:t>
      </w:r>
      <w:r w:rsidRPr="001213F7">
        <w:t>along with disability supports investments in the schools sector, brings this budget’s total investment to $4.7 billion for people with disability.</w:t>
      </w:r>
    </w:p>
    <w:p w14:paraId="1A442CA1" w14:textId="77777777" w:rsidR="006757F4" w:rsidRPr="001213F7" w:rsidRDefault="006757F4" w:rsidP="006757F4">
      <w:pPr>
        <w:pStyle w:val="Heading2"/>
      </w:pPr>
      <w:r w:rsidRPr="001213F7">
        <w:lastRenderedPageBreak/>
        <w:t>Education</w:t>
      </w:r>
    </w:p>
    <w:p w14:paraId="4470D13D" w14:textId="37569965" w:rsidR="006757F4" w:rsidRPr="001213F7" w:rsidRDefault="006757F4" w:rsidP="000D1987">
      <w:pPr>
        <w:keepNext/>
      </w:pPr>
      <w:r w:rsidRPr="001213F7">
        <w:t xml:space="preserve">The </w:t>
      </w:r>
      <w:r w:rsidRPr="001213F7">
        <w:rPr>
          <w:i/>
        </w:rPr>
        <w:t>2026-27 Budget</w:t>
      </w:r>
      <w:r w:rsidRPr="001213F7">
        <w:t xml:space="preserve"> invests $5.5 billion in schools and early childhood education to ensure all Victorian children can access high-quality learning opportunities.</w:t>
      </w:r>
    </w:p>
    <w:p w14:paraId="3717E634" w14:textId="211A88F3" w:rsidR="006757F4" w:rsidRPr="001213F7" w:rsidRDefault="006757F4" w:rsidP="006757F4">
      <w:r w:rsidRPr="001213F7">
        <w:t>This budget provides $1.6 billion for new schools, school upgrades and maintenance to support our growing communities across the state, with $420 million provided to build four new schools and campuses, additional stages at three recently opened schools and planning and early works for an additional three new schools and campuses.</w:t>
      </w:r>
    </w:p>
    <w:p w14:paraId="70251215" w14:textId="77198DB7" w:rsidR="00036CE1" w:rsidRPr="001213F7" w:rsidRDefault="00237DDF" w:rsidP="00445773">
      <w:pPr>
        <w:ind w:right="143"/>
      </w:pPr>
      <w:r w:rsidRPr="001213F7">
        <w:t>The budget invests $158 million in quality teaching and learning to boost educational outcomes, including $49 million to boost leadership skills through the Victorian Academy of Teaching and Leadership, $21 million to deliver critical school workforce reforms, $24 million to support best practice teaching and learning, and $62 million to provide interpreting and translating services through the English as an Additional Language program.</w:t>
      </w:r>
    </w:p>
    <w:p w14:paraId="038096E0" w14:textId="2A5EA1DD" w:rsidR="006757F4" w:rsidRPr="001213F7" w:rsidRDefault="006757F4" w:rsidP="006757F4">
      <w:r w:rsidRPr="001213F7">
        <w:t>The</w:t>
      </w:r>
      <w:r w:rsidRPr="001213F7">
        <w:rPr>
          <w:i/>
          <w:iCs/>
        </w:rPr>
        <w:t xml:space="preserve"> 2026-27 Budget</w:t>
      </w:r>
      <w:r w:rsidRPr="001213F7">
        <w:t xml:space="preserve"> invests $222 million to implement reforms to the Victorian Curriculum and Assessment Authority as recommended in the Blacher Review.</w:t>
      </w:r>
    </w:p>
    <w:p w14:paraId="7728C59F" w14:textId="368035AE" w:rsidR="006757F4" w:rsidRPr="001213F7" w:rsidRDefault="006757F4" w:rsidP="006757F4">
      <w:pPr>
        <w:keepNext/>
        <w:rPr>
          <w:szCs w:val="20"/>
        </w:rPr>
      </w:pPr>
      <w:r w:rsidRPr="001213F7">
        <w:t xml:space="preserve">An investment of $137 million is provided to enhance vocational learning, </w:t>
      </w:r>
      <w:r w:rsidRPr="001213F7">
        <w:rPr>
          <w:szCs w:val="20"/>
        </w:rPr>
        <w:t>including $69 million</w:t>
      </w:r>
      <w:r w:rsidRPr="001213F7">
        <w:t xml:space="preserve"> for</w:t>
      </w:r>
      <w:r w:rsidRPr="001213F7">
        <w:rPr>
          <w:szCs w:val="20"/>
        </w:rPr>
        <w:t xml:space="preserve"> vocational education and training (VET), vocational and applied learning in secondary schools and $46 million to continue the Head Start program.</w:t>
      </w:r>
    </w:p>
    <w:p w14:paraId="72325214" w14:textId="6F9813BF" w:rsidR="006757F4" w:rsidRPr="001213F7" w:rsidRDefault="006757F4" w:rsidP="006757F4">
      <w:r w:rsidRPr="001213F7">
        <w:t>This budget provides a further $541 million to boost early childhood education programs, build and expand kindergartens and</w:t>
      </w:r>
      <w:r w:rsidRPr="001213F7" w:rsidDel="00A07D2E">
        <w:t xml:space="preserve"> </w:t>
      </w:r>
      <w:r w:rsidRPr="001213F7">
        <w:t>deliver state-run Early Learning Victoria centres.</w:t>
      </w:r>
    </w:p>
    <w:p w14:paraId="0F83CA12" w14:textId="450B588A" w:rsidR="006757F4" w:rsidRPr="001213F7" w:rsidRDefault="006757F4" w:rsidP="006757F4">
      <w:r w:rsidRPr="001213F7">
        <w:t>An investment of $2.2</w:t>
      </w:r>
      <w:r w:rsidRPr="001213F7">
        <w:rPr>
          <w:szCs w:val="20"/>
        </w:rPr>
        <w:t> </w:t>
      </w:r>
      <w:r w:rsidRPr="001213F7">
        <w:t>billion is provided to support children with disabilities in schools. This includes $2.1</w:t>
      </w:r>
      <w:r w:rsidRPr="001213F7">
        <w:rPr>
          <w:szCs w:val="20"/>
        </w:rPr>
        <w:t> </w:t>
      </w:r>
      <w:r w:rsidRPr="001213F7">
        <w:t>billion to ensure disability inclusion in schools for students with complex needs, $39</w:t>
      </w:r>
      <w:r w:rsidRPr="001213F7">
        <w:rPr>
          <w:szCs w:val="20"/>
        </w:rPr>
        <w:t> </w:t>
      </w:r>
      <w:r w:rsidRPr="001213F7">
        <w:t>million for students with disabilities transport program, $29</w:t>
      </w:r>
      <w:r w:rsidRPr="001213F7">
        <w:rPr>
          <w:szCs w:val="20"/>
        </w:rPr>
        <w:t> </w:t>
      </w:r>
      <w:r w:rsidRPr="001213F7">
        <w:t>million</w:t>
      </w:r>
      <w:r w:rsidR="006D2149" w:rsidRPr="001213F7">
        <w:t xml:space="preserve"> </w:t>
      </w:r>
      <w:r w:rsidRPr="001213F7">
        <w:t>for accessible school buildings and $24</w:t>
      </w:r>
      <w:r w:rsidRPr="001213F7">
        <w:rPr>
          <w:szCs w:val="20"/>
        </w:rPr>
        <w:t> </w:t>
      </w:r>
      <w:r w:rsidRPr="001213F7">
        <w:t xml:space="preserve">million for High Intensity Outside School Hours Care at specialist schools. This, along with </w:t>
      </w:r>
      <w:r w:rsidR="00786452" w:rsidRPr="001213F7">
        <w:t>other</w:t>
      </w:r>
      <w:r w:rsidRPr="001213F7">
        <w:t xml:space="preserve"> disability supports, brings this </w:t>
      </w:r>
      <w:r w:rsidR="0099784D" w:rsidRPr="001213F7">
        <w:t>b</w:t>
      </w:r>
      <w:r w:rsidRPr="001213F7">
        <w:t>udget’s total investment to $4.7</w:t>
      </w:r>
      <w:r w:rsidRPr="001213F7" w:rsidDel="005229EB">
        <w:rPr>
          <w:szCs w:val="20"/>
        </w:rPr>
        <w:t> </w:t>
      </w:r>
      <w:r w:rsidRPr="001213F7">
        <w:t>billion for people with disability.</w:t>
      </w:r>
    </w:p>
    <w:p w14:paraId="4DEBD14E" w14:textId="77777777" w:rsidR="006757F4" w:rsidRPr="001213F7" w:rsidRDefault="006757F4" w:rsidP="006757F4">
      <w:pPr>
        <w:pStyle w:val="Heading2"/>
      </w:pPr>
      <w:r w:rsidRPr="001213F7">
        <w:t>Justice and community safety</w:t>
      </w:r>
    </w:p>
    <w:p w14:paraId="6AC98316" w14:textId="5F508C42" w:rsidR="006757F4" w:rsidRPr="001213F7" w:rsidRDefault="006757F4" w:rsidP="006757F4">
      <w:r w:rsidRPr="001213F7">
        <w:t xml:space="preserve">The </w:t>
      </w:r>
      <w:r w:rsidRPr="001213F7">
        <w:rPr>
          <w:i/>
          <w:iCs/>
        </w:rPr>
        <w:t>2026-27 Budget</w:t>
      </w:r>
      <w:r w:rsidRPr="001213F7">
        <w:t xml:space="preserve"> invests $1.7</w:t>
      </w:r>
      <w:r w:rsidRPr="001213F7">
        <w:rPr>
          <w:szCs w:val="20"/>
        </w:rPr>
        <w:t> </w:t>
      </w:r>
      <w:r w:rsidRPr="001213F7">
        <w:t>billion to strengthen the justice and community safety system, protect children and families, respond to family violence, address youth crime and</w:t>
      </w:r>
      <w:r w:rsidR="00275B93" w:rsidRPr="001213F7">
        <w:t> </w:t>
      </w:r>
      <w:r w:rsidRPr="001213F7">
        <w:t xml:space="preserve">target repeat offending. </w:t>
      </w:r>
    </w:p>
    <w:p w14:paraId="4FB6D675" w14:textId="3021AFEC" w:rsidR="006757F4" w:rsidRPr="001213F7" w:rsidRDefault="006757F4" w:rsidP="006757F4">
      <w:pPr>
        <w:rPr>
          <w:iCs/>
        </w:rPr>
      </w:pPr>
      <w:r w:rsidRPr="001213F7">
        <w:t xml:space="preserve">The </w:t>
      </w:r>
      <w:r w:rsidR="00DA627C" w:rsidRPr="001213F7">
        <w:rPr>
          <w:iCs/>
        </w:rPr>
        <w:t>budget</w:t>
      </w:r>
      <w:r w:rsidRPr="001213F7">
        <w:rPr>
          <w:iCs/>
        </w:rPr>
        <w:t xml:space="preserve"> invests $512</w:t>
      </w:r>
      <w:r w:rsidRPr="001213F7">
        <w:rPr>
          <w:szCs w:val="20"/>
        </w:rPr>
        <w:t> </w:t>
      </w:r>
      <w:r w:rsidRPr="001213F7">
        <w:rPr>
          <w:iCs/>
        </w:rPr>
        <w:t>million for community safety measures to support the reformed justice system and to address youth crime. This includes:</w:t>
      </w:r>
    </w:p>
    <w:p w14:paraId="344E1CE6" w14:textId="1766B273" w:rsidR="006757F4" w:rsidRPr="001213F7" w:rsidRDefault="006757F4" w:rsidP="006757F4">
      <w:pPr>
        <w:pStyle w:val="ListBullet"/>
        <w:keepLines w:val="0"/>
        <w:numPr>
          <w:ilvl w:val="0"/>
          <w:numId w:val="13"/>
        </w:numPr>
        <w:rPr>
          <w:iCs/>
        </w:rPr>
      </w:pPr>
      <w:r w:rsidRPr="001213F7">
        <w:rPr>
          <w:iCs/>
        </w:rPr>
        <w:t>$397 million to continue implementing Victoria’s bail laws and keep</w:t>
      </w:r>
      <w:r w:rsidR="00E930F2" w:rsidRPr="001213F7">
        <w:rPr>
          <w:iCs/>
        </w:rPr>
        <w:t>ing</w:t>
      </w:r>
      <w:r w:rsidRPr="001213F7">
        <w:rPr>
          <w:iCs/>
        </w:rPr>
        <w:t xml:space="preserve"> Victorians safe. This includes increasing custodial capacity in youth justice and adult corrections systems and delivering programs to reduce reoffending</w:t>
      </w:r>
    </w:p>
    <w:p w14:paraId="33B76797" w14:textId="59D8A4B7" w:rsidR="006757F4" w:rsidRPr="001213F7" w:rsidRDefault="006757F4" w:rsidP="006757F4">
      <w:pPr>
        <w:pStyle w:val="ListBullet"/>
        <w:keepLines w:val="0"/>
        <w:ind w:left="346" w:hanging="346"/>
        <w:rPr>
          <w:iCs/>
        </w:rPr>
      </w:pPr>
      <w:r w:rsidRPr="001213F7">
        <w:rPr>
          <w:iCs/>
        </w:rPr>
        <w:t>$81 million will respond to and prevent youth crime</w:t>
      </w:r>
      <w:r w:rsidR="00AD3A56" w:rsidRPr="001213F7">
        <w:rPr>
          <w:iCs/>
        </w:rPr>
        <w:t>,</w:t>
      </w:r>
      <w:r w:rsidRPr="001213F7">
        <w:rPr>
          <w:iCs/>
        </w:rPr>
        <w:t xml:space="preserve"> providing support to at-risk young people and students and reduc</w:t>
      </w:r>
      <w:r w:rsidR="00555172" w:rsidRPr="001213F7">
        <w:rPr>
          <w:iCs/>
        </w:rPr>
        <w:t>ing their</w:t>
      </w:r>
      <w:r w:rsidRPr="001213F7">
        <w:rPr>
          <w:iCs/>
        </w:rPr>
        <w:t xml:space="preserve"> contact with the justice system</w:t>
      </w:r>
    </w:p>
    <w:p w14:paraId="1E0DE300" w14:textId="6733F07F" w:rsidR="006757F4" w:rsidRPr="001213F7" w:rsidRDefault="006757F4" w:rsidP="006757F4">
      <w:pPr>
        <w:pStyle w:val="ListBullet"/>
        <w:keepLines w:val="0"/>
        <w:ind w:left="346" w:hanging="346"/>
        <w:rPr>
          <w:iCs/>
        </w:rPr>
      </w:pPr>
      <w:r w:rsidRPr="001213F7">
        <w:rPr>
          <w:iCs/>
        </w:rPr>
        <w:t>$3</w:t>
      </w:r>
      <w:r w:rsidR="005124D8" w:rsidRPr="001213F7">
        <w:rPr>
          <w:iCs/>
        </w:rPr>
        <w:t>3</w:t>
      </w:r>
      <w:r w:rsidRPr="001213F7">
        <w:rPr>
          <w:iCs/>
        </w:rPr>
        <w:t xml:space="preserve"> million</w:t>
      </w:r>
      <w:r w:rsidRPr="001213F7">
        <w:rPr>
          <w:rStyle w:val="AggregatesfactscodeChar"/>
          <w:vanish w:val="0"/>
        </w:rPr>
        <w:t xml:space="preserve"> </w:t>
      </w:r>
      <w:r w:rsidRPr="001213F7">
        <w:rPr>
          <w:iCs/>
        </w:rPr>
        <w:t xml:space="preserve">to support the Violence Reduction Unit, delivering initiatives for gang violence intervention and connecting Victoria Police with communities. </w:t>
      </w:r>
    </w:p>
    <w:p w14:paraId="15CA33FF" w14:textId="2451F0E5" w:rsidR="006757F4" w:rsidRPr="001213F7" w:rsidRDefault="006757F4" w:rsidP="006757F4">
      <w:pPr>
        <w:rPr>
          <w:iCs/>
        </w:rPr>
      </w:pPr>
      <w:r w:rsidRPr="001213F7">
        <w:rPr>
          <w:iCs/>
        </w:rPr>
        <w:lastRenderedPageBreak/>
        <w:t xml:space="preserve">The budget also delivers </w:t>
      </w:r>
      <w:r w:rsidRPr="001213F7">
        <w:t>$222 million</w:t>
      </w:r>
      <w:r w:rsidRPr="001213F7">
        <w:rPr>
          <w:iCs/>
        </w:rPr>
        <w:t xml:space="preserve"> in policing and community safety, including recruiting up to </w:t>
      </w:r>
      <w:r w:rsidRPr="001213F7">
        <w:t xml:space="preserve">200 </w:t>
      </w:r>
      <w:r w:rsidRPr="001213F7">
        <w:rPr>
          <w:iCs/>
        </w:rPr>
        <w:t xml:space="preserve">police reservists, </w:t>
      </w:r>
      <w:r w:rsidRPr="001213F7">
        <w:t xml:space="preserve">delivering 50 new </w:t>
      </w:r>
      <w:r w:rsidRPr="001213F7">
        <w:rPr>
          <w:iCs/>
        </w:rPr>
        <w:t>protective services officers, and</w:t>
      </w:r>
      <w:r w:rsidR="00C37DD2" w:rsidRPr="001213F7">
        <w:rPr>
          <w:iCs/>
        </w:rPr>
        <w:t> </w:t>
      </w:r>
      <w:r w:rsidRPr="001213F7">
        <w:rPr>
          <w:iCs/>
        </w:rPr>
        <w:t>upgrading critical technology infrastructure and information systems. A further $155</w:t>
      </w:r>
      <w:r w:rsidRPr="001213F7">
        <w:t> </w:t>
      </w:r>
      <w:r w:rsidRPr="001213F7">
        <w:rPr>
          <w:iCs/>
        </w:rPr>
        <w:t>million is invested to improve efficiency in the court system so that cases can be dealt with more quickly.</w:t>
      </w:r>
    </w:p>
    <w:p w14:paraId="09396B92" w14:textId="68AAA74C" w:rsidR="006757F4" w:rsidRPr="001213F7" w:rsidRDefault="006757F4" w:rsidP="006757F4">
      <w:pPr>
        <w:rPr>
          <w:iCs/>
        </w:rPr>
      </w:pPr>
      <w:r w:rsidRPr="001213F7" w:rsidDel="008A6AB7">
        <w:rPr>
          <w:iCs/>
        </w:rPr>
        <w:t>Th</w:t>
      </w:r>
      <w:r w:rsidRPr="001213F7" w:rsidDel="001F0B19">
        <w:rPr>
          <w:iCs/>
        </w:rPr>
        <w:t>is</w:t>
      </w:r>
      <w:r w:rsidRPr="001213F7">
        <w:rPr>
          <w:iCs/>
        </w:rPr>
        <w:t xml:space="preserve"> budget invests $392 million for services and interventions to protect children from harm. This includes $165 million for family support services to support children who are at risk of abuse or neglect. It also includes $126 million to modernise digital systems that support services for at-risk children, young people and families.</w:t>
      </w:r>
    </w:p>
    <w:p w14:paraId="7AE080C6" w14:textId="1914466F" w:rsidR="006757F4" w:rsidRPr="001213F7" w:rsidRDefault="006757F4" w:rsidP="006757F4">
      <w:pPr>
        <w:rPr>
          <w:iCs/>
        </w:rPr>
      </w:pPr>
      <w:r w:rsidRPr="001213F7">
        <w:rPr>
          <w:iCs/>
        </w:rPr>
        <w:t xml:space="preserve">A further $100 million is invested to prevent and respond to family </w:t>
      </w:r>
      <w:r w:rsidRPr="001213F7">
        <w:t xml:space="preserve">and sexual violence. </w:t>
      </w:r>
      <w:r w:rsidRPr="001213F7" w:rsidDel="0037154E">
        <w:rPr>
          <w:iCs/>
        </w:rPr>
        <w:t>This includes</w:t>
      </w:r>
      <w:r w:rsidRPr="001213F7">
        <w:rPr>
          <w:iCs/>
        </w:rPr>
        <w:t xml:space="preserve"> $74 million for family violences refuges, crisis accommodation, support packages and trauma-informed counselling recovery programs for children and young people. It also includes $23 million to continue the Central Information Point which provides information about perpetrators to family violence practitioners so they can keep women and children safe.</w:t>
      </w:r>
    </w:p>
    <w:p w14:paraId="11B929BD" w14:textId="5D1D6D78" w:rsidR="006757F4" w:rsidRPr="001213F7" w:rsidRDefault="006757F4" w:rsidP="004A4354">
      <w:pPr>
        <w:ind w:right="-37"/>
        <w:rPr>
          <w:iCs/>
        </w:rPr>
      </w:pPr>
      <w:r w:rsidRPr="001213F7">
        <w:rPr>
          <w:iCs/>
        </w:rPr>
        <w:t>The budget also invests $154 million to strengthen cyber security and data protection, helping keep sensitive information secure and helping government run more efficiently. This includes $41 million to refresh Victoria Police’s information technology infrastructure and cyber security</w:t>
      </w:r>
      <w:r w:rsidR="00274FA6" w:rsidRPr="001213F7">
        <w:rPr>
          <w:iCs/>
        </w:rPr>
        <w:t>,</w:t>
      </w:r>
      <w:r w:rsidRPr="001213F7">
        <w:rPr>
          <w:iCs/>
        </w:rPr>
        <w:t xml:space="preserve"> and $37 million to maintain cybersecurity measures for Victorian public health services and Ambulance Victoria. </w:t>
      </w:r>
    </w:p>
    <w:p w14:paraId="0782EA3E" w14:textId="77777777" w:rsidR="006757F4" w:rsidRPr="001213F7" w:rsidRDefault="006757F4" w:rsidP="006757F4">
      <w:pPr>
        <w:pStyle w:val="Heading2"/>
      </w:pPr>
      <w:r w:rsidRPr="001213F7">
        <w:t>Business and workers</w:t>
      </w:r>
    </w:p>
    <w:p w14:paraId="56080BAA" w14:textId="6CB9DA31" w:rsidR="006757F4" w:rsidRPr="001213F7" w:rsidRDefault="006757F4" w:rsidP="006757F4">
      <w:pPr>
        <w:ind w:right="-119"/>
        <w:rPr>
          <w:iCs/>
        </w:rPr>
      </w:pPr>
      <w:r w:rsidRPr="001213F7">
        <w:rPr>
          <w:iCs/>
        </w:rPr>
        <w:t>The budget includes $4</w:t>
      </w:r>
      <w:r w:rsidRPr="001213F7">
        <w:t>59</w:t>
      </w:r>
      <w:r w:rsidRPr="001213F7">
        <w:rPr>
          <w:iCs/>
        </w:rPr>
        <w:t xml:space="preserve"> million to help Victorians train </w:t>
      </w:r>
      <w:r w:rsidR="0060587B" w:rsidRPr="001213F7">
        <w:rPr>
          <w:iCs/>
        </w:rPr>
        <w:t>for</w:t>
      </w:r>
      <w:r w:rsidRPr="001213F7">
        <w:rPr>
          <w:iCs/>
        </w:rPr>
        <w:t xml:space="preserve"> in-demand skills</w:t>
      </w:r>
      <w:r w:rsidR="005169CC" w:rsidRPr="001213F7">
        <w:rPr>
          <w:iCs/>
        </w:rPr>
        <w:t>.</w:t>
      </w:r>
      <w:r w:rsidRPr="001213F7">
        <w:rPr>
          <w:iCs/>
        </w:rPr>
        <w:t xml:space="preserve"> </w:t>
      </w:r>
      <w:r w:rsidR="005169CC" w:rsidRPr="001213F7">
        <w:rPr>
          <w:iCs/>
        </w:rPr>
        <w:t xml:space="preserve">This </w:t>
      </w:r>
      <w:r w:rsidRPr="001213F7">
        <w:rPr>
          <w:iCs/>
        </w:rPr>
        <w:t>includ</w:t>
      </w:r>
      <w:r w:rsidR="005169CC" w:rsidRPr="001213F7">
        <w:rPr>
          <w:iCs/>
        </w:rPr>
        <w:t>es</w:t>
      </w:r>
      <w:r w:rsidRPr="001213F7">
        <w:rPr>
          <w:iCs/>
        </w:rPr>
        <w:t xml:space="preserve"> $244 million </w:t>
      </w:r>
      <w:r w:rsidRPr="001213F7">
        <w:t>to deliver government</w:t>
      </w:r>
      <w:r w:rsidR="000D764B" w:rsidRPr="001213F7">
        <w:t>-</w:t>
      </w:r>
      <w:r w:rsidRPr="001213F7">
        <w:t xml:space="preserve">subsidised training, </w:t>
      </w:r>
      <w:r w:rsidR="005169CC" w:rsidRPr="001213F7">
        <w:t>and</w:t>
      </w:r>
      <w:r w:rsidR="00572BD5" w:rsidRPr="001213F7">
        <w:t xml:space="preserve"> </w:t>
      </w:r>
      <w:r w:rsidRPr="001213F7">
        <w:t>Free TAFE in up to 80</w:t>
      </w:r>
      <w:r w:rsidR="004A4354" w:rsidRPr="001213F7">
        <w:t> </w:t>
      </w:r>
      <w:r w:rsidRPr="001213F7">
        <w:t>priority courses, supporting around 59 000 additional places of which around 15</w:t>
      </w:r>
      <w:r w:rsidR="008515E1" w:rsidRPr="001213F7">
        <w:t> </w:t>
      </w:r>
      <w:r w:rsidRPr="001213F7">
        <w:t>000 are</w:t>
      </w:r>
      <w:r w:rsidR="00C37DD2" w:rsidRPr="001213F7">
        <w:t> </w:t>
      </w:r>
      <w:r w:rsidRPr="001213F7">
        <w:t>Free TAFE places</w:t>
      </w:r>
      <w:r w:rsidRPr="001213F7">
        <w:rPr>
          <w:iCs/>
        </w:rPr>
        <w:t xml:space="preserve">. This also includes $87 million for the TAFE Services Fund to improve student wellbeing and completion, </w:t>
      </w:r>
      <w:r w:rsidR="00147548" w:rsidRPr="001213F7">
        <w:rPr>
          <w:iCs/>
        </w:rPr>
        <w:t xml:space="preserve">provide </w:t>
      </w:r>
      <w:r w:rsidRPr="001213F7">
        <w:rPr>
          <w:iCs/>
        </w:rPr>
        <w:t>training delivery in thin markets and support upgrades to</w:t>
      </w:r>
      <w:r w:rsidR="004A4354" w:rsidRPr="001213F7">
        <w:rPr>
          <w:iCs/>
        </w:rPr>
        <w:t> </w:t>
      </w:r>
      <w:r w:rsidRPr="001213F7">
        <w:rPr>
          <w:iCs/>
        </w:rPr>
        <w:t>TAFE facilities, equipment and shared ICT platform</w:t>
      </w:r>
      <w:r w:rsidR="00274FA6" w:rsidRPr="001213F7">
        <w:rPr>
          <w:iCs/>
        </w:rPr>
        <w:t>s</w:t>
      </w:r>
      <w:r w:rsidRPr="001213F7">
        <w:rPr>
          <w:iCs/>
        </w:rPr>
        <w:t xml:space="preserve"> and services. </w:t>
      </w:r>
    </w:p>
    <w:p w14:paraId="0DB468DB" w14:textId="30F474F3" w:rsidR="006757F4" w:rsidRPr="001213F7" w:rsidRDefault="006757F4" w:rsidP="00C37DD2">
      <w:r w:rsidRPr="001213F7">
        <w:t>In partnership with the Commonwealth, the budget invests $101 million to build a skilled Victorian workforce through the establishment of three new national TAFE centres of excellence, including:</w:t>
      </w:r>
    </w:p>
    <w:p w14:paraId="5D2742D8" w14:textId="2D375E87" w:rsidR="006757F4" w:rsidRPr="001213F7" w:rsidRDefault="006757F4" w:rsidP="00C37DD2">
      <w:pPr>
        <w:pStyle w:val="ListBullet"/>
      </w:pPr>
      <w:r w:rsidRPr="001213F7">
        <w:t>$50 million for a Victorian Renewable Energy TAFE Centre of Excellence at Gippsland TAFE</w:t>
      </w:r>
    </w:p>
    <w:p w14:paraId="463C3588" w14:textId="40322920" w:rsidR="006757F4" w:rsidRPr="001213F7" w:rsidRDefault="006757F4" w:rsidP="00C37DD2">
      <w:pPr>
        <w:pStyle w:val="ListBullet"/>
      </w:pPr>
      <w:r w:rsidRPr="001213F7">
        <w:t>$30 million for a Digital, AI and Technology TAFE Centre of Excellence</w:t>
      </w:r>
    </w:p>
    <w:p w14:paraId="0EDE6CD0" w14:textId="5F60806C" w:rsidR="006757F4" w:rsidRPr="001213F7" w:rsidRDefault="006757F4" w:rsidP="00C37DD2">
      <w:pPr>
        <w:pStyle w:val="ListBullet"/>
      </w:pPr>
      <w:r w:rsidRPr="001213F7">
        <w:t xml:space="preserve">$21 million for a Home and Community Care TAFE Centre of Excellence. </w:t>
      </w:r>
    </w:p>
    <w:p w14:paraId="48B1E2F9" w14:textId="62C49406" w:rsidR="00347583" w:rsidRPr="001213F7" w:rsidRDefault="00347583" w:rsidP="00347583">
      <w:r w:rsidRPr="001213F7">
        <w:t xml:space="preserve">An additional $10 million is provided for Victoria’s contribution to the Commonwealth co-funded National Training Centre in New Energy Skills to reskill plumbers and gas fitters for the changing energy system. </w:t>
      </w:r>
    </w:p>
    <w:p w14:paraId="06012934" w14:textId="67C8B1F5" w:rsidR="006757F4" w:rsidRPr="001213F7" w:rsidRDefault="006757F4" w:rsidP="006757F4">
      <w:r w:rsidRPr="001213F7">
        <w:t>The budget also invests $14 million into Victoria’s AI Investment Package, including $8.2 million to fund the Digital Jobs – AI Career Conversion Support</w:t>
      </w:r>
      <w:r w:rsidR="001F7BE0" w:rsidRPr="001213F7">
        <w:t xml:space="preserve"> program</w:t>
      </w:r>
      <w:r w:rsidRPr="001213F7">
        <w:t>.</w:t>
      </w:r>
    </w:p>
    <w:p w14:paraId="759667DC" w14:textId="195FECC2" w:rsidR="006757F4" w:rsidRPr="001213F7" w:rsidRDefault="006757F4" w:rsidP="00F21337">
      <w:pPr>
        <w:keepNext/>
        <w:rPr>
          <w:iCs/>
        </w:rPr>
      </w:pPr>
      <w:r w:rsidRPr="001213F7">
        <w:lastRenderedPageBreak/>
        <w:t xml:space="preserve">The </w:t>
      </w:r>
      <w:r w:rsidRPr="001213F7">
        <w:rPr>
          <w:iCs/>
        </w:rPr>
        <w:t>Government is investing $217 million  to strengthen Victoria’s position as a sporting</w:t>
      </w:r>
      <w:r w:rsidRPr="001213F7" w:rsidDel="00E12331">
        <w:rPr>
          <w:iCs/>
        </w:rPr>
        <w:t xml:space="preserve"> </w:t>
      </w:r>
      <w:r w:rsidRPr="001213F7">
        <w:rPr>
          <w:iCs/>
        </w:rPr>
        <w:t>and culture capital. Investments in Victoria’s sporting facilities and community sport programs include:</w:t>
      </w:r>
    </w:p>
    <w:p w14:paraId="261B5710" w14:textId="100A7F68" w:rsidR="006757F4" w:rsidRPr="001213F7" w:rsidRDefault="006757F4" w:rsidP="006757F4">
      <w:pPr>
        <w:pStyle w:val="ListBullet"/>
        <w:keepLines w:val="0"/>
        <w:ind w:left="346" w:hanging="346"/>
        <w:rPr>
          <w:iCs/>
        </w:rPr>
      </w:pPr>
      <w:r w:rsidRPr="001213F7">
        <w:rPr>
          <w:iCs/>
        </w:rPr>
        <w:t>$92 million to operate and maintain the State Sport Centres Trust and Kardinia Park Stadium Trust</w:t>
      </w:r>
    </w:p>
    <w:p w14:paraId="01E7C946" w14:textId="7DC683B5" w:rsidR="006757F4" w:rsidRPr="001213F7" w:rsidRDefault="006757F4" w:rsidP="006757F4">
      <w:pPr>
        <w:pStyle w:val="ListBullet"/>
        <w:keepLines w:val="0"/>
        <w:numPr>
          <w:ilvl w:val="0"/>
          <w:numId w:val="13"/>
        </w:numPr>
        <w:rPr>
          <w:iCs/>
        </w:rPr>
      </w:pPr>
      <w:r w:rsidRPr="001213F7">
        <w:t>$</w:t>
      </w:r>
      <w:r w:rsidRPr="001213F7">
        <w:rPr>
          <w:iCs/>
        </w:rPr>
        <w:t>25 million for community sport infrastructure and participation.</w:t>
      </w:r>
    </w:p>
    <w:p w14:paraId="34212858" w14:textId="77E1BE8B" w:rsidR="006757F4" w:rsidRPr="001213F7" w:rsidRDefault="006757F4" w:rsidP="00CA0B49">
      <w:pPr>
        <w:ind w:right="-127"/>
      </w:pPr>
      <w:r w:rsidRPr="001213F7">
        <w:rPr>
          <w:iCs/>
        </w:rPr>
        <w:t>A further $48 million will support businesses, create jobs</w:t>
      </w:r>
      <w:r w:rsidRPr="001213F7" w:rsidDel="00860BFF">
        <w:rPr>
          <w:iCs/>
        </w:rPr>
        <w:t xml:space="preserve"> </w:t>
      </w:r>
      <w:r w:rsidRPr="001213F7">
        <w:rPr>
          <w:iCs/>
        </w:rPr>
        <w:t>and invest in emerging industries, including $19 million to deliver new initiatives supporting business capability and transition and providing equal opportunity</w:t>
      </w:r>
      <w:r w:rsidR="00271C28" w:rsidRPr="001213F7">
        <w:rPr>
          <w:iCs/>
        </w:rPr>
        <w:t>,</w:t>
      </w:r>
      <w:r w:rsidRPr="001213F7">
        <w:rPr>
          <w:iCs/>
        </w:rPr>
        <w:t xml:space="preserve"> including for small businesses.</w:t>
      </w:r>
    </w:p>
    <w:p w14:paraId="77158E5C" w14:textId="77777777" w:rsidR="006757F4" w:rsidRPr="001213F7" w:rsidRDefault="006757F4" w:rsidP="006757F4">
      <w:pPr>
        <w:pStyle w:val="Heading2"/>
      </w:pPr>
      <w:r w:rsidRPr="001213F7">
        <w:t xml:space="preserve">Regional investment </w:t>
      </w:r>
    </w:p>
    <w:p w14:paraId="110360D4" w14:textId="2A57D83A" w:rsidR="006757F4" w:rsidRPr="001213F7" w:rsidRDefault="006757F4" w:rsidP="006757F4">
      <w:r w:rsidRPr="001213F7">
        <w:t xml:space="preserve">The </w:t>
      </w:r>
      <w:r w:rsidRPr="001213F7">
        <w:rPr>
          <w:i/>
        </w:rPr>
        <w:t>2026-27 Budget</w:t>
      </w:r>
      <w:r w:rsidRPr="001213F7">
        <w:rPr>
          <w:iCs/>
        </w:rPr>
        <w:t xml:space="preserve"> builds on continued investment in our regions with more than $2.7</w:t>
      </w:r>
      <w:r w:rsidR="008515E1" w:rsidRPr="001213F7">
        <w:rPr>
          <w:iCs/>
        </w:rPr>
        <w:t> </w:t>
      </w:r>
      <w:r w:rsidRPr="001213F7">
        <w:rPr>
          <w:iCs/>
        </w:rPr>
        <w:t>billion</w:t>
      </w:r>
      <w:r w:rsidRPr="001213F7">
        <w:t xml:space="preserve"> provided for regional Victoria</w:t>
      </w:r>
      <w:r w:rsidRPr="001213F7">
        <w:rPr>
          <w:iCs/>
        </w:rPr>
        <w:t>.</w:t>
      </w:r>
    </w:p>
    <w:p w14:paraId="49A64CCD" w14:textId="26379472" w:rsidR="006757F4" w:rsidRPr="001213F7" w:rsidRDefault="006757F4" w:rsidP="006757F4">
      <w:pPr>
        <w:rPr>
          <w:iCs/>
        </w:rPr>
      </w:pPr>
      <w:r w:rsidRPr="001213F7">
        <w:rPr>
          <w:iCs/>
        </w:rPr>
        <w:t>The budget includes investment of $481 million in regional transport networks, including $318 million for</w:t>
      </w:r>
      <w:r w:rsidRPr="001213F7" w:rsidDel="00D32E00">
        <w:rPr>
          <w:iCs/>
        </w:rPr>
        <w:t xml:space="preserve"> </w:t>
      </w:r>
      <w:r w:rsidRPr="001213F7">
        <w:rPr>
          <w:iCs/>
        </w:rPr>
        <w:t xml:space="preserve">upgrades that will reduce delays and improve reliability on the regional passenger rail network, $127 million to improve freight rail infrastructure, $30 million for additional train services on the Shepparton Line, $3.9 million for continued regional ferry services, and $2 million for safety improvements at regional stations.  </w:t>
      </w:r>
    </w:p>
    <w:p w14:paraId="0BDD3FA0" w14:textId="5D33D5FC" w:rsidR="006757F4" w:rsidRPr="001213F7" w:rsidRDefault="006757F4" w:rsidP="006757F4">
      <w:r w:rsidRPr="001213F7">
        <w:t>This budget provides a further $277 million in regional education and healthcare. This includes $95 million for upgrades to nine schools across regional Victoria. Funding is also</w:t>
      </w:r>
      <w:r w:rsidR="008515E1" w:rsidRPr="001213F7">
        <w:t> </w:t>
      </w:r>
      <w:r w:rsidRPr="001213F7">
        <w:t>provided for the Education Benalla program, led by the Tomorrow</w:t>
      </w:r>
      <w:r w:rsidR="003B66C4" w:rsidRPr="001213F7">
        <w:t xml:space="preserve"> </w:t>
      </w:r>
      <w:r w:rsidRPr="001213F7">
        <w:t>Today foundation, to</w:t>
      </w:r>
      <w:r w:rsidR="008515E1" w:rsidRPr="001213F7">
        <w:t> </w:t>
      </w:r>
      <w:r w:rsidRPr="001213F7">
        <w:t xml:space="preserve">engage and support children and families on their education journey. </w:t>
      </w:r>
    </w:p>
    <w:p w14:paraId="41DE86DC" w14:textId="53ADF108" w:rsidR="006757F4" w:rsidRPr="001213F7" w:rsidRDefault="006757F4" w:rsidP="008515E1">
      <w:pPr>
        <w:ind w:right="53"/>
      </w:pPr>
      <w:r w:rsidRPr="001213F7">
        <w:t>An investment of $75 million</w:t>
      </w:r>
      <w:r w:rsidRPr="001213F7">
        <w:rPr>
          <w:color w:val="FF0000"/>
        </w:rPr>
        <w:t xml:space="preserve"> </w:t>
      </w:r>
      <w:r w:rsidRPr="001213F7">
        <w:t>in the Regional Health Infrastructure Fund is provided to</w:t>
      </w:r>
      <w:r w:rsidR="003D633D" w:rsidRPr="001213F7">
        <w:t> </w:t>
      </w:r>
      <w:r w:rsidRPr="001213F7">
        <w:t xml:space="preserve">renew and upgrade infrastructure at rural and regional hospitals and health services. Additional funding for regional healthcare includes $10 million to continue Hospital in the Home beds operated by Barwon Health, and $4.2 million to continue supports for parents with children being treated for mental illness. Funding is also provided for investments in mental health, aged care and chronic disease prevention programs. </w:t>
      </w:r>
    </w:p>
    <w:p w14:paraId="10E8866F" w14:textId="0A61A1C1" w:rsidR="006757F4" w:rsidRPr="001213F7" w:rsidRDefault="006757F4" w:rsidP="00392F4A">
      <w:pPr>
        <w:ind w:right="143"/>
      </w:pPr>
      <w:r w:rsidRPr="001213F7">
        <w:t>The budget commits a further $95 million to support strong and thriving regional economies, by investing in community, culture and outdoors. This</w:t>
      </w:r>
      <w:r w:rsidRPr="001213F7" w:rsidDel="00565403">
        <w:t xml:space="preserve"> </w:t>
      </w:r>
      <w:r w:rsidRPr="001213F7">
        <w:t xml:space="preserve">includes </w:t>
      </w:r>
      <w:r w:rsidRPr="001213F7" w:rsidDel="00D811E8">
        <w:t>$</w:t>
      </w:r>
      <w:r w:rsidRPr="001213F7">
        <w:t>13</w:t>
      </w:r>
      <w:r w:rsidR="006B6BCB" w:rsidRPr="001213F7">
        <w:t> </w:t>
      </w:r>
      <w:r w:rsidRPr="001213F7">
        <w:t>million to operationalise and attract events and conferences to the Nyaal Banyul Geelong Convention and Event Centre, $10 million to continue the Future Forests program to assist in the management of over 1.8 million hectares of state forest, and $7.9 million for</w:t>
      </w:r>
      <w:r w:rsidR="003D633D" w:rsidRPr="001213F7">
        <w:t> </w:t>
      </w:r>
      <w:r w:rsidRPr="001213F7">
        <w:t>restorations and upgrades within the Great Ocean Road coast and parks.</w:t>
      </w:r>
    </w:p>
    <w:p w14:paraId="36BF6AA4" w14:textId="7FA58BA6" w:rsidR="00900469" w:rsidRPr="001213F7" w:rsidRDefault="006757F4" w:rsidP="00DB43E6">
      <w:r w:rsidRPr="001213F7">
        <w:t>An investment of $84 million is also provided to help Victoria’s farmers and agricultural industries, including $62 million for support in response to the January 2026 bushfires</w:t>
      </w:r>
      <w:r w:rsidR="00614D93" w:rsidRPr="001213F7">
        <w:t>,</w:t>
      </w:r>
      <w:r w:rsidRPr="001213F7">
        <w:t xml:space="preserve"> including through primary producer grants, concessional loans and emergency fodder support. $5.9 million is provided for health and wellbeing initiatives including the National</w:t>
      </w:r>
      <w:r w:rsidR="00203348" w:rsidRPr="001213F7">
        <w:t> </w:t>
      </w:r>
      <w:r w:rsidRPr="001213F7">
        <w:t>Centre for Farmer Health and Rural Financial Counselling Service, $5 million to</w:t>
      </w:r>
      <w:r w:rsidR="00203348" w:rsidRPr="001213F7">
        <w:t> </w:t>
      </w:r>
      <w:r w:rsidR="00E878D1" w:rsidRPr="001213F7">
        <w:t>improve on-farm energy efficiency</w:t>
      </w:r>
      <w:r w:rsidRPr="001213F7">
        <w:t xml:space="preserve"> and $2.2 million to extend the Fox Bounty program. $7.6</w:t>
      </w:r>
      <w:r w:rsidR="00D43F2A" w:rsidRPr="001213F7">
        <w:t> </w:t>
      </w:r>
      <w:r w:rsidRPr="001213F7">
        <w:t>million is also provided to continue protecting Victoria’s agriculture sector from biosecurity threats.</w:t>
      </w:r>
    </w:p>
    <w:p w14:paraId="686ADD82" w14:textId="77777777" w:rsidR="00900469" w:rsidRPr="001213F7" w:rsidRDefault="00900469" w:rsidP="00A92031"/>
    <w:p w14:paraId="66C0AC73" w14:textId="77777777" w:rsidR="00900469" w:rsidRPr="001213F7" w:rsidRDefault="00900469" w:rsidP="00A92031"/>
    <w:p w14:paraId="08A4AB05" w14:textId="77777777" w:rsidR="00900469" w:rsidRPr="001213F7" w:rsidRDefault="00900469" w:rsidP="00A834A0">
      <w:pPr>
        <w:pStyle w:val="ChapterHeading"/>
        <w:pageBreakBefore/>
        <w:sectPr w:rsidR="00900469" w:rsidRPr="001213F7" w:rsidSect="00C87FDE">
          <w:footerReference w:type="even" r:id="rId29"/>
          <w:footerReference w:type="default" r:id="rId30"/>
          <w:type w:val="oddPage"/>
          <w:pgSz w:w="9979" w:h="14175" w:code="34"/>
          <w:pgMar w:top="1138" w:right="1138" w:bottom="1138" w:left="1138" w:header="619" w:footer="562" w:gutter="0"/>
          <w:pgNumType w:start="1"/>
          <w:cols w:space="708"/>
          <w:docGrid w:linePitch="360"/>
        </w:sectPr>
      </w:pPr>
    </w:p>
    <w:p w14:paraId="3041A03B" w14:textId="77777777" w:rsidR="00900469" w:rsidRPr="001213F7" w:rsidRDefault="00900469" w:rsidP="00A834A0">
      <w:pPr>
        <w:pStyle w:val="ChapterHeading"/>
        <w:pageBreakBefore/>
      </w:pPr>
      <w:bookmarkStart w:id="10" w:name="_Toc228294209"/>
      <w:bookmarkStart w:id="11" w:name="_Toc228545291"/>
      <w:r w:rsidRPr="001213F7">
        <w:rPr>
          <w:rStyle w:val="Chapternumber"/>
        </w:rPr>
        <w:lastRenderedPageBreak/>
        <w:t>Chapter 2</w:t>
      </w:r>
      <w:r w:rsidRPr="001213F7">
        <w:t xml:space="preserve"> – Economic context</w:t>
      </w:r>
      <w:bookmarkEnd w:id="10"/>
      <w:bookmarkEnd w:id="11"/>
    </w:p>
    <w:p w14:paraId="60ACC0DD" w14:textId="77777777" w:rsidR="00900469" w:rsidRPr="001213F7" w:rsidRDefault="00900469">
      <w:pPr>
        <w:pStyle w:val="ShadedBoxBullet"/>
      </w:pPr>
      <w:bookmarkStart w:id="12" w:name="_Toc165467333"/>
      <w:r w:rsidRPr="001213F7">
        <w:t>Victoria’s economy has continued to grow, supporting jobs growth and placing Victoria in a resilient position to weather current global economic headwinds.</w:t>
      </w:r>
    </w:p>
    <w:p w14:paraId="5E6FB86C" w14:textId="77777777" w:rsidR="00900469" w:rsidRPr="001213F7" w:rsidRDefault="00900469">
      <w:pPr>
        <w:pStyle w:val="ShadedBoxBullet"/>
      </w:pPr>
      <w:r w:rsidRPr="001213F7">
        <w:t>Economic activity picked up during 2025 alongside strong growth in real household income and declining interest rates. Private sector demand, particularly consumer spending and dwelling investment, drove the increase. Business investment also grew strongly from mid-2025.</w:t>
      </w:r>
    </w:p>
    <w:p w14:paraId="7F02F4C7" w14:textId="77777777" w:rsidR="00900469" w:rsidRPr="001213F7" w:rsidRDefault="00900469">
      <w:pPr>
        <w:pStyle w:val="ShadedBoxBullet"/>
      </w:pPr>
      <w:r w:rsidRPr="001213F7">
        <w:t xml:space="preserve">However, national cost-of-living pressures are persisting as inflation picked up in the second half of 2025. In response, the Reserve Bank of Australia (RBA) lifted interest rates twice in early 2026 and is widely expected to raise rates further in calendar 2026. In addition, the Middle East conflict has triggered a sharp increase in global energy prices since end-February, posing significant challenges and risks for the global, Australian and Victorian economies. </w:t>
      </w:r>
    </w:p>
    <w:p w14:paraId="2F756590" w14:textId="77777777" w:rsidR="00900469" w:rsidRPr="001213F7" w:rsidRDefault="00900469">
      <w:pPr>
        <w:pStyle w:val="ShadedBoxBullet"/>
      </w:pPr>
      <w:r w:rsidRPr="001213F7">
        <w:t>Victoria’s economic outlook nonetheless remains positive, although growth over the coming year will be tempered by higher inflation, rising interest rates and the effects of the Middle East conflict. Real economic growth is forecast to be 1.50 per cent in 2026</w:t>
      </w:r>
      <w:r w:rsidRPr="001213F7">
        <w:noBreakHyphen/>
        <w:t>27, supported by household consumption and private investment.</w:t>
      </w:r>
    </w:p>
    <w:p w14:paraId="45C6151C" w14:textId="77777777" w:rsidR="00900469" w:rsidRPr="001213F7" w:rsidRDefault="00900469">
      <w:pPr>
        <w:pStyle w:val="ShadedBoxBullet"/>
      </w:pPr>
      <w:r w:rsidRPr="001213F7">
        <w:t>Employment has risen significantly over the past few years, with the share of Victorians in a job at historically high levels. Employment is expected to grow by a further 1.25 per cent in 2026</w:t>
      </w:r>
      <w:r w:rsidRPr="001213F7">
        <w:noBreakHyphen/>
        <w:t xml:space="preserve">27 and unemployment is forecast to average 4.75 per cent, remaining below its long-term pre-pandemic average. </w:t>
      </w:r>
    </w:p>
    <w:p w14:paraId="5B24BE2B" w14:textId="2B32B6BD" w:rsidR="00900469" w:rsidRPr="001213F7" w:rsidRDefault="00900469">
      <w:pPr>
        <w:pStyle w:val="ShadedBoxBullet"/>
      </w:pPr>
      <w:r w:rsidRPr="001213F7">
        <w:t xml:space="preserve">Inflation is forecast to peak </w:t>
      </w:r>
      <w:r w:rsidR="0098046A" w:rsidRPr="001213F7">
        <w:t xml:space="preserve">in the June quarter </w:t>
      </w:r>
      <w:r w:rsidRPr="001213F7">
        <w:t xml:space="preserve">at </w:t>
      </w:r>
      <w:r w:rsidR="0005413C" w:rsidRPr="001213F7">
        <w:t>around</w:t>
      </w:r>
      <w:r w:rsidRPr="001213F7">
        <w:t xml:space="preserve"> 4.5 per cent due to rising global energy prices, coupled with rising domestic price pressures, and average 3.50 per cent in 2025</w:t>
      </w:r>
      <w:r w:rsidRPr="001213F7">
        <w:noBreakHyphen/>
        <w:t>26 and 2026-27. Global energy prices are assumed to return to</w:t>
      </w:r>
      <w:r w:rsidR="00D8657C" w:rsidRPr="001213F7">
        <w:t> </w:t>
      </w:r>
      <w:r w:rsidRPr="001213F7">
        <w:t>near pre-conflict levels by the end of 2026, with inflation returning to within the RBA’s 2 to 3 per cent target in 2027</w:t>
      </w:r>
      <w:r w:rsidRPr="001213F7">
        <w:noBreakHyphen/>
        <w:t xml:space="preserve">28. </w:t>
      </w:r>
    </w:p>
    <w:p w14:paraId="2BA06026" w14:textId="77777777" w:rsidR="00900469" w:rsidRPr="001213F7" w:rsidRDefault="00900469">
      <w:pPr>
        <w:pStyle w:val="ShadedBoxBullet"/>
      </w:pPr>
      <w:r w:rsidRPr="001213F7">
        <w:t xml:space="preserve">Risks to all economies worldwide have increased and are rapidly evolving. A prolonged or escalating Middle East conflict could weigh significantly further on economic growth. The trajectory of domestic inflationary pressures and interest rates also remain a key source of uncertainty to the outlook. </w:t>
      </w:r>
    </w:p>
    <w:p w14:paraId="42955431" w14:textId="77777777" w:rsidR="00900469" w:rsidRPr="001213F7" w:rsidRDefault="00900469" w:rsidP="00F85420">
      <w:pPr>
        <w:pStyle w:val="Heading1"/>
      </w:pPr>
      <w:bookmarkStart w:id="13" w:name="_Toc228294210"/>
      <w:bookmarkStart w:id="14" w:name="_Toc228545292"/>
      <w:r w:rsidRPr="001213F7">
        <w:lastRenderedPageBreak/>
        <w:t>Victorian</w:t>
      </w:r>
      <w:r w:rsidRPr="001213F7">
        <w:rPr>
          <w:caps w:val="0"/>
        </w:rPr>
        <w:t xml:space="preserve"> </w:t>
      </w:r>
      <w:r w:rsidRPr="001213F7">
        <w:t>economic conditions and outlook</w:t>
      </w:r>
      <w:bookmarkEnd w:id="12"/>
      <w:bookmarkEnd w:id="13"/>
      <w:bookmarkEnd w:id="14"/>
    </w:p>
    <w:p w14:paraId="75CBB317" w14:textId="617BFFB8" w:rsidR="00900469" w:rsidRPr="001213F7" w:rsidRDefault="00900469">
      <w:r w:rsidRPr="001213F7">
        <w:t>Victoria’s economy continues to grow and the labour market is resilient. Economic activity picked up during 2025, with growth in real household income and declining interest rates supporting an increase in private sector demand. Employment has continued to grow and the unemployment rate remains historically low. Growth in real gross state product (GSP)</w:t>
      </w:r>
      <w:r w:rsidRPr="001213F7" w:rsidDel="004F7804">
        <w:t xml:space="preserve"> </w:t>
      </w:r>
      <w:r w:rsidRPr="001213F7">
        <w:t>in 2025</w:t>
      </w:r>
      <w:r w:rsidRPr="001213F7">
        <w:noBreakHyphen/>
        <w:t>26 is expected to be higher than in the previous two years, rising to</w:t>
      </w:r>
      <w:r w:rsidR="008F4999" w:rsidRPr="001213F7">
        <w:t> </w:t>
      </w:r>
      <w:r w:rsidRPr="001213F7">
        <w:t>1.75 per cent, and the economy is estimated to be almost 15 per cent larger in 2025</w:t>
      </w:r>
      <w:r w:rsidRPr="001213F7">
        <w:noBreakHyphen/>
        <w:t>26 than it was in 2018</w:t>
      </w:r>
      <w:r w:rsidRPr="001213F7">
        <w:noBreakHyphen/>
        <w:t xml:space="preserve">19, before the COVID-19 pandemic. </w:t>
      </w:r>
    </w:p>
    <w:p w14:paraId="22A26AA6" w14:textId="77777777" w:rsidR="00900469" w:rsidRPr="001213F7" w:rsidRDefault="00900469">
      <w:r w:rsidRPr="001213F7">
        <w:t>However, new economic challenges have emerged in recent months. Domestically, national consumer price pressures re-emerged since mid-2025, which has resulted in the RBA raising interest rates. In addition, the conflict in the Middle East, which began with the US–Israeli strikes on Iran on 28 February, has led to a surge in global oil and gas prices and energy supply disruptions for some countries, particularly in Asia. The duration of the conflict, and its longer-term impacts on oil and gas infrastructure in this key energy</w:t>
      </w:r>
      <w:r w:rsidRPr="001213F7">
        <w:noBreakHyphen/>
        <w:t xml:space="preserve">producing region, are highly uncertain (see Box 2.1). Nonetheless, Victoria enters this current period of uncertainty on a solid footing, with a growing economy supported by private sector demand and a healthy labour market. </w:t>
      </w:r>
    </w:p>
    <w:p w14:paraId="4BE22E5B" w14:textId="77777777" w:rsidR="00900469" w:rsidRPr="001213F7" w:rsidRDefault="00900469">
      <w:r w:rsidRPr="001213F7">
        <w:t>Overall, Victoria’s economy, as measured by real GSP, is forecast to grow by 1.50 per cent in 2026</w:t>
      </w:r>
      <w:r w:rsidRPr="001213F7">
        <w:noBreakHyphen/>
        <w:t>27, following the estimated growth of 1.75 per cent in 2025</w:t>
      </w:r>
      <w:r w:rsidRPr="001213F7">
        <w:noBreakHyphen/>
        <w:t>26. The main driver of GSP growth in 2026</w:t>
      </w:r>
      <w:r w:rsidRPr="001213F7">
        <w:noBreakHyphen/>
        <w:t>27 is expected to be household consumption, supported by further modest growth in real household income and elevated household savings. Growth in business investment is forecast to remain strong, underpinned by higher investment intentions reported by surveyed firms, and investment in data centres and the renewable energy transition. Public demand and dwelling investment are both expected to grow, while net international trade is forecast to weigh on GSP growth, alongside the economic impact of drought and the early 2026 bushfires.</w:t>
      </w:r>
    </w:p>
    <w:p w14:paraId="3F1940E9" w14:textId="77777777" w:rsidR="00900469" w:rsidRPr="001213F7" w:rsidRDefault="00900469">
      <w:r w:rsidRPr="001213F7">
        <w:t>Employment is forecast to increase by 1.25 per cent in 2026-27, following a period of very</w:t>
      </w:r>
      <w:r w:rsidRPr="001213F7" w:rsidDel="003C085A">
        <w:t xml:space="preserve"> </w:t>
      </w:r>
      <w:r w:rsidRPr="001213F7">
        <w:t>strong employment growth over the past few years. The unemployment rate is forecast to average 4.75 per cent from 2025</w:t>
      </w:r>
      <w:r w:rsidRPr="001213F7">
        <w:noBreakHyphen/>
        <w:t>26 onwards, which remains lower than the 20-year average prior to the COVID</w:t>
      </w:r>
      <w:r w:rsidRPr="001213F7">
        <w:noBreakHyphen/>
        <w:t>19 pandemic of 5.5 per cent.</w:t>
      </w:r>
    </w:p>
    <w:p w14:paraId="46DBFB0B" w14:textId="457BAF49" w:rsidR="00900469" w:rsidRPr="001213F7" w:rsidRDefault="00900469" w:rsidP="00C4399E">
      <w:pPr>
        <w:keepNext/>
      </w:pPr>
      <w:r w:rsidRPr="001213F7">
        <w:lastRenderedPageBreak/>
        <w:t xml:space="preserve">Inflation has picked up again, nationally and in Victoria, adding to cost-of-living pressures for Victorian households. Annual Victorian inflation increased to </w:t>
      </w:r>
      <w:r w:rsidR="0005413C" w:rsidRPr="001213F7">
        <w:t>4.6</w:t>
      </w:r>
      <w:r w:rsidRPr="001213F7">
        <w:t xml:space="preserve"> per cent in </w:t>
      </w:r>
      <w:r w:rsidR="00AC73DE" w:rsidRPr="001213F7">
        <w:t>March </w:t>
      </w:r>
      <w:r w:rsidRPr="001213F7">
        <w:t xml:space="preserve">2026, after previously falling </w:t>
      </w:r>
      <w:r w:rsidR="008E556E" w:rsidRPr="001213F7">
        <w:t xml:space="preserve">in </w:t>
      </w:r>
      <w:r w:rsidRPr="001213F7">
        <w:t>June 2025 to a low of 1.7 per cent</w:t>
      </w:r>
      <w:r w:rsidR="00897EB0" w:rsidRPr="001213F7">
        <w:t xml:space="preserve">, </w:t>
      </w:r>
      <w:r w:rsidR="00AC73DE" w:rsidRPr="001213F7">
        <w:t xml:space="preserve">and is </w:t>
      </w:r>
      <w:r w:rsidR="00897EB0" w:rsidRPr="001213F7">
        <w:t>in line with</w:t>
      </w:r>
      <w:r w:rsidRPr="001213F7">
        <w:t xml:space="preserve"> </w:t>
      </w:r>
      <w:r w:rsidR="00897EB0" w:rsidRPr="001213F7">
        <w:t>n</w:t>
      </w:r>
      <w:r w:rsidRPr="001213F7">
        <w:t xml:space="preserve">ational inflation. Recent price growth has been largely driven by rising goods prices, including increased housing and utilities costs. More recently, the conflict in the Middle East has resulted in a sharp increase in global energy prices and is adding further to cost-of-living pressures. Given uncertainty about the extent and length of the conflict, the economic impacts remain highly uncertain. </w:t>
      </w:r>
    </w:p>
    <w:p w14:paraId="003AAB05" w14:textId="77777777" w:rsidR="00900469" w:rsidRPr="001213F7" w:rsidRDefault="00900469" w:rsidP="00C4399E">
      <w:pPr>
        <w:keepNext/>
        <w:ind w:right="-29"/>
      </w:pPr>
      <w:r w:rsidRPr="001213F7">
        <w:t>The current global environment means the outlook for the Victorian and Australian economies is subject to heightened risks and uncertainty. Nevertheless, Victoria’s economy is resilient and has demonstrated its ability to navigate challenging periods in recent years. This includes the recent period of high national inflation in 2022 and 2023 and the resulting sharp increase in interest rates. During this period, Victoria’s labour market proved resilient, with job creation remaining strong and the unemployment rate low.</w:t>
      </w:r>
    </w:p>
    <w:p w14:paraId="65BF8002" w14:textId="77777777" w:rsidR="00900469" w:rsidRPr="001213F7" w:rsidRDefault="00900469">
      <w:r w:rsidRPr="001213F7">
        <w:t xml:space="preserve">Table 2.1 sets out the economic forecasts for the </w:t>
      </w:r>
      <w:r w:rsidRPr="001213F7">
        <w:rPr>
          <w:i/>
          <w:iCs/>
        </w:rPr>
        <w:t>2026</w:t>
      </w:r>
      <w:r w:rsidRPr="001213F7">
        <w:rPr>
          <w:i/>
          <w:iCs/>
        </w:rPr>
        <w:noBreakHyphen/>
        <w:t>27 Budget</w:t>
      </w:r>
      <w:r w:rsidRPr="001213F7">
        <w:t>. Risks to the outlook are discussed later in this chapter.</w:t>
      </w:r>
    </w:p>
    <w:p w14:paraId="7E9EB879" w14:textId="77777777" w:rsidR="00900469" w:rsidRPr="001213F7" w:rsidRDefault="00900469" w:rsidP="00A834A0">
      <w:pPr>
        <w:pStyle w:val="TableHeading"/>
      </w:pPr>
      <w:r w:rsidRPr="001213F7">
        <w:t>Table 2.1:</w:t>
      </w:r>
      <w:r w:rsidRPr="001213F7">
        <w:tab/>
        <w:t>Victorian economic forecasts</w:t>
      </w:r>
      <w:r w:rsidRPr="001213F7">
        <w:rPr>
          <w:vertAlign w:val="superscript"/>
        </w:rPr>
        <w:t xml:space="preserve"> (a)</w:t>
      </w:r>
      <w:r w:rsidRPr="001213F7">
        <w:t xml:space="preserve"> </w:t>
      </w:r>
    </w:p>
    <w:tbl>
      <w:tblPr>
        <w:tblStyle w:val="DTFTableNumeric"/>
        <w:tblW w:w="7658" w:type="dxa"/>
        <w:tblLayout w:type="fixed"/>
        <w:tblLook w:val="04A0" w:firstRow="1" w:lastRow="0" w:firstColumn="1" w:lastColumn="0" w:noHBand="0" w:noVBand="1"/>
      </w:tblPr>
      <w:tblGrid>
        <w:gridCol w:w="2625"/>
        <w:gridCol w:w="838"/>
        <w:gridCol w:w="839"/>
        <w:gridCol w:w="839"/>
        <w:gridCol w:w="839"/>
        <w:gridCol w:w="839"/>
        <w:gridCol w:w="839"/>
      </w:tblGrid>
      <w:tr w:rsidR="00900469" w:rsidRPr="001213F7" w14:paraId="1BE39CD1"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5" w:type="dxa"/>
            <w:hideMark/>
          </w:tcPr>
          <w:p w14:paraId="2A17E9D4" w14:textId="77777777" w:rsidR="00900469" w:rsidRPr="001213F7" w:rsidRDefault="00900469">
            <w:pPr>
              <w:rPr>
                <w:lang w:eastAsia="en-AU"/>
              </w:rPr>
            </w:pPr>
            <w:r w:rsidRPr="001213F7">
              <w:rPr>
                <w:lang w:val="en-US" w:eastAsia="en-AU"/>
              </w:rPr>
              <w:t xml:space="preserve"> </w:t>
            </w:r>
          </w:p>
        </w:tc>
        <w:tc>
          <w:tcPr>
            <w:tcW w:w="838" w:type="dxa"/>
            <w:hideMark/>
          </w:tcPr>
          <w:p w14:paraId="727224D5" w14:textId="77777777" w:rsidR="00900469" w:rsidRPr="001213F7" w:rsidRDefault="00900469">
            <w:pPr>
              <w:cnfStyle w:val="100000000000" w:firstRow="1" w:lastRow="0" w:firstColumn="0" w:lastColumn="0" w:oddVBand="0" w:evenVBand="0" w:oddHBand="0" w:evenHBand="0" w:firstRowFirstColumn="0" w:firstRowLastColumn="0" w:lastRowFirstColumn="0" w:lastRowLastColumn="0"/>
              <w:rPr>
                <w:color w:val="FFFFFF"/>
                <w:lang w:eastAsia="en-AU"/>
              </w:rPr>
            </w:pPr>
            <w:r w:rsidRPr="001213F7">
              <w:rPr>
                <w:color w:val="FFFFFF"/>
                <w:lang w:eastAsia="en-AU"/>
              </w:rPr>
              <w:t>2024</w:t>
            </w:r>
            <w:r w:rsidRPr="001213F7">
              <w:rPr>
                <w:color w:val="FFFFFF"/>
                <w:lang w:eastAsia="en-AU"/>
              </w:rPr>
              <w:noBreakHyphen/>
              <w:t>25</w:t>
            </w:r>
          </w:p>
          <w:p w14:paraId="1FFBEFC6" w14:textId="77777777" w:rsidR="00900469" w:rsidRPr="001213F7" w:rsidRDefault="00900469">
            <w:pPr>
              <w:cnfStyle w:val="100000000000" w:firstRow="1" w:lastRow="0" w:firstColumn="0" w:lastColumn="0" w:oddVBand="0" w:evenVBand="0" w:oddHBand="0" w:evenHBand="0" w:firstRowFirstColumn="0" w:firstRowLastColumn="0" w:lastRowFirstColumn="0" w:lastRowLastColumn="0"/>
              <w:rPr>
                <w:color w:val="FFFFFF"/>
                <w:lang w:eastAsia="en-AU"/>
              </w:rPr>
            </w:pPr>
            <w:r w:rsidRPr="001213F7">
              <w:rPr>
                <w:color w:val="FFFFFF"/>
                <w:lang w:eastAsia="en-AU"/>
              </w:rPr>
              <w:t>actual</w:t>
            </w:r>
          </w:p>
        </w:tc>
        <w:tc>
          <w:tcPr>
            <w:tcW w:w="839" w:type="dxa"/>
            <w:hideMark/>
          </w:tcPr>
          <w:p w14:paraId="1F2A4417" w14:textId="77777777" w:rsidR="00900469" w:rsidRPr="001213F7" w:rsidRDefault="00900469">
            <w:pPr>
              <w:cnfStyle w:val="100000000000" w:firstRow="1" w:lastRow="0" w:firstColumn="0" w:lastColumn="0" w:oddVBand="0" w:evenVBand="0" w:oddHBand="0" w:evenHBand="0" w:firstRowFirstColumn="0" w:firstRowLastColumn="0" w:lastRowFirstColumn="0" w:lastRowLastColumn="0"/>
              <w:rPr>
                <w:color w:val="FFFFFF"/>
                <w:lang w:eastAsia="en-AU"/>
              </w:rPr>
            </w:pPr>
            <w:r w:rsidRPr="001213F7">
              <w:rPr>
                <w:color w:val="FFFFFF"/>
                <w:lang w:eastAsia="en-AU"/>
              </w:rPr>
              <w:t>2025</w:t>
            </w:r>
            <w:r w:rsidRPr="001213F7">
              <w:rPr>
                <w:color w:val="FFFFFF"/>
                <w:lang w:eastAsia="en-AU"/>
              </w:rPr>
              <w:noBreakHyphen/>
              <w:t>26</w:t>
            </w:r>
          </w:p>
          <w:p w14:paraId="3382F2EF" w14:textId="77777777" w:rsidR="00900469" w:rsidRPr="001213F7" w:rsidRDefault="00900469">
            <w:pPr>
              <w:cnfStyle w:val="100000000000" w:firstRow="1" w:lastRow="0" w:firstColumn="0" w:lastColumn="0" w:oddVBand="0" w:evenVBand="0" w:oddHBand="0" w:evenHBand="0" w:firstRowFirstColumn="0" w:firstRowLastColumn="0" w:lastRowFirstColumn="0" w:lastRowLastColumn="0"/>
              <w:rPr>
                <w:color w:val="FFFFFF"/>
                <w:lang w:eastAsia="en-AU"/>
              </w:rPr>
            </w:pPr>
            <w:r w:rsidRPr="001213F7">
              <w:rPr>
                <w:color w:val="FFFFFF"/>
                <w:lang w:eastAsia="en-AU"/>
              </w:rPr>
              <w:t>forecast</w:t>
            </w:r>
          </w:p>
        </w:tc>
        <w:tc>
          <w:tcPr>
            <w:tcW w:w="839" w:type="dxa"/>
            <w:hideMark/>
          </w:tcPr>
          <w:p w14:paraId="41AE86BA" w14:textId="77777777" w:rsidR="00900469" w:rsidRPr="001213F7" w:rsidRDefault="00900469">
            <w:pPr>
              <w:cnfStyle w:val="100000000000" w:firstRow="1" w:lastRow="0" w:firstColumn="0" w:lastColumn="0" w:oddVBand="0" w:evenVBand="0" w:oddHBand="0" w:evenHBand="0" w:firstRowFirstColumn="0" w:firstRowLastColumn="0" w:lastRowFirstColumn="0" w:lastRowLastColumn="0"/>
              <w:rPr>
                <w:color w:val="FFFFFF" w:themeColor="background1"/>
                <w:lang w:eastAsia="en-AU"/>
              </w:rPr>
            </w:pPr>
            <w:r w:rsidRPr="001213F7">
              <w:rPr>
                <w:color w:val="FFFFFF" w:themeColor="background1"/>
                <w:lang w:eastAsia="en-AU"/>
              </w:rPr>
              <w:t>2026</w:t>
            </w:r>
            <w:r w:rsidRPr="001213F7">
              <w:rPr>
                <w:color w:val="FFFFFF" w:themeColor="background1"/>
                <w:lang w:eastAsia="en-AU"/>
              </w:rPr>
              <w:noBreakHyphen/>
              <w:t>27</w:t>
            </w:r>
          </w:p>
          <w:p w14:paraId="5F73677C" w14:textId="77777777" w:rsidR="00900469" w:rsidRPr="001213F7" w:rsidRDefault="00900469">
            <w:pPr>
              <w:cnfStyle w:val="100000000000" w:firstRow="1" w:lastRow="0" w:firstColumn="0" w:lastColumn="0" w:oddVBand="0" w:evenVBand="0" w:oddHBand="0" w:evenHBand="0" w:firstRowFirstColumn="0" w:firstRowLastColumn="0" w:lastRowFirstColumn="0" w:lastRowLastColumn="0"/>
              <w:rPr>
                <w:color w:val="FFFFFF"/>
                <w:lang w:eastAsia="en-AU"/>
              </w:rPr>
            </w:pPr>
            <w:r w:rsidRPr="001213F7">
              <w:rPr>
                <w:color w:val="FFFFFF"/>
                <w:lang w:eastAsia="en-AU"/>
              </w:rPr>
              <w:t>forecast</w:t>
            </w:r>
          </w:p>
        </w:tc>
        <w:tc>
          <w:tcPr>
            <w:tcW w:w="839" w:type="dxa"/>
            <w:hideMark/>
          </w:tcPr>
          <w:p w14:paraId="6955D8AF" w14:textId="77777777" w:rsidR="00900469" w:rsidRPr="001213F7" w:rsidRDefault="00900469">
            <w:pPr>
              <w:cnfStyle w:val="100000000000" w:firstRow="1" w:lastRow="0" w:firstColumn="0" w:lastColumn="0" w:oddVBand="0" w:evenVBand="0" w:oddHBand="0" w:evenHBand="0" w:firstRowFirstColumn="0" w:firstRowLastColumn="0" w:lastRowFirstColumn="0" w:lastRowLastColumn="0"/>
              <w:rPr>
                <w:color w:val="FFFFFF" w:themeColor="background1"/>
                <w:lang w:eastAsia="en-AU"/>
              </w:rPr>
            </w:pPr>
            <w:r w:rsidRPr="001213F7">
              <w:rPr>
                <w:color w:val="FFFFFF" w:themeColor="background1"/>
                <w:lang w:eastAsia="en-AU"/>
              </w:rPr>
              <w:t>2027</w:t>
            </w:r>
            <w:r w:rsidRPr="001213F7">
              <w:rPr>
                <w:color w:val="FFFFFF" w:themeColor="background1"/>
                <w:lang w:eastAsia="en-AU"/>
              </w:rPr>
              <w:noBreakHyphen/>
              <w:t>28</w:t>
            </w:r>
          </w:p>
          <w:p w14:paraId="1D66AD35" w14:textId="77777777" w:rsidR="00900469" w:rsidRPr="001213F7" w:rsidRDefault="00900469">
            <w:pPr>
              <w:cnfStyle w:val="100000000000" w:firstRow="1" w:lastRow="0" w:firstColumn="0" w:lastColumn="0" w:oddVBand="0" w:evenVBand="0" w:oddHBand="0" w:evenHBand="0" w:firstRowFirstColumn="0" w:firstRowLastColumn="0" w:lastRowFirstColumn="0" w:lastRowLastColumn="0"/>
              <w:rPr>
                <w:color w:val="FFFFFF" w:themeColor="background1"/>
                <w:lang w:eastAsia="en-AU"/>
              </w:rPr>
            </w:pPr>
            <w:r w:rsidRPr="001213F7">
              <w:rPr>
                <w:color w:val="FFFFFF" w:themeColor="background1"/>
                <w:lang w:eastAsia="en-AU"/>
              </w:rPr>
              <w:t>forecast</w:t>
            </w:r>
          </w:p>
        </w:tc>
        <w:tc>
          <w:tcPr>
            <w:tcW w:w="839" w:type="dxa"/>
            <w:hideMark/>
          </w:tcPr>
          <w:p w14:paraId="070F98DC" w14:textId="77777777" w:rsidR="00900469" w:rsidRPr="001213F7" w:rsidRDefault="00900469">
            <w:pPr>
              <w:cnfStyle w:val="100000000000" w:firstRow="1" w:lastRow="0" w:firstColumn="0" w:lastColumn="0" w:oddVBand="0" w:evenVBand="0" w:oddHBand="0" w:evenHBand="0" w:firstRowFirstColumn="0" w:firstRowLastColumn="0" w:lastRowFirstColumn="0" w:lastRowLastColumn="0"/>
              <w:rPr>
                <w:color w:val="FFFFFF" w:themeColor="background1"/>
                <w:lang w:eastAsia="en-AU"/>
              </w:rPr>
            </w:pPr>
            <w:r w:rsidRPr="001213F7">
              <w:rPr>
                <w:color w:val="FFFFFF" w:themeColor="background1"/>
                <w:lang w:eastAsia="en-AU"/>
              </w:rPr>
              <w:t>2028</w:t>
            </w:r>
            <w:r w:rsidRPr="001213F7">
              <w:rPr>
                <w:color w:val="FFFFFF" w:themeColor="background1"/>
                <w:lang w:eastAsia="en-AU"/>
              </w:rPr>
              <w:noBreakHyphen/>
              <w:t>29</w:t>
            </w:r>
          </w:p>
          <w:p w14:paraId="7C67D1C9" w14:textId="77777777" w:rsidR="00900469" w:rsidRPr="001213F7" w:rsidRDefault="00900469">
            <w:pPr>
              <w:cnfStyle w:val="100000000000" w:firstRow="1" w:lastRow="0" w:firstColumn="0" w:lastColumn="0" w:oddVBand="0" w:evenVBand="0" w:oddHBand="0" w:evenHBand="0" w:firstRowFirstColumn="0" w:firstRowLastColumn="0" w:lastRowFirstColumn="0" w:lastRowLastColumn="0"/>
              <w:rPr>
                <w:color w:val="FFFFFF" w:themeColor="background1"/>
                <w:lang w:eastAsia="en-AU"/>
              </w:rPr>
            </w:pPr>
            <w:r w:rsidRPr="001213F7">
              <w:rPr>
                <w:color w:val="FFFFFF" w:themeColor="background1"/>
                <w:lang w:eastAsia="en-AU"/>
              </w:rPr>
              <w:t>projection</w:t>
            </w:r>
          </w:p>
        </w:tc>
        <w:tc>
          <w:tcPr>
            <w:tcW w:w="839" w:type="dxa"/>
          </w:tcPr>
          <w:p w14:paraId="35E8101E" w14:textId="77777777" w:rsidR="00900469" w:rsidRPr="001213F7" w:rsidRDefault="00900469">
            <w:pPr>
              <w:cnfStyle w:val="100000000000" w:firstRow="1" w:lastRow="0" w:firstColumn="0" w:lastColumn="0" w:oddVBand="0" w:evenVBand="0" w:oddHBand="0" w:evenHBand="0" w:firstRowFirstColumn="0" w:firstRowLastColumn="0" w:lastRowFirstColumn="0" w:lastRowLastColumn="0"/>
              <w:rPr>
                <w:color w:val="FFFFFF" w:themeColor="background1"/>
                <w:lang w:eastAsia="en-AU"/>
              </w:rPr>
            </w:pPr>
            <w:r w:rsidRPr="001213F7">
              <w:rPr>
                <w:color w:val="FFFFFF" w:themeColor="background1"/>
                <w:lang w:eastAsia="en-AU"/>
              </w:rPr>
              <w:t>2029</w:t>
            </w:r>
            <w:r w:rsidRPr="001213F7">
              <w:rPr>
                <w:color w:val="FFFFFF" w:themeColor="background1"/>
                <w:lang w:eastAsia="en-AU"/>
              </w:rPr>
              <w:noBreakHyphen/>
              <w:t>30</w:t>
            </w:r>
          </w:p>
          <w:p w14:paraId="22BF31BB" w14:textId="77777777" w:rsidR="00900469" w:rsidRPr="001213F7" w:rsidRDefault="00900469">
            <w:pPr>
              <w:cnfStyle w:val="100000000000" w:firstRow="1" w:lastRow="0" w:firstColumn="0" w:lastColumn="0" w:oddVBand="0" w:evenVBand="0" w:oddHBand="0" w:evenHBand="0" w:firstRowFirstColumn="0" w:firstRowLastColumn="0" w:lastRowFirstColumn="0" w:lastRowLastColumn="0"/>
              <w:rPr>
                <w:color w:val="FFFFFF" w:themeColor="background1"/>
                <w:lang w:eastAsia="en-AU"/>
              </w:rPr>
            </w:pPr>
            <w:r w:rsidRPr="001213F7">
              <w:rPr>
                <w:color w:val="FFFFFF" w:themeColor="background1"/>
                <w:lang w:eastAsia="en-AU"/>
              </w:rPr>
              <w:t>projection</w:t>
            </w:r>
          </w:p>
        </w:tc>
      </w:tr>
      <w:tr w:rsidR="00900469" w:rsidRPr="001213F7" w14:paraId="578C4A02" w14:textId="77777777">
        <w:tc>
          <w:tcPr>
            <w:cnfStyle w:val="001000000000" w:firstRow="0" w:lastRow="0" w:firstColumn="1" w:lastColumn="0" w:oddVBand="0" w:evenVBand="0" w:oddHBand="0" w:evenHBand="0" w:firstRowFirstColumn="0" w:firstRowLastColumn="0" w:lastRowFirstColumn="0" w:lastRowLastColumn="0"/>
            <w:tcW w:w="2625" w:type="dxa"/>
            <w:hideMark/>
          </w:tcPr>
          <w:p w14:paraId="0603B527" w14:textId="77777777" w:rsidR="00900469" w:rsidRPr="001213F7" w:rsidRDefault="00900469">
            <w:pPr>
              <w:rPr>
                <w:lang w:eastAsia="en-AU"/>
              </w:rPr>
            </w:pPr>
            <w:r w:rsidRPr="001213F7">
              <w:rPr>
                <w:lang w:eastAsia="en-AU"/>
              </w:rPr>
              <w:t>Real gross state product</w:t>
            </w:r>
          </w:p>
        </w:tc>
        <w:tc>
          <w:tcPr>
            <w:tcW w:w="838" w:type="dxa"/>
            <w:vAlign w:val="bottom"/>
            <w:hideMark/>
          </w:tcPr>
          <w:p w14:paraId="5749479F" w14:textId="77777777" w:rsidR="00900469" w:rsidRPr="001213F7" w:rsidRDefault="00900469">
            <w:pPr>
              <w:cnfStyle w:val="000000000000" w:firstRow="0" w:lastRow="0" w:firstColumn="0" w:lastColumn="0" w:oddVBand="0" w:evenVBand="0" w:oddHBand="0" w:evenHBand="0" w:firstRowFirstColumn="0" w:firstRowLastColumn="0" w:lastRowFirstColumn="0" w:lastRowLastColumn="0"/>
              <w:rPr>
                <w:lang w:eastAsia="en-AU"/>
              </w:rPr>
            </w:pPr>
            <w:r w:rsidRPr="001213F7">
              <w:rPr>
                <w:lang w:eastAsia="en-AU"/>
              </w:rPr>
              <w:t>1.1</w:t>
            </w:r>
          </w:p>
        </w:tc>
        <w:tc>
          <w:tcPr>
            <w:tcW w:w="839" w:type="dxa"/>
            <w:vAlign w:val="bottom"/>
            <w:hideMark/>
          </w:tcPr>
          <w:p w14:paraId="314D9048" w14:textId="77777777" w:rsidR="00900469" w:rsidRPr="001213F7" w:rsidRDefault="00900469">
            <w:pPr>
              <w:cnfStyle w:val="000000000000" w:firstRow="0" w:lastRow="0" w:firstColumn="0" w:lastColumn="0" w:oddVBand="0" w:evenVBand="0" w:oddHBand="0" w:evenHBand="0" w:firstRowFirstColumn="0" w:firstRowLastColumn="0" w:lastRowFirstColumn="0" w:lastRowLastColumn="0"/>
              <w:rPr>
                <w:lang w:eastAsia="en-AU"/>
              </w:rPr>
            </w:pPr>
            <w:r w:rsidRPr="001213F7">
              <w:rPr>
                <w:lang w:eastAsia="en-AU"/>
              </w:rPr>
              <w:t>1.75</w:t>
            </w:r>
          </w:p>
        </w:tc>
        <w:tc>
          <w:tcPr>
            <w:tcW w:w="839" w:type="dxa"/>
            <w:vAlign w:val="bottom"/>
            <w:hideMark/>
          </w:tcPr>
          <w:p w14:paraId="07A4D4C1" w14:textId="77777777" w:rsidR="00900469" w:rsidRPr="001213F7" w:rsidRDefault="00900469">
            <w:pPr>
              <w:cnfStyle w:val="000000000000" w:firstRow="0" w:lastRow="0" w:firstColumn="0" w:lastColumn="0" w:oddVBand="0" w:evenVBand="0" w:oddHBand="0" w:evenHBand="0" w:firstRowFirstColumn="0" w:firstRowLastColumn="0" w:lastRowFirstColumn="0" w:lastRowLastColumn="0"/>
              <w:rPr>
                <w:lang w:eastAsia="en-AU"/>
              </w:rPr>
            </w:pPr>
            <w:r w:rsidRPr="001213F7">
              <w:rPr>
                <w:lang w:eastAsia="en-AU"/>
              </w:rPr>
              <w:t>1.50</w:t>
            </w:r>
          </w:p>
        </w:tc>
        <w:tc>
          <w:tcPr>
            <w:tcW w:w="839" w:type="dxa"/>
            <w:vAlign w:val="bottom"/>
            <w:hideMark/>
          </w:tcPr>
          <w:p w14:paraId="5982A53C" w14:textId="77777777" w:rsidR="00900469" w:rsidRPr="001213F7" w:rsidRDefault="00900469">
            <w:pPr>
              <w:cnfStyle w:val="000000000000" w:firstRow="0" w:lastRow="0" w:firstColumn="0" w:lastColumn="0" w:oddVBand="0" w:evenVBand="0" w:oddHBand="0" w:evenHBand="0" w:firstRowFirstColumn="0" w:firstRowLastColumn="0" w:lastRowFirstColumn="0" w:lastRowLastColumn="0"/>
              <w:rPr>
                <w:lang w:eastAsia="en-AU"/>
              </w:rPr>
            </w:pPr>
            <w:r w:rsidRPr="001213F7">
              <w:rPr>
                <w:lang w:eastAsia="en-AU"/>
              </w:rPr>
              <w:t>2.00</w:t>
            </w:r>
          </w:p>
        </w:tc>
        <w:tc>
          <w:tcPr>
            <w:tcW w:w="839" w:type="dxa"/>
            <w:vAlign w:val="bottom"/>
            <w:hideMark/>
          </w:tcPr>
          <w:p w14:paraId="0409E6B0" w14:textId="77777777" w:rsidR="00900469" w:rsidRPr="001213F7" w:rsidRDefault="00900469">
            <w:pPr>
              <w:cnfStyle w:val="000000000000" w:firstRow="0" w:lastRow="0" w:firstColumn="0" w:lastColumn="0" w:oddVBand="0" w:evenVBand="0" w:oddHBand="0" w:evenHBand="0" w:firstRowFirstColumn="0" w:firstRowLastColumn="0" w:lastRowFirstColumn="0" w:lastRowLastColumn="0"/>
              <w:rPr>
                <w:lang w:eastAsia="en-AU"/>
              </w:rPr>
            </w:pPr>
            <w:r w:rsidRPr="001213F7">
              <w:rPr>
                <w:lang w:eastAsia="en-AU"/>
              </w:rPr>
              <w:t>2.50</w:t>
            </w:r>
          </w:p>
        </w:tc>
        <w:tc>
          <w:tcPr>
            <w:tcW w:w="839" w:type="dxa"/>
            <w:vAlign w:val="bottom"/>
          </w:tcPr>
          <w:p w14:paraId="0AE39308" w14:textId="77777777" w:rsidR="00900469" w:rsidRPr="001213F7" w:rsidRDefault="00900469">
            <w:pPr>
              <w:cnfStyle w:val="000000000000" w:firstRow="0" w:lastRow="0" w:firstColumn="0" w:lastColumn="0" w:oddVBand="0" w:evenVBand="0" w:oddHBand="0" w:evenHBand="0" w:firstRowFirstColumn="0" w:firstRowLastColumn="0" w:lastRowFirstColumn="0" w:lastRowLastColumn="0"/>
              <w:rPr>
                <w:lang w:eastAsia="en-AU"/>
              </w:rPr>
            </w:pPr>
            <w:r w:rsidRPr="001213F7">
              <w:rPr>
                <w:lang w:eastAsia="en-AU"/>
              </w:rPr>
              <w:t>2.50</w:t>
            </w:r>
          </w:p>
        </w:tc>
      </w:tr>
      <w:tr w:rsidR="00900469" w:rsidRPr="001213F7" w14:paraId="53834B9E" w14:textId="77777777">
        <w:tc>
          <w:tcPr>
            <w:cnfStyle w:val="001000000000" w:firstRow="0" w:lastRow="0" w:firstColumn="1" w:lastColumn="0" w:oddVBand="0" w:evenVBand="0" w:oddHBand="0" w:evenHBand="0" w:firstRowFirstColumn="0" w:firstRowLastColumn="0" w:lastRowFirstColumn="0" w:lastRowLastColumn="0"/>
            <w:tcW w:w="2625" w:type="dxa"/>
            <w:hideMark/>
          </w:tcPr>
          <w:p w14:paraId="3C002018" w14:textId="77777777" w:rsidR="00900469" w:rsidRPr="001213F7" w:rsidRDefault="00900469">
            <w:pPr>
              <w:rPr>
                <w:lang w:eastAsia="en-AU"/>
              </w:rPr>
            </w:pPr>
            <w:r w:rsidRPr="001213F7">
              <w:rPr>
                <w:lang w:eastAsia="en-AU"/>
              </w:rPr>
              <w:t>Employment</w:t>
            </w:r>
          </w:p>
        </w:tc>
        <w:tc>
          <w:tcPr>
            <w:tcW w:w="838" w:type="dxa"/>
            <w:vAlign w:val="bottom"/>
            <w:hideMark/>
          </w:tcPr>
          <w:p w14:paraId="6BDC0BBD" w14:textId="77777777" w:rsidR="00900469" w:rsidRPr="001213F7" w:rsidRDefault="00900469">
            <w:pPr>
              <w:cnfStyle w:val="000000000000" w:firstRow="0" w:lastRow="0" w:firstColumn="0" w:lastColumn="0" w:oddVBand="0" w:evenVBand="0" w:oddHBand="0" w:evenHBand="0" w:firstRowFirstColumn="0" w:firstRowLastColumn="0" w:lastRowFirstColumn="0" w:lastRowLastColumn="0"/>
              <w:rPr>
                <w:lang w:eastAsia="en-AU"/>
              </w:rPr>
            </w:pPr>
            <w:r w:rsidRPr="001213F7">
              <w:rPr>
                <w:lang w:eastAsia="en-AU"/>
              </w:rPr>
              <w:t>2.5</w:t>
            </w:r>
          </w:p>
        </w:tc>
        <w:tc>
          <w:tcPr>
            <w:tcW w:w="839" w:type="dxa"/>
            <w:vAlign w:val="bottom"/>
            <w:hideMark/>
          </w:tcPr>
          <w:p w14:paraId="73BB3563" w14:textId="77777777" w:rsidR="00900469" w:rsidRPr="001213F7" w:rsidRDefault="00900469">
            <w:pPr>
              <w:cnfStyle w:val="000000000000" w:firstRow="0" w:lastRow="0" w:firstColumn="0" w:lastColumn="0" w:oddVBand="0" w:evenVBand="0" w:oddHBand="0" w:evenHBand="0" w:firstRowFirstColumn="0" w:firstRowLastColumn="0" w:lastRowFirstColumn="0" w:lastRowLastColumn="0"/>
              <w:rPr>
                <w:lang w:eastAsia="en-AU"/>
              </w:rPr>
            </w:pPr>
            <w:r w:rsidRPr="001213F7">
              <w:rPr>
                <w:lang w:eastAsia="en-AU"/>
              </w:rPr>
              <w:t>1.50</w:t>
            </w:r>
          </w:p>
        </w:tc>
        <w:tc>
          <w:tcPr>
            <w:tcW w:w="839" w:type="dxa"/>
            <w:vAlign w:val="bottom"/>
            <w:hideMark/>
          </w:tcPr>
          <w:p w14:paraId="6FFC0E2C" w14:textId="77777777" w:rsidR="00900469" w:rsidRPr="001213F7" w:rsidRDefault="00900469">
            <w:pPr>
              <w:cnfStyle w:val="000000000000" w:firstRow="0" w:lastRow="0" w:firstColumn="0" w:lastColumn="0" w:oddVBand="0" w:evenVBand="0" w:oddHBand="0" w:evenHBand="0" w:firstRowFirstColumn="0" w:firstRowLastColumn="0" w:lastRowFirstColumn="0" w:lastRowLastColumn="0"/>
              <w:rPr>
                <w:lang w:eastAsia="en-AU"/>
              </w:rPr>
            </w:pPr>
            <w:r w:rsidRPr="001213F7">
              <w:rPr>
                <w:lang w:eastAsia="en-AU"/>
              </w:rPr>
              <w:t>1.25</w:t>
            </w:r>
          </w:p>
        </w:tc>
        <w:tc>
          <w:tcPr>
            <w:tcW w:w="839" w:type="dxa"/>
            <w:vAlign w:val="bottom"/>
            <w:hideMark/>
          </w:tcPr>
          <w:p w14:paraId="33B8ADE3" w14:textId="77777777" w:rsidR="00900469" w:rsidRPr="001213F7" w:rsidRDefault="00900469">
            <w:pPr>
              <w:cnfStyle w:val="000000000000" w:firstRow="0" w:lastRow="0" w:firstColumn="0" w:lastColumn="0" w:oddVBand="0" w:evenVBand="0" w:oddHBand="0" w:evenHBand="0" w:firstRowFirstColumn="0" w:firstRowLastColumn="0" w:lastRowFirstColumn="0" w:lastRowLastColumn="0"/>
              <w:rPr>
                <w:lang w:eastAsia="en-AU"/>
              </w:rPr>
            </w:pPr>
            <w:r w:rsidRPr="001213F7">
              <w:rPr>
                <w:lang w:eastAsia="en-AU"/>
              </w:rPr>
              <w:t>1.50</w:t>
            </w:r>
          </w:p>
        </w:tc>
        <w:tc>
          <w:tcPr>
            <w:tcW w:w="839" w:type="dxa"/>
            <w:vAlign w:val="bottom"/>
            <w:hideMark/>
          </w:tcPr>
          <w:p w14:paraId="4EF3B9B3" w14:textId="77777777" w:rsidR="00900469" w:rsidRPr="001213F7" w:rsidRDefault="00900469">
            <w:pPr>
              <w:cnfStyle w:val="000000000000" w:firstRow="0" w:lastRow="0" w:firstColumn="0" w:lastColumn="0" w:oddVBand="0" w:evenVBand="0" w:oddHBand="0" w:evenHBand="0" w:firstRowFirstColumn="0" w:firstRowLastColumn="0" w:lastRowFirstColumn="0" w:lastRowLastColumn="0"/>
              <w:rPr>
                <w:lang w:eastAsia="en-AU"/>
              </w:rPr>
            </w:pPr>
            <w:r w:rsidRPr="001213F7">
              <w:rPr>
                <w:lang w:eastAsia="en-AU"/>
              </w:rPr>
              <w:t>1.75</w:t>
            </w:r>
          </w:p>
        </w:tc>
        <w:tc>
          <w:tcPr>
            <w:tcW w:w="839" w:type="dxa"/>
            <w:vAlign w:val="bottom"/>
          </w:tcPr>
          <w:p w14:paraId="7727F8DE" w14:textId="77777777" w:rsidR="00900469" w:rsidRPr="001213F7" w:rsidRDefault="00900469">
            <w:pPr>
              <w:cnfStyle w:val="000000000000" w:firstRow="0" w:lastRow="0" w:firstColumn="0" w:lastColumn="0" w:oddVBand="0" w:evenVBand="0" w:oddHBand="0" w:evenHBand="0" w:firstRowFirstColumn="0" w:firstRowLastColumn="0" w:lastRowFirstColumn="0" w:lastRowLastColumn="0"/>
              <w:rPr>
                <w:lang w:eastAsia="en-AU"/>
              </w:rPr>
            </w:pPr>
            <w:r w:rsidRPr="001213F7">
              <w:rPr>
                <w:lang w:eastAsia="en-AU"/>
              </w:rPr>
              <w:t>1.75</w:t>
            </w:r>
          </w:p>
        </w:tc>
      </w:tr>
      <w:tr w:rsidR="00900469" w:rsidRPr="001213F7" w14:paraId="5F6350F2" w14:textId="77777777">
        <w:tc>
          <w:tcPr>
            <w:cnfStyle w:val="001000000000" w:firstRow="0" w:lastRow="0" w:firstColumn="1" w:lastColumn="0" w:oddVBand="0" w:evenVBand="0" w:oddHBand="0" w:evenHBand="0" w:firstRowFirstColumn="0" w:firstRowLastColumn="0" w:lastRowFirstColumn="0" w:lastRowLastColumn="0"/>
            <w:tcW w:w="2625" w:type="dxa"/>
            <w:hideMark/>
          </w:tcPr>
          <w:p w14:paraId="6EF8C6AF" w14:textId="77777777" w:rsidR="00900469" w:rsidRPr="001213F7" w:rsidRDefault="00900469">
            <w:pPr>
              <w:rPr>
                <w:lang w:eastAsia="en-AU"/>
              </w:rPr>
            </w:pPr>
            <w:r w:rsidRPr="001213F7">
              <w:rPr>
                <w:lang w:eastAsia="en-AU"/>
              </w:rPr>
              <w:t xml:space="preserve">Unemployment rate </w:t>
            </w:r>
            <w:r w:rsidRPr="001213F7">
              <w:rPr>
                <w:vertAlign w:val="superscript"/>
                <w:lang w:eastAsia="en-AU"/>
              </w:rPr>
              <w:t>(b)</w:t>
            </w:r>
          </w:p>
        </w:tc>
        <w:tc>
          <w:tcPr>
            <w:tcW w:w="838" w:type="dxa"/>
            <w:vAlign w:val="bottom"/>
            <w:hideMark/>
          </w:tcPr>
          <w:p w14:paraId="58EB230E" w14:textId="77777777" w:rsidR="00900469" w:rsidRPr="001213F7" w:rsidRDefault="00900469">
            <w:pPr>
              <w:cnfStyle w:val="000000000000" w:firstRow="0" w:lastRow="0" w:firstColumn="0" w:lastColumn="0" w:oddVBand="0" w:evenVBand="0" w:oddHBand="0" w:evenHBand="0" w:firstRowFirstColumn="0" w:firstRowLastColumn="0" w:lastRowFirstColumn="0" w:lastRowLastColumn="0"/>
              <w:rPr>
                <w:lang w:eastAsia="en-AU"/>
              </w:rPr>
            </w:pPr>
            <w:r w:rsidRPr="001213F7">
              <w:rPr>
                <w:lang w:eastAsia="en-AU"/>
              </w:rPr>
              <w:t>4.4</w:t>
            </w:r>
          </w:p>
        </w:tc>
        <w:tc>
          <w:tcPr>
            <w:tcW w:w="839" w:type="dxa"/>
            <w:vAlign w:val="bottom"/>
            <w:hideMark/>
          </w:tcPr>
          <w:p w14:paraId="4FACB71D" w14:textId="77777777" w:rsidR="00900469" w:rsidRPr="001213F7" w:rsidRDefault="00900469">
            <w:pPr>
              <w:cnfStyle w:val="000000000000" w:firstRow="0" w:lastRow="0" w:firstColumn="0" w:lastColumn="0" w:oddVBand="0" w:evenVBand="0" w:oddHBand="0" w:evenHBand="0" w:firstRowFirstColumn="0" w:firstRowLastColumn="0" w:lastRowFirstColumn="0" w:lastRowLastColumn="0"/>
              <w:rPr>
                <w:lang w:eastAsia="en-AU"/>
              </w:rPr>
            </w:pPr>
            <w:r w:rsidRPr="001213F7">
              <w:rPr>
                <w:lang w:eastAsia="en-AU"/>
              </w:rPr>
              <w:t>4.75</w:t>
            </w:r>
          </w:p>
        </w:tc>
        <w:tc>
          <w:tcPr>
            <w:tcW w:w="839" w:type="dxa"/>
            <w:vAlign w:val="bottom"/>
            <w:hideMark/>
          </w:tcPr>
          <w:p w14:paraId="2FF9A402" w14:textId="77777777" w:rsidR="00900469" w:rsidRPr="001213F7" w:rsidRDefault="00900469">
            <w:pPr>
              <w:cnfStyle w:val="000000000000" w:firstRow="0" w:lastRow="0" w:firstColumn="0" w:lastColumn="0" w:oddVBand="0" w:evenVBand="0" w:oddHBand="0" w:evenHBand="0" w:firstRowFirstColumn="0" w:firstRowLastColumn="0" w:lastRowFirstColumn="0" w:lastRowLastColumn="0"/>
              <w:rPr>
                <w:lang w:eastAsia="en-AU"/>
              </w:rPr>
            </w:pPr>
            <w:r w:rsidRPr="001213F7">
              <w:rPr>
                <w:lang w:eastAsia="en-AU"/>
              </w:rPr>
              <w:t>4.75</w:t>
            </w:r>
          </w:p>
        </w:tc>
        <w:tc>
          <w:tcPr>
            <w:tcW w:w="839" w:type="dxa"/>
            <w:vAlign w:val="bottom"/>
            <w:hideMark/>
          </w:tcPr>
          <w:p w14:paraId="1715BDB7" w14:textId="77777777" w:rsidR="00900469" w:rsidRPr="001213F7" w:rsidRDefault="00900469">
            <w:pPr>
              <w:cnfStyle w:val="000000000000" w:firstRow="0" w:lastRow="0" w:firstColumn="0" w:lastColumn="0" w:oddVBand="0" w:evenVBand="0" w:oddHBand="0" w:evenHBand="0" w:firstRowFirstColumn="0" w:firstRowLastColumn="0" w:lastRowFirstColumn="0" w:lastRowLastColumn="0"/>
              <w:rPr>
                <w:lang w:eastAsia="en-AU"/>
              </w:rPr>
            </w:pPr>
            <w:r w:rsidRPr="001213F7">
              <w:rPr>
                <w:lang w:eastAsia="en-AU"/>
              </w:rPr>
              <w:t>4.75</w:t>
            </w:r>
          </w:p>
        </w:tc>
        <w:tc>
          <w:tcPr>
            <w:tcW w:w="839" w:type="dxa"/>
            <w:vAlign w:val="bottom"/>
            <w:hideMark/>
          </w:tcPr>
          <w:p w14:paraId="381BD8EB" w14:textId="77777777" w:rsidR="00900469" w:rsidRPr="001213F7" w:rsidRDefault="00900469">
            <w:pPr>
              <w:cnfStyle w:val="000000000000" w:firstRow="0" w:lastRow="0" w:firstColumn="0" w:lastColumn="0" w:oddVBand="0" w:evenVBand="0" w:oddHBand="0" w:evenHBand="0" w:firstRowFirstColumn="0" w:firstRowLastColumn="0" w:lastRowFirstColumn="0" w:lastRowLastColumn="0"/>
              <w:rPr>
                <w:lang w:eastAsia="en-AU"/>
              </w:rPr>
            </w:pPr>
            <w:r w:rsidRPr="001213F7">
              <w:rPr>
                <w:lang w:eastAsia="en-AU"/>
              </w:rPr>
              <w:t>4.75</w:t>
            </w:r>
          </w:p>
        </w:tc>
        <w:tc>
          <w:tcPr>
            <w:tcW w:w="839" w:type="dxa"/>
            <w:vAlign w:val="bottom"/>
          </w:tcPr>
          <w:p w14:paraId="1F5D7522" w14:textId="77777777" w:rsidR="00900469" w:rsidRPr="001213F7" w:rsidRDefault="00900469">
            <w:pPr>
              <w:cnfStyle w:val="000000000000" w:firstRow="0" w:lastRow="0" w:firstColumn="0" w:lastColumn="0" w:oddVBand="0" w:evenVBand="0" w:oddHBand="0" w:evenHBand="0" w:firstRowFirstColumn="0" w:firstRowLastColumn="0" w:lastRowFirstColumn="0" w:lastRowLastColumn="0"/>
              <w:rPr>
                <w:lang w:eastAsia="en-AU"/>
              </w:rPr>
            </w:pPr>
            <w:r w:rsidRPr="001213F7">
              <w:rPr>
                <w:lang w:eastAsia="en-AU"/>
              </w:rPr>
              <w:t>4.75</w:t>
            </w:r>
          </w:p>
        </w:tc>
      </w:tr>
      <w:tr w:rsidR="00900469" w:rsidRPr="001213F7" w14:paraId="4A9BDB7B" w14:textId="77777777">
        <w:tc>
          <w:tcPr>
            <w:cnfStyle w:val="001000000000" w:firstRow="0" w:lastRow="0" w:firstColumn="1" w:lastColumn="0" w:oddVBand="0" w:evenVBand="0" w:oddHBand="0" w:evenHBand="0" w:firstRowFirstColumn="0" w:firstRowLastColumn="0" w:lastRowFirstColumn="0" w:lastRowLastColumn="0"/>
            <w:tcW w:w="2625" w:type="dxa"/>
            <w:hideMark/>
          </w:tcPr>
          <w:p w14:paraId="00254B94" w14:textId="77777777" w:rsidR="00900469" w:rsidRPr="001213F7" w:rsidRDefault="00900469">
            <w:pPr>
              <w:rPr>
                <w:lang w:eastAsia="en-AU"/>
              </w:rPr>
            </w:pPr>
            <w:r w:rsidRPr="001213F7">
              <w:rPr>
                <w:lang w:eastAsia="en-AU"/>
              </w:rPr>
              <w:t xml:space="preserve">Consumer price index </w:t>
            </w:r>
            <w:r w:rsidRPr="001213F7">
              <w:rPr>
                <w:vertAlign w:val="superscript"/>
                <w:lang w:eastAsia="en-AU"/>
              </w:rPr>
              <w:t>(c)</w:t>
            </w:r>
          </w:p>
        </w:tc>
        <w:tc>
          <w:tcPr>
            <w:tcW w:w="838" w:type="dxa"/>
            <w:vAlign w:val="bottom"/>
            <w:hideMark/>
          </w:tcPr>
          <w:p w14:paraId="31D12351" w14:textId="77777777" w:rsidR="00900469" w:rsidRPr="001213F7" w:rsidRDefault="00900469">
            <w:pPr>
              <w:cnfStyle w:val="000000000000" w:firstRow="0" w:lastRow="0" w:firstColumn="0" w:lastColumn="0" w:oddVBand="0" w:evenVBand="0" w:oddHBand="0" w:evenHBand="0" w:firstRowFirstColumn="0" w:firstRowLastColumn="0" w:lastRowFirstColumn="0" w:lastRowLastColumn="0"/>
              <w:rPr>
                <w:lang w:eastAsia="en-AU"/>
              </w:rPr>
            </w:pPr>
            <w:r w:rsidRPr="001213F7">
              <w:rPr>
                <w:lang w:eastAsia="en-AU"/>
              </w:rPr>
              <w:t>2.4</w:t>
            </w:r>
          </w:p>
        </w:tc>
        <w:tc>
          <w:tcPr>
            <w:tcW w:w="839" w:type="dxa"/>
            <w:vAlign w:val="bottom"/>
            <w:hideMark/>
          </w:tcPr>
          <w:p w14:paraId="3F4496E5" w14:textId="77777777" w:rsidR="00900469" w:rsidRPr="001213F7" w:rsidRDefault="00900469">
            <w:pPr>
              <w:cnfStyle w:val="000000000000" w:firstRow="0" w:lastRow="0" w:firstColumn="0" w:lastColumn="0" w:oddVBand="0" w:evenVBand="0" w:oddHBand="0" w:evenHBand="0" w:firstRowFirstColumn="0" w:firstRowLastColumn="0" w:lastRowFirstColumn="0" w:lastRowLastColumn="0"/>
              <w:rPr>
                <w:lang w:eastAsia="en-AU"/>
              </w:rPr>
            </w:pPr>
            <w:r w:rsidRPr="001213F7">
              <w:rPr>
                <w:lang w:eastAsia="en-AU"/>
              </w:rPr>
              <w:t>3.50</w:t>
            </w:r>
          </w:p>
        </w:tc>
        <w:tc>
          <w:tcPr>
            <w:tcW w:w="839" w:type="dxa"/>
            <w:vAlign w:val="bottom"/>
            <w:hideMark/>
          </w:tcPr>
          <w:p w14:paraId="455DA775" w14:textId="77777777" w:rsidR="00900469" w:rsidRPr="001213F7" w:rsidRDefault="00900469">
            <w:pPr>
              <w:cnfStyle w:val="000000000000" w:firstRow="0" w:lastRow="0" w:firstColumn="0" w:lastColumn="0" w:oddVBand="0" w:evenVBand="0" w:oddHBand="0" w:evenHBand="0" w:firstRowFirstColumn="0" w:firstRowLastColumn="0" w:lastRowFirstColumn="0" w:lastRowLastColumn="0"/>
              <w:rPr>
                <w:lang w:eastAsia="en-AU"/>
              </w:rPr>
            </w:pPr>
            <w:r w:rsidRPr="001213F7">
              <w:rPr>
                <w:lang w:eastAsia="en-AU"/>
              </w:rPr>
              <w:t>3.50</w:t>
            </w:r>
          </w:p>
        </w:tc>
        <w:tc>
          <w:tcPr>
            <w:tcW w:w="839" w:type="dxa"/>
            <w:vAlign w:val="bottom"/>
            <w:hideMark/>
          </w:tcPr>
          <w:p w14:paraId="34EE0C4C" w14:textId="77777777" w:rsidR="00900469" w:rsidRPr="001213F7" w:rsidRDefault="00900469">
            <w:pPr>
              <w:cnfStyle w:val="000000000000" w:firstRow="0" w:lastRow="0" w:firstColumn="0" w:lastColumn="0" w:oddVBand="0" w:evenVBand="0" w:oddHBand="0" w:evenHBand="0" w:firstRowFirstColumn="0" w:firstRowLastColumn="0" w:lastRowFirstColumn="0" w:lastRowLastColumn="0"/>
              <w:rPr>
                <w:lang w:eastAsia="en-AU"/>
              </w:rPr>
            </w:pPr>
            <w:r w:rsidRPr="001213F7">
              <w:rPr>
                <w:lang w:eastAsia="en-AU"/>
              </w:rPr>
              <w:t>2.75</w:t>
            </w:r>
          </w:p>
        </w:tc>
        <w:tc>
          <w:tcPr>
            <w:tcW w:w="839" w:type="dxa"/>
            <w:vAlign w:val="bottom"/>
            <w:hideMark/>
          </w:tcPr>
          <w:p w14:paraId="2B5A7C74" w14:textId="77777777" w:rsidR="00900469" w:rsidRPr="001213F7" w:rsidRDefault="00900469">
            <w:pPr>
              <w:cnfStyle w:val="000000000000" w:firstRow="0" w:lastRow="0" w:firstColumn="0" w:lastColumn="0" w:oddVBand="0" w:evenVBand="0" w:oddHBand="0" w:evenHBand="0" w:firstRowFirstColumn="0" w:firstRowLastColumn="0" w:lastRowFirstColumn="0" w:lastRowLastColumn="0"/>
              <w:rPr>
                <w:lang w:eastAsia="en-AU"/>
              </w:rPr>
            </w:pPr>
            <w:r w:rsidRPr="001213F7">
              <w:rPr>
                <w:lang w:eastAsia="en-AU"/>
              </w:rPr>
              <w:t>2.50</w:t>
            </w:r>
          </w:p>
        </w:tc>
        <w:tc>
          <w:tcPr>
            <w:tcW w:w="839" w:type="dxa"/>
            <w:vAlign w:val="bottom"/>
          </w:tcPr>
          <w:p w14:paraId="4965347F" w14:textId="77777777" w:rsidR="00900469" w:rsidRPr="001213F7" w:rsidRDefault="00900469">
            <w:pPr>
              <w:cnfStyle w:val="000000000000" w:firstRow="0" w:lastRow="0" w:firstColumn="0" w:lastColumn="0" w:oddVBand="0" w:evenVBand="0" w:oddHBand="0" w:evenHBand="0" w:firstRowFirstColumn="0" w:firstRowLastColumn="0" w:lastRowFirstColumn="0" w:lastRowLastColumn="0"/>
              <w:rPr>
                <w:lang w:eastAsia="en-AU"/>
              </w:rPr>
            </w:pPr>
            <w:r w:rsidRPr="001213F7">
              <w:rPr>
                <w:lang w:eastAsia="en-AU"/>
              </w:rPr>
              <w:t>2.50</w:t>
            </w:r>
          </w:p>
        </w:tc>
      </w:tr>
      <w:tr w:rsidR="00900469" w:rsidRPr="001213F7" w14:paraId="331CD6A1" w14:textId="77777777">
        <w:tc>
          <w:tcPr>
            <w:cnfStyle w:val="001000000000" w:firstRow="0" w:lastRow="0" w:firstColumn="1" w:lastColumn="0" w:oddVBand="0" w:evenVBand="0" w:oddHBand="0" w:evenHBand="0" w:firstRowFirstColumn="0" w:firstRowLastColumn="0" w:lastRowFirstColumn="0" w:lastRowLastColumn="0"/>
            <w:tcW w:w="2625" w:type="dxa"/>
            <w:hideMark/>
          </w:tcPr>
          <w:p w14:paraId="583FD460" w14:textId="77777777" w:rsidR="00900469" w:rsidRPr="001213F7" w:rsidRDefault="00900469">
            <w:pPr>
              <w:rPr>
                <w:lang w:eastAsia="en-AU"/>
              </w:rPr>
            </w:pPr>
            <w:r w:rsidRPr="001213F7">
              <w:rPr>
                <w:lang w:eastAsia="en-AU"/>
              </w:rPr>
              <w:t xml:space="preserve">Wage price index </w:t>
            </w:r>
            <w:r w:rsidRPr="001213F7">
              <w:rPr>
                <w:vertAlign w:val="superscript"/>
                <w:lang w:eastAsia="en-AU"/>
              </w:rPr>
              <w:t>(d)</w:t>
            </w:r>
          </w:p>
        </w:tc>
        <w:tc>
          <w:tcPr>
            <w:tcW w:w="838" w:type="dxa"/>
            <w:vAlign w:val="bottom"/>
            <w:hideMark/>
          </w:tcPr>
          <w:p w14:paraId="23C346C9" w14:textId="77777777" w:rsidR="00900469" w:rsidRPr="001213F7" w:rsidRDefault="00900469">
            <w:pPr>
              <w:cnfStyle w:val="000000000000" w:firstRow="0" w:lastRow="0" w:firstColumn="0" w:lastColumn="0" w:oddVBand="0" w:evenVBand="0" w:oddHBand="0" w:evenHBand="0" w:firstRowFirstColumn="0" w:firstRowLastColumn="0" w:lastRowFirstColumn="0" w:lastRowLastColumn="0"/>
              <w:rPr>
                <w:lang w:eastAsia="en-AU"/>
              </w:rPr>
            </w:pPr>
            <w:r w:rsidRPr="001213F7">
              <w:rPr>
                <w:lang w:eastAsia="en-AU"/>
              </w:rPr>
              <w:t>3.3</w:t>
            </w:r>
          </w:p>
        </w:tc>
        <w:tc>
          <w:tcPr>
            <w:tcW w:w="839" w:type="dxa"/>
            <w:vAlign w:val="bottom"/>
            <w:hideMark/>
          </w:tcPr>
          <w:p w14:paraId="157F53AE" w14:textId="77777777" w:rsidR="00900469" w:rsidRPr="001213F7" w:rsidRDefault="00900469">
            <w:pPr>
              <w:cnfStyle w:val="000000000000" w:firstRow="0" w:lastRow="0" w:firstColumn="0" w:lastColumn="0" w:oddVBand="0" w:evenVBand="0" w:oddHBand="0" w:evenHBand="0" w:firstRowFirstColumn="0" w:firstRowLastColumn="0" w:lastRowFirstColumn="0" w:lastRowLastColumn="0"/>
              <w:rPr>
                <w:lang w:eastAsia="en-AU"/>
              </w:rPr>
            </w:pPr>
            <w:r w:rsidRPr="001213F7">
              <w:rPr>
                <w:lang w:eastAsia="en-AU"/>
              </w:rPr>
              <w:t>3.25</w:t>
            </w:r>
          </w:p>
        </w:tc>
        <w:tc>
          <w:tcPr>
            <w:tcW w:w="839" w:type="dxa"/>
            <w:vAlign w:val="bottom"/>
            <w:hideMark/>
          </w:tcPr>
          <w:p w14:paraId="50B9F8B3" w14:textId="77777777" w:rsidR="00900469" w:rsidRPr="001213F7" w:rsidRDefault="00900469">
            <w:pPr>
              <w:cnfStyle w:val="000000000000" w:firstRow="0" w:lastRow="0" w:firstColumn="0" w:lastColumn="0" w:oddVBand="0" w:evenVBand="0" w:oddHBand="0" w:evenHBand="0" w:firstRowFirstColumn="0" w:firstRowLastColumn="0" w:lastRowFirstColumn="0" w:lastRowLastColumn="0"/>
              <w:rPr>
                <w:lang w:eastAsia="en-AU"/>
              </w:rPr>
            </w:pPr>
            <w:r w:rsidRPr="001213F7">
              <w:rPr>
                <w:lang w:eastAsia="en-AU"/>
              </w:rPr>
              <w:t>3.25</w:t>
            </w:r>
          </w:p>
        </w:tc>
        <w:tc>
          <w:tcPr>
            <w:tcW w:w="839" w:type="dxa"/>
            <w:vAlign w:val="bottom"/>
            <w:hideMark/>
          </w:tcPr>
          <w:p w14:paraId="0986D79A" w14:textId="77777777" w:rsidR="00900469" w:rsidRPr="001213F7" w:rsidRDefault="00900469">
            <w:pPr>
              <w:cnfStyle w:val="000000000000" w:firstRow="0" w:lastRow="0" w:firstColumn="0" w:lastColumn="0" w:oddVBand="0" w:evenVBand="0" w:oddHBand="0" w:evenHBand="0" w:firstRowFirstColumn="0" w:firstRowLastColumn="0" w:lastRowFirstColumn="0" w:lastRowLastColumn="0"/>
              <w:rPr>
                <w:lang w:eastAsia="en-AU"/>
              </w:rPr>
            </w:pPr>
            <w:r w:rsidRPr="001213F7">
              <w:rPr>
                <w:lang w:eastAsia="en-AU"/>
              </w:rPr>
              <w:t>3.25</w:t>
            </w:r>
          </w:p>
        </w:tc>
        <w:tc>
          <w:tcPr>
            <w:tcW w:w="839" w:type="dxa"/>
            <w:vAlign w:val="bottom"/>
            <w:hideMark/>
          </w:tcPr>
          <w:p w14:paraId="1509E9FE" w14:textId="77777777" w:rsidR="00900469" w:rsidRPr="001213F7" w:rsidRDefault="00900469">
            <w:pPr>
              <w:cnfStyle w:val="000000000000" w:firstRow="0" w:lastRow="0" w:firstColumn="0" w:lastColumn="0" w:oddVBand="0" w:evenVBand="0" w:oddHBand="0" w:evenHBand="0" w:firstRowFirstColumn="0" w:firstRowLastColumn="0" w:lastRowFirstColumn="0" w:lastRowLastColumn="0"/>
              <w:rPr>
                <w:lang w:eastAsia="en-AU"/>
              </w:rPr>
            </w:pPr>
            <w:r w:rsidRPr="001213F7">
              <w:rPr>
                <w:lang w:eastAsia="en-AU"/>
              </w:rPr>
              <w:t>3.00</w:t>
            </w:r>
          </w:p>
        </w:tc>
        <w:tc>
          <w:tcPr>
            <w:tcW w:w="839" w:type="dxa"/>
            <w:vAlign w:val="bottom"/>
          </w:tcPr>
          <w:p w14:paraId="38626DD8" w14:textId="77777777" w:rsidR="00900469" w:rsidRPr="001213F7" w:rsidRDefault="00900469">
            <w:pPr>
              <w:cnfStyle w:val="000000000000" w:firstRow="0" w:lastRow="0" w:firstColumn="0" w:lastColumn="0" w:oddVBand="0" w:evenVBand="0" w:oddHBand="0" w:evenHBand="0" w:firstRowFirstColumn="0" w:firstRowLastColumn="0" w:lastRowFirstColumn="0" w:lastRowLastColumn="0"/>
              <w:rPr>
                <w:lang w:eastAsia="en-AU"/>
              </w:rPr>
            </w:pPr>
            <w:r w:rsidRPr="001213F7">
              <w:rPr>
                <w:lang w:eastAsia="en-AU"/>
              </w:rPr>
              <w:t>3.00</w:t>
            </w:r>
          </w:p>
        </w:tc>
      </w:tr>
      <w:tr w:rsidR="00900469" w:rsidRPr="001213F7" w14:paraId="050AE376" w14:textId="77777777">
        <w:tc>
          <w:tcPr>
            <w:cnfStyle w:val="001000000000" w:firstRow="0" w:lastRow="0" w:firstColumn="1" w:lastColumn="0" w:oddVBand="0" w:evenVBand="0" w:oddHBand="0" w:evenHBand="0" w:firstRowFirstColumn="0" w:firstRowLastColumn="0" w:lastRowFirstColumn="0" w:lastRowLastColumn="0"/>
            <w:tcW w:w="2625" w:type="dxa"/>
            <w:hideMark/>
          </w:tcPr>
          <w:p w14:paraId="7462AC30" w14:textId="77777777" w:rsidR="00900469" w:rsidRPr="001213F7" w:rsidRDefault="00900469">
            <w:pPr>
              <w:rPr>
                <w:lang w:eastAsia="en-AU"/>
              </w:rPr>
            </w:pPr>
            <w:r w:rsidRPr="001213F7">
              <w:rPr>
                <w:lang w:eastAsia="en-AU"/>
              </w:rPr>
              <w:t xml:space="preserve">Population </w:t>
            </w:r>
            <w:r w:rsidRPr="001213F7">
              <w:rPr>
                <w:vertAlign w:val="superscript"/>
                <w:lang w:eastAsia="en-AU"/>
              </w:rPr>
              <w:t>(e)</w:t>
            </w:r>
          </w:p>
        </w:tc>
        <w:tc>
          <w:tcPr>
            <w:tcW w:w="838" w:type="dxa"/>
            <w:vAlign w:val="bottom"/>
            <w:hideMark/>
          </w:tcPr>
          <w:p w14:paraId="08749524" w14:textId="77777777" w:rsidR="00900469" w:rsidRPr="001213F7" w:rsidRDefault="00900469">
            <w:pPr>
              <w:cnfStyle w:val="000000000000" w:firstRow="0" w:lastRow="0" w:firstColumn="0" w:lastColumn="0" w:oddVBand="0" w:evenVBand="0" w:oddHBand="0" w:evenHBand="0" w:firstRowFirstColumn="0" w:firstRowLastColumn="0" w:lastRowFirstColumn="0" w:lastRowLastColumn="0"/>
              <w:rPr>
                <w:lang w:eastAsia="en-AU"/>
              </w:rPr>
            </w:pPr>
            <w:r w:rsidRPr="001213F7">
              <w:rPr>
                <w:lang w:eastAsia="en-AU"/>
              </w:rPr>
              <w:t>1.8</w:t>
            </w:r>
          </w:p>
        </w:tc>
        <w:tc>
          <w:tcPr>
            <w:tcW w:w="839" w:type="dxa"/>
            <w:vAlign w:val="bottom"/>
            <w:hideMark/>
          </w:tcPr>
          <w:p w14:paraId="7B8A4889" w14:textId="77777777" w:rsidR="00900469" w:rsidRPr="001213F7" w:rsidRDefault="00900469">
            <w:pPr>
              <w:cnfStyle w:val="000000000000" w:firstRow="0" w:lastRow="0" w:firstColumn="0" w:lastColumn="0" w:oddVBand="0" w:evenVBand="0" w:oddHBand="0" w:evenHBand="0" w:firstRowFirstColumn="0" w:firstRowLastColumn="0" w:lastRowFirstColumn="0" w:lastRowLastColumn="0"/>
              <w:rPr>
                <w:lang w:eastAsia="en-AU"/>
              </w:rPr>
            </w:pPr>
            <w:r w:rsidRPr="001213F7">
              <w:rPr>
                <w:lang w:eastAsia="en-AU"/>
              </w:rPr>
              <w:t>1.70</w:t>
            </w:r>
          </w:p>
        </w:tc>
        <w:tc>
          <w:tcPr>
            <w:tcW w:w="839" w:type="dxa"/>
            <w:vAlign w:val="bottom"/>
            <w:hideMark/>
          </w:tcPr>
          <w:p w14:paraId="030DB466" w14:textId="77777777" w:rsidR="00900469" w:rsidRPr="001213F7" w:rsidRDefault="00900469">
            <w:pPr>
              <w:cnfStyle w:val="000000000000" w:firstRow="0" w:lastRow="0" w:firstColumn="0" w:lastColumn="0" w:oddVBand="0" w:evenVBand="0" w:oddHBand="0" w:evenHBand="0" w:firstRowFirstColumn="0" w:firstRowLastColumn="0" w:lastRowFirstColumn="0" w:lastRowLastColumn="0"/>
              <w:rPr>
                <w:lang w:eastAsia="en-AU"/>
              </w:rPr>
            </w:pPr>
            <w:r w:rsidRPr="001213F7">
              <w:rPr>
                <w:lang w:eastAsia="en-AU"/>
              </w:rPr>
              <w:t>1.70</w:t>
            </w:r>
          </w:p>
        </w:tc>
        <w:tc>
          <w:tcPr>
            <w:tcW w:w="839" w:type="dxa"/>
            <w:vAlign w:val="bottom"/>
            <w:hideMark/>
          </w:tcPr>
          <w:p w14:paraId="3FCE4DA6" w14:textId="77777777" w:rsidR="00900469" w:rsidRPr="001213F7" w:rsidRDefault="00900469">
            <w:pPr>
              <w:cnfStyle w:val="000000000000" w:firstRow="0" w:lastRow="0" w:firstColumn="0" w:lastColumn="0" w:oddVBand="0" w:evenVBand="0" w:oddHBand="0" w:evenHBand="0" w:firstRowFirstColumn="0" w:firstRowLastColumn="0" w:lastRowFirstColumn="0" w:lastRowLastColumn="0"/>
              <w:rPr>
                <w:lang w:eastAsia="en-AU"/>
              </w:rPr>
            </w:pPr>
            <w:r w:rsidRPr="001213F7">
              <w:rPr>
                <w:lang w:eastAsia="en-AU"/>
              </w:rPr>
              <w:t>1.70</w:t>
            </w:r>
          </w:p>
        </w:tc>
        <w:tc>
          <w:tcPr>
            <w:tcW w:w="839" w:type="dxa"/>
            <w:vAlign w:val="bottom"/>
            <w:hideMark/>
          </w:tcPr>
          <w:p w14:paraId="6885B3AB" w14:textId="77777777" w:rsidR="00900469" w:rsidRPr="001213F7" w:rsidRDefault="00900469">
            <w:pPr>
              <w:cnfStyle w:val="000000000000" w:firstRow="0" w:lastRow="0" w:firstColumn="0" w:lastColumn="0" w:oddVBand="0" w:evenVBand="0" w:oddHBand="0" w:evenHBand="0" w:firstRowFirstColumn="0" w:firstRowLastColumn="0" w:lastRowFirstColumn="0" w:lastRowLastColumn="0"/>
              <w:rPr>
                <w:lang w:eastAsia="en-AU"/>
              </w:rPr>
            </w:pPr>
            <w:r w:rsidRPr="001213F7">
              <w:rPr>
                <w:lang w:eastAsia="en-AU"/>
              </w:rPr>
              <w:t>1.70</w:t>
            </w:r>
          </w:p>
        </w:tc>
        <w:tc>
          <w:tcPr>
            <w:tcW w:w="839" w:type="dxa"/>
            <w:vAlign w:val="bottom"/>
          </w:tcPr>
          <w:p w14:paraId="6C4A9A35" w14:textId="77777777" w:rsidR="00900469" w:rsidRPr="001213F7" w:rsidRDefault="00900469">
            <w:pPr>
              <w:cnfStyle w:val="000000000000" w:firstRow="0" w:lastRow="0" w:firstColumn="0" w:lastColumn="0" w:oddVBand="0" w:evenVBand="0" w:oddHBand="0" w:evenHBand="0" w:firstRowFirstColumn="0" w:firstRowLastColumn="0" w:lastRowFirstColumn="0" w:lastRowLastColumn="0"/>
              <w:rPr>
                <w:lang w:eastAsia="en-AU"/>
              </w:rPr>
            </w:pPr>
            <w:r w:rsidRPr="001213F7">
              <w:rPr>
                <w:lang w:eastAsia="en-AU"/>
              </w:rPr>
              <w:t>1.70</w:t>
            </w:r>
          </w:p>
        </w:tc>
      </w:tr>
    </w:tbl>
    <w:p w14:paraId="0DC4D141" w14:textId="77777777" w:rsidR="00900469" w:rsidRPr="001213F7" w:rsidRDefault="00900469" w:rsidP="00F85420">
      <w:pPr>
        <w:pStyle w:val="Source"/>
        <w:keepNext/>
      </w:pPr>
      <w:r w:rsidRPr="001213F7">
        <w:t>Sources: Australian Bureau of Statistics; Department of Treasury and Finance</w:t>
      </w:r>
    </w:p>
    <w:p w14:paraId="529C649B" w14:textId="77777777" w:rsidR="00900469" w:rsidRPr="001213F7" w:rsidRDefault="00900469" w:rsidP="00F85420">
      <w:pPr>
        <w:pStyle w:val="Note"/>
        <w:keepNext/>
      </w:pPr>
      <w:bookmarkStart w:id="15" w:name="_Hlk196294003"/>
      <w:r w:rsidRPr="001213F7">
        <w:t xml:space="preserve">Notes: </w:t>
      </w:r>
    </w:p>
    <w:bookmarkEnd w:id="15"/>
    <w:p w14:paraId="54CC7EC6" w14:textId="77777777" w:rsidR="00900469" w:rsidRPr="001213F7" w:rsidRDefault="00900469">
      <w:pPr>
        <w:pStyle w:val="Note"/>
      </w:pPr>
      <w:r w:rsidRPr="001213F7">
        <w:t>(a)</w:t>
      </w:r>
      <w:r w:rsidRPr="001213F7">
        <w:tab/>
        <w:t>Percentage change in year</w:t>
      </w:r>
      <w:r w:rsidRPr="001213F7">
        <w:noBreakHyphen/>
        <w:t>average terms compared with the previous year, except for the unemployment rate (see note (b)) and population (see note (e)). Forecasts are rounded to the nearest 0.25 percentage points, except for population (see note (e)).</w:t>
      </w:r>
    </w:p>
    <w:p w14:paraId="4428646C" w14:textId="77777777" w:rsidR="00900469" w:rsidRPr="001213F7" w:rsidRDefault="00900469">
      <w:pPr>
        <w:pStyle w:val="Note"/>
      </w:pPr>
      <w:r w:rsidRPr="001213F7">
        <w:tab/>
        <w:t>The key assumptions underlying the economic forecasts include interest rates that broadly follow market economists’ expectations (see Chart 2.3) and an Australian dollar trade</w:t>
      </w:r>
      <w:r w:rsidRPr="001213F7">
        <w:noBreakHyphen/>
        <w:t>weighted index of 64.8. Oil prices (West Texas Intermediate) are assumed to average US$100/barrel in the June quarter 2026. Prices then gradually decline to around US$70/barrel by December 2026 and to around US$65/barrel by June 2027, broadly in line with the path suggested by oil futures.</w:t>
      </w:r>
    </w:p>
    <w:p w14:paraId="5CA14BB0" w14:textId="77777777" w:rsidR="00900469" w:rsidRPr="001213F7" w:rsidRDefault="00900469">
      <w:pPr>
        <w:pStyle w:val="Note"/>
      </w:pPr>
      <w:r w:rsidRPr="001213F7">
        <w:t>(b)</w:t>
      </w:r>
      <w:r w:rsidRPr="001213F7">
        <w:tab/>
        <w:t xml:space="preserve">Year average. </w:t>
      </w:r>
    </w:p>
    <w:p w14:paraId="32E19194" w14:textId="77777777" w:rsidR="00900469" w:rsidRPr="001213F7" w:rsidRDefault="00900469">
      <w:pPr>
        <w:pStyle w:val="Note"/>
      </w:pPr>
      <w:r w:rsidRPr="001213F7">
        <w:t>(c)</w:t>
      </w:r>
      <w:r w:rsidRPr="001213F7">
        <w:tab/>
        <w:t>Melbourne consumer price index.</w:t>
      </w:r>
    </w:p>
    <w:p w14:paraId="129AB129" w14:textId="77777777" w:rsidR="00900469" w:rsidRPr="001213F7" w:rsidRDefault="00900469">
      <w:pPr>
        <w:pStyle w:val="Note"/>
      </w:pPr>
      <w:r w:rsidRPr="001213F7">
        <w:t>(d)</w:t>
      </w:r>
      <w:r w:rsidRPr="001213F7">
        <w:tab/>
        <w:t>Wage price index, Victoria (based on total hourly rates of pay, excluding bonuses).</w:t>
      </w:r>
    </w:p>
    <w:p w14:paraId="538B35EE" w14:textId="77777777" w:rsidR="00900469" w:rsidRPr="001213F7" w:rsidRDefault="00900469">
      <w:pPr>
        <w:pStyle w:val="Note"/>
      </w:pPr>
      <w:r w:rsidRPr="001213F7">
        <w:t>(e)</w:t>
      </w:r>
      <w:r w:rsidRPr="001213F7">
        <w:tab/>
        <w:t>Percentage change over the year to 30 June. Forecasts are rounded to the nearest 0.1 percentage point.</w:t>
      </w:r>
    </w:p>
    <w:p w14:paraId="1EA0C29B" w14:textId="77777777" w:rsidR="00900469" w:rsidRPr="001213F7" w:rsidRDefault="00900469" w:rsidP="00F85420">
      <w:pPr>
        <w:ind w:right="-29"/>
      </w:pPr>
    </w:p>
    <w:p w14:paraId="1856714E" w14:textId="77777777" w:rsidR="00900469" w:rsidRPr="001213F7" w:rsidRDefault="00900469">
      <w:pPr>
        <w:pStyle w:val="ShadedBoxHeading"/>
        <w:pageBreakBefore/>
        <w:pBdr>
          <w:bottom w:val="single" w:sz="4" w:space="3" w:color="auto"/>
        </w:pBdr>
      </w:pPr>
      <w:r w:rsidRPr="001213F7">
        <w:lastRenderedPageBreak/>
        <w:t xml:space="preserve">Box 2.1:  The economic impacts of the Middle East </w:t>
      </w:r>
      <w:r w:rsidRPr="001213F7">
        <w:rPr>
          <w:rFonts w:cstheme="majorHAnsi"/>
        </w:rPr>
        <w:t xml:space="preserve">conflict </w:t>
      </w:r>
    </w:p>
    <w:p w14:paraId="47456B44" w14:textId="49BC0501" w:rsidR="00900469" w:rsidRPr="001213F7" w:rsidRDefault="00900469">
      <w:pPr>
        <w:pStyle w:val="ShadedBoxText"/>
        <w:pBdr>
          <w:bottom w:val="single" w:sz="4" w:space="3" w:color="auto"/>
        </w:pBdr>
      </w:pPr>
      <w:r w:rsidRPr="001213F7">
        <w:t>The current Middle East conflict began on 28 February 2026 when the US and Israel commenced air strikes on Iran. The conflict has extended across the broader region</w:t>
      </w:r>
      <w:r w:rsidR="00472C83" w:rsidRPr="001213F7">
        <w:t>,</w:t>
      </w:r>
      <w:r w:rsidRPr="001213F7">
        <w:t xml:space="preserve"> and energy facilities have been damaged, air traffic disrupted, and the Strait of Hormuz – a</w:t>
      </w:r>
      <w:r w:rsidR="000D4FA9" w:rsidRPr="001213F7">
        <w:t> </w:t>
      </w:r>
      <w:r w:rsidRPr="001213F7">
        <w:t xml:space="preserve">pivotal global shipping route for liquid fuels – effectively closed to commercial traffic for most of this period. </w:t>
      </w:r>
    </w:p>
    <w:p w14:paraId="4D30F6CE" w14:textId="77777777" w:rsidR="00900469" w:rsidRPr="001213F7" w:rsidRDefault="00900469">
      <w:pPr>
        <w:pStyle w:val="ShadedBoxText"/>
        <w:pBdr>
          <w:bottom w:val="single" w:sz="4" w:space="3" w:color="auto"/>
        </w:pBdr>
      </w:pPr>
      <w:r w:rsidRPr="001213F7">
        <w:t>The immediate impact on the global and Australian economies has been from large increases in global energy prices due to the closure of the Strait of Hormuz, coupled with damage to some regional energy facilities. The price of West Texas Intermediate crude oil, for example, rose to a peak of over US$110 per barrel, up from US$66 in mid-February (see Chart 2.1). This has flowed through to higher prices in Australia for refined petroleum products, including petrol, diesel and jet fuel. Beyond the disruption to energy supplies, the Strait of Hormuz also carries other key inputs of production that derive from fossil fuels, including agricultural fertilisers and various industrial chemicals.</w:t>
      </w:r>
    </w:p>
    <w:p w14:paraId="420BC0A8" w14:textId="38F1018A" w:rsidR="00900469" w:rsidRPr="001213F7" w:rsidRDefault="00900469" w:rsidP="002943D1">
      <w:pPr>
        <w:pStyle w:val="ShadedBoxHeading"/>
        <w:pBdr>
          <w:bottom w:val="single" w:sz="4" w:space="3" w:color="auto"/>
        </w:pBdr>
        <w:ind w:left="1022" w:hanging="1022"/>
      </w:pPr>
      <w:bookmarkStart w:id="16" w:name="_Hlk191994000"/>
      <w:r w:rsidRPr="001213F7">
        <w:t xml:space="preserve">Chart 2.1 </w:t>
      </w:r>
      <w:r w:rsidRPr="001213F7">
        <w:tab/>
        <w:t>Crude oil price and Victorian petrol and diesel prices</w:t>
      </w:r>
      <w:r w:rsidRPr="001213F7">
        <w:rPr>
          <w:rFonts w:ascii="Garamond" w:hAnsi="Garamond"/>
          <w:sz w:val="22"/>
        </w:rPr>
        <w:t xml:space="preserve"> </w:t>
      </w:r>
      <w:r w:rsidRPr="001213F7">
        <w:rPr>
          <w:noProof/>
        </w:rPr>
        <w:t xml:space="preserve"> </w:t>
      </w:r>
    </w:p>
    <w:p w14:paraId="64FFC126" w14:textId="6AA046F2" w:rsidR="00AE65A7" w:rsidRPr="001213F7" w:rsidRDefault="00FB065E" w:rsidP="009C2C6A">
      <w:pPr>
        <w:pStyle w:val="ShadedBoxText"/>
        <w:pBdr>
          <w:bottom w:val="single" w:sz="4" w:space="3" w:color="auto"/>
        </w:pBdr>
      </w:pPr>
      <w:r w:rsidRPr="001213F7">
        <w:rPr>
          <w:rFonts w:asciiTheme="majorHAnsi" w:hAnsiTheme="majorHAnsi" w:cstheme="majorHAnsi"/>
          <w:noProof/>
          <w:sz w:val="18"/>
          <w:szCs w:val="18"/>
        </w:rPr>
        <w:drawing>
          <wp:inline distT="0" distB="0" distL="0" distR="0" wp14:anchorId="24D8BBA8" wp14:editId="5C0B0366">
            <wp:extent cx="2394642" cy="2613660"/>
            <wp:effectExtent l="0" t="0" r="0" b="0"/>
            <wp:docPr id="1450007941" name="Chart 1">
              <a:extLst xmlns:a="http://schemas.openxmlformats.org/drawingml/2006/main">
                <a:ext uri="{FF2B5EF4-FFF2-40B4-BE49-F238E27FC236}">
                  <a16:creationId xmlns:a16="http://schemas.microsoft.com/office/drawing/2014/main" id="{A8C97675-11B8-69F9-62D6-E598C97FCAF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r w:rsidR="00B771BB" w:rsidRPr="001213F7">
        <w:rPr>
          <w:noProof/>
        </w:rPr>
        <w:drawing>
          <wp:inline distT="0" distB="0" distL="0" distR="0" wp14:anchorId="298F56DD" wp14:editId="4E22E908">
            <wp:extent cx="2340560" cy="2633980"/>
            <wp:effectExtent l="0" t="0" r="0" b="0"/>
            <wp:docPr id="1045724997" name="Chart 1">
              <a:extLst xmlns:a="http://schemas.openxmlformats.org/drawingml/2006/main">
                <a:ext uri="{FF2B5EF4-FFF2-40B4-BE49-F238E27FC236}">
                  <a16:creationId xmlns:a16="http://schemas.microsoft.com/office/drawing/2014/main" id="{58BE189A-EAB4-BE68-47F9-125D5B0F9E5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57EAD734" w14:textId="77777777" w:rsidR="00900469" w:rsidRPr="001213F7" w:rsidRDefault="00900469">
      <w:pPr>
        <w:pStyle w:val="ShadedBoxSource"/>
        <w:pBdr>
          <w:bottom w:val="single" w:sz="4" w:space="3" w:color="auto"/>
        </w:pBdr>
        <w:spacing w:before="0"/>
      </w:pPr>
      <w:bookmarkStart w:id="17" w:name="_Hlk164696072"/>
      <w:r w:rsidRPr="001213F7">
        <w:t>Sources: Haver Analytics; Australian Institute of Petroleum</w:t>
      </w:r>
    </w:p>
    <w:bookmarkEnd w:id="16"/>
    <w:bookmarkEnd w:id="17"/>
    <w:p w14:paraId="674ECE7D" w14:textId="445CBBFC" w:rsidR="00900469" w:rsidRPr="001213F7" w:rsidRDefault="00900469">
      <w:pPr>
        <w:pStyle w:val="ShadedBoxNote"/>
        <w:pBdr>
          <w:bottom w:val="single" w:sz="4" w:space="3" w:color="auto"/>
        </w:pBdr>
      </w:pPr>
      <w:r w:rsidRPr="001213F7">
        <w:t>Note</w:t>
      </w:r>
      <w:r w:rsidR="00334F73" w:rsidRPr="001213F7">
        <w:t>s</w:t>
      </w:r>
      <w:r w:rsidRPr="001213F7">
        <w:t xml:space="preserve">: </w:t>
      </w:r>
    </w:p>
    <w:p w14:paraId="55548121" w14:textId="10D4EBDE" w:rsidR="00900469" w:rsidRPr="001213F7" w:rsidRDefault="00900469">
      <w:pPr>
        <w:pStyle w:val="ShadedBoxNote"/>
        <w:pBdr>
          <w:bottom w:val="single" w:sz="4" w:space="3" w:color="auto"/>
        </w:pBdr>
      </w:pPr>
      <w:r w:rsidRPr="001213F7">
        <w:t>(a)</w:t>
      </w:r>
      <w:r w:rsidRPr="001213F7">
        <w:tab/>
        <w:t>West Texas Intermediate (WTI) oil prices. Last observation as of 2</w:t>
      </w:r>
      <w:r w:rsidR="00900E50" w:rsidRPr="001213F7">
        <w:t>9</w:t>
      </w:r>
      <w:r w:rsidRPr="001213F7">
        <w:t xml:space="preserve"> April 2026.</w:t>
      </w:r>
    </w:p>
    <w:p w14:paraId="25EAA229" w14:textId="53696A3B" w:rsidR="00900469" w:rsidRPr="001213F7" w:rsidRDefault="00900469">
      <w:pPr>
        <w:pStyle w:val="ShadedBoxNote"/>
        <w:pBdr>
          <w:bottom w:val="single" w:sz="4" w:space="3" w:color="auto"/>
        </w:pBdr>
      </w:pPr>
      <w:r w:rsidRPr="001213F7">
        <w:t>(b)</w:t>
      </w:r>
      <w:r w:rsidRPr="001213F7">
        <w:tab/>
        <w:t xml:space="preserve">Last observation as of </w:t>
      </w:r>
      <w:r w:rsidR="00576D36" w:rsidRPr="001213F7">
        <w:t>26</w:t>
      </w:r>
      <w:r w:rsidRPr="001213F7">
        <w:t xml:space="preserve"> April 2026. </w:t>
      </w:r>
    </w:p>
    <w:p w14:paraId="355BCA33" w14:textId="77777777" w:rsidR="00900469" w:rsidRPr="001213F7" w:rsidRDefault="00900469">
      <w:pPr>
        <w:pStyle w:val="ShadedBoxText"/>
        <w:pBdr>
          <w:bottom w:val="single" w:sz="4" w:space="3" w:color="auto"/>
        </w:pBdr>
        <w:rPr>
          <w:rFonts w:cs="Calibri"/>
        </w:rPr>
      </w:pPr>
      <w:r w:rsidRPr="001213F7">
        <w:rPr>
          <w:rFonts w:cs="Calibri"/>
        </w:rPr>
        <w:t xml:space="preserve">In the near term, the main direct impact on Victoria’s economy is higher fuel prices. Victorian petrol prices reached $2.50 per litre in late March, an increase of 85 cents per litre, or around 50 per cent, compared with prices in mid-February. Diesel prices have risen even further. Petrol and diesel, along with </w:t>
      </w:r>
      <w:r w:rsidRPr="001213F7">
        <w:t>agricultural fertilisers and various industrial chemicals</w:t>
      </w:r>
      <w:r w:rsidRPr="001213F7">
        <w:rPr>
          <w:rFonts w:cs="Calibri"/>
        </w:rPr>
        <w:t xml:space="preserve"> that are also facing trade disruptions due to the Middle East conflict, are key contributors to the cost of production for the freight, agriculture, manufacturing and construction sectors.</w:t>
      </w:r>
    </w:p>
    <w:p w14:paraId="1D68CF0F" w14:textId="77777777" w:rsidR="00900469" w:rsidRPr="001213F7" w:rsidRDefault="00900469">
      <w:pPr>
        <w:pStyle w:val="Note"/>
      </w:pPr>
    </w:p>
    <w:p w14:paraId="58DC45B2" w14:textId="4AAC3A14" w:rsidR="00900469" w:rsidRPr="001213F7" w:rsidRDefault="00900469">
      <w:pPr>
        <w:pStyle w:val="ShadedBoxText"/>
        <w:pBdr>
          <w:bottom w:val="single" w:sz="4" w:space="3" w:color="auto"/>
        </w:pBdr>
        <w:rPr>
          <w:rFonts w:cs="Calibri"/>
          <w:color w:val="000000" w:themeColor="text1"/>
        </w:rPr>
      </w:pPr>
      <w:r w:rsidRPr="001213F7">
        <w:rPr>
          <w:rFonts w:cs="Calibri"/>
          <w:color w:val="000000" w:themeColor="text1"/>
        </w:rPr>
        <w:lastRenderedPageBreak/>
        <w:t>This is directly adding to the cost of doing business and the cost of living, which will likely</w:t>
      </w:r>
      <w:r w:rsidR="001F3585" w:rsidRPr="001213F7">
        <w:rPr>
          <w:rFonts w:cs="Calibri"/>
          <w:color w:val="000000" w:themeColor="text1"/>
        </w:rPr>
        <w:t> </w:t>
      </w:r>
      <w:r w:rsidRPr="001213F7">
        <w:rPr>
          <w:rFonts w:cs="Calibri"/>
          <w:color w:val="000000" w:themeColor="text1"/>
        </w:rPr>
        <w:t xml:space="preserve">weigh on consumer spending on other goods and services. Price pressures are being partially alleviated by </w:t>
      </w:r>
      <w:r w:rsidR="00194A5A" w:rsidRPr="001213F7">
        <w:rPr>
          <w:rFonts w:cs="Calibri"/>
          <w:color w:val="000000" w:themeColor="text1"/>
        </w:rPr>
        <w:t xml:space="preserve">a reduction </w:t>
      </w:r>
      <w:r w:rsidR="006E4CC9" w:rsidRPr="001213F7">
        <w:rPr>
          <w:rFonts w:cs="Calibri"/>
          <w:color w:val="000000" w:themeColor="text1"/>
        </w:rPr>
        <w:t xml:space="preserve">in fuel excise agreed by </w:t>
      </w:r>
      <w:r w:rsidRPr="001213F7">
        <w:rPr>
          <w:rFonts w:cs="Calibri"/>
          <w:color w:val="000000" w:themeColor="text1"/>
        </w:rPr>
        <w:t>the Victorian, Commonwealth and other state and territor</w:t>
      </w:r>
      <w:r w:rsidR="006E4CC9" w:rsidRPr="001213F7">
        <w:rPr>
          <w:rFonts w:cs="Calibri"/>
          <w:color w:val="000000" w:themeColor="text1"/>
        </w:rPr>
        <w:t>y governments</w:t>
      </w:r>
      <w:r w:rsidRPr="001213F7">
        <w:rPr>
          <w:rFonts w:cs="Calibri"/>
          <w:color w:val="000000" w:themeColor="text1"/>
        </w:rPr>
        <w:t xml:space="preserve">. Between April and June, fuel excise will be 32 cents per litre lower. </w:t>
      </w:r>
      <w:r w:rsidRPr="001213F7">
        <w:t>Heavy</w:t>
      </w:r>
      <w:r w:rsidRPr="001213F7">
        <w:rPr>
          <w:rFonts w:cs="Calibri"/>
          <w:color w:val="000000" w:themeColor="text1"/>
        </w:rPr>
        <w:t xml:space="preserve"> vehicle charges have also been reduced to zero over this period. The Government is also helping to reduce demand for fuel by providing additional cost</w:t>
      </w:r>
      <w:r w:rsidRPr="001213F7">
        <w:rPr>
          <w:rFonts w:cs="Calibri"/>
          <w:color w:val="000000" w:themeColor="text1"/>
        </w:rPr>
        <w:noBreakHyphen/>
        <w:t>of-living relief through free public transport from 31 March</w:t>
      </w:r>
      <w:r w:rsidR="001F3585" w:rsidRPr="001213F7">
        <w:rPr>
          <w:rFonts w:cs="Calibri"/>
          <w:color w:val="000000" w:themeColor="text1"/>
        </w:rPr>
        <w:t> </w:t>
      </w:r>
      <w:r w:rsidRPr="001213F7">
        <w:rPr>
          <w:rFonts w:cs="Calibri"/>
          <w:color w:val="000000" w:themeColor="text1"/>
        </w:rPr>
        <w:t>2026 to 31 May 2026, and half-price public transport from 1 June 2026 until 1 January</w:t>
      </w:r>
      <w:r w:rsidR="001F3585" w:rsidRPr="001213F7">
        <w:rPr>
          <w:rFonts w:cs="Calibri"/>
          <w:color w:val="000000" w:themeColor="text1"/>
        </w:rPr>
        <w:t> </w:t>
      </w:r>
      <w:r w:rsidRPr="001213F7">
        <w:rPr>
          <w:rFonts w:cs="Calibri"/>
          <w:color w:val="000000" w:themeColor="text1"/>
        </w:rPr>
        <w:t>2027, to encourage switching from use of cars to public transport.</w:t>
      </w:r>
    </w:p>
    <w:p w14:paraId="156A8FF0" w14:textId="3F22AA4B" w:rsidR="00900469" w:rsidRPr="001213F7" w:rsidRDefault="00900469">
      <w:pPr>
        <w:pStyle w:val="ShadedBoxText"/>
        <w:pBdr>
          <w:bottom w:val="single" w:sz="4" w:space="3" w:color="auto"/>
        </w:pBdr>
      </w:pPr>
      <w:r w:rsidRPr="001213F7">
        <w:rPr>
          <w:rFonts w:cs="Calibri"/>
          <w:color w:val="000000" w:themeColor="text1"/>
        </w:rPr>
        <w:t xml:space="preserve">Higher fuel prices are also adding to businesses’ costs, which are likely to be increasingly passed through to price rises for other goods and services. For instance, higher transport or manufacturing costs may be passed on </w:t>
      </w:r>
      <w:r w:rsidR="00601E3A" w:rsidRPr="001213F7">
        <w:rPr>
          <w:rFonts w:cs="Calibri"/>
          <w:color w:val="000000" w:themeColor="text1"/>
        </w:rPr>
        <w:t xml:space="preserve">as </w:t>
      </w:r>
      <w:r w:rsidRPr="001213F7">
        <w:rPr>
          <w:rFonts w:cs="Calibri"/>
          <w:color w:val="000000" w:themeColor="text1"/>
        </w:rPr>
        <w:t xml:space="preserve">increased prices for food and other goods. </w:t>
      </w:r>
    </w:p>
    <w:p w14:paraId="3420AE99" w14:textId="07EB7CDA" w:rsidR="00900469" w:rsidRPr="001213F7" w:rsidRDefault="00900469">
      <w:pPr>
        <w:pStyle w:val="ShadedBoxText"/>
        <w:pBdr>
          <w:bottom w:val="single" w:sz="4" w:space="3" w:color="auto"/>
        </w:pBdr>
        <w:rPr>
          <w:color w:val="000000" w:themeColor="text1"/>
        </w:rPr>
      </w:pPr>
      <w:r w:rsidRPr="001213F7">
        <w:rPr>
          <w:rFonts w:cs="Calibri"/>
          <w:color w:val="000000" w:themeColor="text1"/>
        </w:rPr>
        <w:t>The broader impacts on the global, Australian and Victorian economies will ultimately depend on the duration and extent of the conflict, and any ongoing effects from damaged infrastructure. A temporary cease-fire was agreed in early April, which was later extended, but at the time of publication a longer-term resolution remains far from assured. An</w:t>
      </w:r>
      <w:r w:rsidRPr="001213F7" w:rsidDel="00EF7F02">
        <w:rPr>
          <w:rFonts w:cs="Calibri"/>
          <w:color w:val="000000" w:themeColor="text1"/>
        </w:rPr>
        <w:t xml:space="preserve"> </w:t>
      </w:r>
      <w:r w:rsidRPr="001213F7">
        <w:rPr>
          <w:rFonts w:cs="Calibri"/>
          <w:color w:val="000000" w:themeColor="text1"/>
        </w:rPr>
        <w:t>extended or more expansive conflict could result in persistent fuel supply disruptions, a</w:t>
      </w:r>
      <w:r w:rsidR="000D4FA9" w:rsidRPr="001213F7">
        <w:rPr>
          <w:rFonts w:cs="Calibri"/>
          <w:color w:val="000000" w:themeColor="text1"/>
        </w:rPr>
        <w:t> </w:t>
      </w:r>
      <w:r w:rsidRPr="001213F7">
        <w:rPr>
          <w:rFonts w:cs="Calibri"/>
          <w:color w:val="000000" w:themeColor="text1"/>
        </w:rPr>
        <w:t xml:space="preserve">further rise in fuel prices and inflation, and </w:t>
      </w:r>
      <w:r w:rsidR="00C83858" w:rsidRPr="001213F7">
        <w:rPr>
          <w:rFonts w:cs="Calibri"/>
          <w:color w:val="000000" w:themeColor="text1"/>
        </w:rPr>
        <w:t xml:space="preserve">renewed </w:t>
      </w:r>
      <w:r w:rsidRPr="001213F7">
        <w:rPr>
          <w:rFonts w:cs="Calibri"/>
          <w:color w:val="000000" w:themeColor="text1"/>
        </w:rPr>
        <w:t>falls in equity markets. This ‘prolonged conflict’ scenario could weigh heavily on national and global economic activity. However, the Victorian and Australian economies are now much less exposed to the price</w:t>
      </w:r>
      <w:r w:rsidR="000D4FA9" w:rsidRPr="001213F7">
        <w:rPr>
          <w:rFonts w:cs="Calibri"/>
          <w:color w:val="000000" w:themeColor="text1"/>
        </w:rPr>
        <w:t> </w:t>
      </w:r>
      <w:r w:rsidRPr="001213F7">
        <w:rPr>
          <w:rFonts w:cs="Calibri"/>
          <w:color w:val="000000" w:themeColor="text1"/>
        </w:rPr>
        <w:t>of oil than they were during the global oil shocks of the 1970s (see</w:t>
      </w:r>
      <w:r w:rsidRPr="001213F7">
        <w:rPr>
          <w:rFonts w:cs="Calibri"/>
          <w:color w:val="000000" w:themeColor="text1"/>
          <w:sz w:val="20"/>
          <w:szCs w:val="20"/>
        </w:rPr>
        <w:t xml:space="preserve"> </w:t>
      </w:r>
      <w:r w:rsidRPr="001213F7">
        <w:rPr>
          <w:rFonts w:cs="Calibri"/>
          <w:color w:val="000000" w:themeColor="text1"/>
        </w:rPr>
        <w:t>Chart 2.2). This</w:t>
      </w:r>
      <w:r w:rsidR="000D4FA9" w:rsidRPr="001213F7">
        <w:rPr>
          <w:rFonts w:cs="Calibri"/>
          <w:color w:val="000000" w:themeColor="text1"/>
        </w:rPr>
        <w:t> </w:t>
      </w:r>
      <w:r w:rsidRPr="001213F7">
        <w:rPr>
          <w:rFonts w:cs="Calibri"/>
          <w:color w:val="000000" w:themeColor="text1"/>
        </w:rPr>
        <w:t>should help contain any pass</w:t>
      </w:r>
      <w:r w:rsidRPr="001213F7">
        <w:rPr>
          <w:rFonts w:cs="Calibri"/>
          <w:color w:val="000000" w:themeColor="text1"/>
        </w:rPr>
        <w:noBreakHyphen/>
        <w:t>through of higher petrol prices to broader prices relative to that time.</w:t>
      </w:r>
    </w:p>
    <w:p w14:paraId="64D6F733" w14:textId="77777777" w:rsidR="00900469" w:rsidRPr="001213F7" w:rsidRDefault="00900469">
      <w:pPr>
        <w:pStyle w:val="ShadedBoxHeading"/>
        <w:pBdr>
          <w:bottom w:val="single" w:sz="4" w:space="3" w:color="auto"/>
        </w:pBdr>
      </w:pPr>
      <w:r w:rsidRPr="001213F7">
        <w:t xml:space="preserve">Chart 2.2: </w:t>
      </w:r>
      <w:r w:rsidRPr="001213F7">
        <w:tab/>
        <w:t>Energy intensity of overall economic activity, Australia and Victoria</w:t>
      </w:r>
    </w:p>
    <w:p w14:paraId="25D654A4" w14:textId="77777777" w:rsidR="00900469" w:rsidRPr="001213F7" w:rsidRDefault="00900469">
      <w:pPr>
        <w:pStyle w:val="ShadedBoxText"/>
        <w:pBdr>
          <w:bottom w:val="single" w:sz="4" w:space="3" w:color="auto"/>
        </w:pBdr>
        <w:rPr>
          <w:rFonts w:asciiTheme="majorHAnsi" w:hAnsiTheme="majorHAnsi" w:cstheme="majorHAnsi"/>
          <w:i/>
          <w:iCs/>
          <w:color w:val="000000" w:themeColor="text1"/>
          <w:sz w:val="14"/>
          <w:szCs w:val="14"/>
        </w:rPr>
      </w:pPr>
      <w:r w:rsidRPr="001213F7">
        <w:rPr>
          <w:noProof/>
        </w:rPr>
        <w:drawing>
          <wp:inline distT="0" distB="0" distL="0" distR="0" wp14:anchorId="75069CB8" wp14:editId="19B74737">
            <wp:extent cx="4909820" cy="2921329"/>
            <wp:effectExtent l="0" t="0" r="0" b="0"/>
            <wp:docPr id="1576133429" name="Chart 1">
              <a:extLst xmlns:a="http://schemas.openxmlformats.org/drawingml/2006/main">
                <a:ext uri="{FF2B5EF4-FFF2-40B4-BE49-F238E27FC236}">
                  <a16:creationId xmlns:a16="http://schemas.microsoft.com/office/drawing/2014/main" id="{CAE0DF76-8AD8-32F8-0654-688AC05CA72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2A79EDBF" w14:textId="77777777" w:rsidR="00900469" w:rsidRPr="001213F7" w:rsidRDefault="00900469">
      <w:pPr>
        <w:pStyle w:val="ShadedBoxText"/>
        <w:pBdr>
          <w:bottom w:val="single" w:sz="4" w:space="3" w:color="auto"/>
        </w:pBdr>
        <w:rPr>
          <w:rFonts w:asciiTheme="majorHAnsi" w:hAnsiTheme="majorHAnsi" w:cstheme="majorHAnsi"/>
          <w:i/>
          <w:color w:val="000000" w:themeColor="text1"/>
          <w:sz w:val="14"/>
          <w:szCs w:val="14"/>
        </w:rPr>
      </w:pPr>
      <w:r w:rsidRPr="001213F7">
        <w:rPr>
          <w:rFonts w:asciiTheme="majorHAnsi" w:hAnsiTheme="majorHAnsi" w:cstheme="majorHAnsi"/>
          <w:i/>
          <w:iCs/>
          <w:color w:val="000000" w:themeColor="text1"/>
          <w:sz w:val="14"/>
          <w:szCs w:val="14"/>
        </w:rPr>
        <w:t>Sources: Department of Climate Change, Energy, the Environment and Water; Department of Treasury and Finance</w:t>
      </w:r>
    </w:p>
    <w:p w14:paraId="22A28DE2" w14:textId="77777777" w:rsidR="00900469" w:rsidRPr="001213F7" w:rsidRDefault="00900469">
      <w:pPr>
        <w:pStyle w:val="Note"/>
      </w:pPr>
    </w:p>
    <w:p w14:paraId="5129D43E" w14:textId="204F746B" w:rsidR="00900469" w:rsidRPr="001213F7" w:rsidRDefault="00900469">
      <w:pPr>
        <w:pStyle w:val="ShadedBoxText"/>
        <w:pBdr>
          <w:bottom w:val="single" w:sz="4" w:space="3" w:color="auto"/>
        </w:pBdr>
        <w:rPr>
          <w:rFonts w:cs="Calibri"/>
          <w:color w:val="000000" w:themeColor="text1"/>
        </w:rPr>
      </w:pPr>
      <w:r w:rsidRPr="001213F7">
        <w:rPr>
          <w:rFonts w:cs="Calibri"/>
          <w:color w:val="000000" w:themeColor="text1"/>
        </w:rPr>
        <w:lastRenderedPageBreak/>
        <w:t xml:space="preserve">Even if the conflict ends soon, it is likely that it may take time for fuel production and supply chains to rebuild, due to damaged infrastructure and shuttered facilities. This means fuel prices could remain above pre-conflict levels for some time. </w:t>
      </w:r>
      <w:r w:rsidR="00B741AD" w:rsidRPr="001213F7">
        <w:rPr>
          <w:rFonts w:cs="Calibri"/>
          <w:color w:val="000000" w:themeColor="text1"/>
        </w:rPr>
        <w:t xml:space="preserve">Such price impacts are incorporated into the base case forecast, however, there remains a high degree of uncertainty around the duration and severity of those impacts. </w:t>
      </w:r>
      <w:r w:rsidRPr="001213F7">
        <w:rPr>
          <w:rFonts w:cs="Calibri"/>
          <w:color w:val="000000" w:themeColor="text1"/>
        </w:rPr>
        <w:t xml:space="preserve">Chapter 6 </w:t>
      </w:r>
      <w:r w:rsidRPr="001213F7">
        <w:rPr>
          <w:rFonts w:cs="Calibri"/>
          <w:i/>
          <w:iCs/>
          <w:color w:val="000000" w:themeColor="text1"/>
        </w:rPr>
        <w:t>Sensitivity Analysis</w:t>
      </w:r>
      <w:r w:rsidRPr="001213F7">
        <w:rPr>
          <w:rFonts w:cs="Calibri"/>
          <w:color w:val="000000" w:themeColor="text1"/>
        </w:rPr>
        <w:t xml:space="preserve"> provides estimated economic and fiscal impacts of a further weakening of domestic growth due to a more persistent global oil price shock and associated falls in domestic confidence than is assumed in the base-case forecast. </w:t>
      </w:r>
    </w:p>
    <w:p w14:paraId="4CC030C1" w14:textId="77777777" w:rsidR="00900469" w:rsidRPr="001213F7" w:rsidRDefault="00900469" w:rsidP="00F85420">
      <w:pPr>
        <w:pStyle w:val="Heading2"/>
      </w:pPr>
      <w:r w:rsidRPr="001213F7">
        <w:t>Gross state product</w:t>
      </w:r>
    </w:p>
    <w:p w14:paraId="041B3AFA" w14:textId="4BE31B2A" w:rsidR="00900469" w:rsidRPr="001213F7" w:rsidRDefault="00900469">
      <w:pPr>
        <w:keepNext/>
      </w:pPr>
      <w:r w:rsidRPr="001213F7">
        <w:t>Victoria’s real GSP is expected to grow by 1.50 per cent in 2026</w:t>
      </w:r>
      <w:r w:rsidRPr="001213F7">
        <w:noBreakHyphen/>
        <w:t xml:space="preserve">27, down slightly from the 1.75 per cent growth forecast </w:t>
      </w:r>
      <w:r w:rsidR="004F1BD9" w:rsidRPr="001213F7">
        <w:t>for</w:t>
      </w:r>
      <w:r w:rsidRPr="001213F7">
        <w:t xml:space="preserve"> 2025</w:t>
      </w:r>
      <w:r w:rsidRPr="001213F7">
        <w:noBreakHyphen/>
        <w:t>26. This expected slowdown in growth is largely due to sharply rising interest rates, while the conflict in the Middle East and resulting surge in energy prices is also expected to weigh on activity. Following the RBA’s increases in interest rates in February and March this year, at least one more rate hike is expected by mid-year, which would bring interest rates to 4.35 per cent, the rate that Victoria faced in 2024</w:t>
      </w:r>
      <w:r w:rsidRPr="001213F7">
        <w:noBreakHyphen/>
        <w:t xml:space="preserve">25. This amounts to interest rates being 1 to 1.25 percentage points higher in 2026 compared with market economists’ expectations reflected in the </w:t>
      </w:r>
      <w:r w:rsidRPr="001213F7">
        <w:rPr>
          <w:i/>
          <w:iCs/>
        </w:rPr>
        <w:t>2025</w:t>
      </w:r>
      <w:r w:rsidRPr="001213F7">
        <w:rPr>
          <w:i/>
        </w:rPr>
        <w:noBreakHyphen/>
      </w:r>
      <w:r w:rsidRPr="001213F7">
        <w:rPr>
          <w:i/>
          <w:iCs/>
        </w:rPr>
        <w:t>26 Budget Update</w:t>
      </w:r>
      <w:r w:rsidRPr="001213F7">
        <w:t xml:space="preserve"> (see Chart 2.3). </w:t>
      </w:r>
    </w:p>
    <w:p w14:paraId="23B23AA6" w14:textId="4E1FCD7B" w:rsidR="00900469" w:rsidRPr="001213F7" w:rsidRDefault="00900469">
      <w:r w:rsidRPr="001213F7">
        <w:t>Higher interest rates will place downward pressure on parts of the economy sensitive to interest rates, primarily household consumption and dwelling investment. While more subdued growth is expected, household consumption is still expected to make the largest contribution to growth in 2026</w:t>
      </w:r>
      <w:r w:rsidRPr="001213F7">
        <w:noBreakHyphen/>
        <w:t>27, alongside a solid contribution from public demand and</w:t>
      </w:r>
      <w:r w:rsidR="000D4FA9" w:rsidRPr="001213F7">
        <w:t> </w:t>
      </w:r>
      <w:r w:rsidRPr="001213F7">
        <w:t>business investment (see Chart 2.4).</w:t>
      </w:r>
    </w:p>
    <w:p w14:paraId="0780C421" w14:textId="77777777" w:rsidR="00900469" w:rsidRPr="001213F7" w:rsidRDefault="00900469">
      <w:pPr>
        <w:pStyle w:val="TableHeading"/>
      </w:pPr>
      <w:r w:rsidRPr="001213F7">
        <w:t>Chart 2.3:</w:t>
      </w:r>
      <w:r w:rsidRPr="001213F7">
        <w:tab/>
        <w:t xml:space="preserve">Assumed RBA cash rate profile, quarterly average </w:t>
      </w:r>
      <w:r w:rsidRPr="001213F7">
        <w:rPr>
          <w:vertAlign w:val="superscript"/>
        </w:rPr>
        <w:t>(a)</w:t>
      </w:r>
      <w:r w:rsidRPr="001213F7">
        <w:t xml:space="preserve"> </w:t>
      </w:r>
    </w:p>
    <w:p w14:paraId="71F0E6F3" w14:textId="77777777" w:rsidR="00900469" w:rsidRPr="001213F7" w:rsidRDefault="00900469">
      <w:r w:rsidRPr="001213F7">
        <w:rPr>
          <w:noProof/>
        </w:rPr>
        <w:drawing>
          <wp:inline distT="0" distB="0" distL="0" distR="0" wp14:anchorId="2733D2F0" wp14:editId="0CC96395">
            <wp:extent cx="4785995" cy="2737262"/>
            <wp:effectExtent l="0" t="0" r="0" b="0"/>
            <wp:docPr id="989422041" name="Chart 1">
              <a:extLst xmlns:a="http://schemas.openxmlformats.org/drawingml/2006/main">
                <a:ext uri="{FF2B5EF4-FFF2-40B4-BE49-F238E27FC236}">
                  <a16:creationId xmlns:a16="http://schemas.microsoft.com/office/drawing/2014/main" id="{41659A93-C2E4-2900-3E0F-81A8CCEB60D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41D8E4A0" w14:textId="77777777" w:rsidR="00900469" w:rsidRPr="001213F7" w:rsidRDefault="00900469">
      <w:pPr>
        <w:pStyle w:val="Source"/>
      </w:pPr>
      <w:r w:rsidRPr="001213F7">
        <w:t>Sources: Reserve Bank of Australia; Department of Treasury and Finance</w:t>
      </w:r>
    </w:p>
    <w:p w14:paraId="38C79AC7" w14:textId="77777777" w:rsidR="00900469" w:rsidRPr="001213F7" w:rsidRDefault="00900469">
      <w:pPr>
        <w:pStyle w:val="Note"/>
      </w:pPr>
      <w:r w:rsidRPr="001213F7">
        <w:t>Note:</w:t>
      </w:r>
    </w:p>
    <w:p w14:paraId="5C89972A" w14:textId="625616CD" w:rsidR="00900469" w:rsidRPr="001213F7" w:rsidRDefault="00900469">
      <w:pPr>
        <w:pStyle w:val="Note"/>
      </w:pPr>
      <w:r w:rsidRPr="001213F7">
        <w:t>(a)</w:t>
      </w:r>
      <w:r w:rsidRPr="001213F7">
        <w:tab/>
        <w:t>Dashed lines denote the forecast cash rate profile</w:t>
      </w:r>
      <w:r w:rsidR="00557450" w:rsidRPr="001213F7">
        <w:t>s</w:t>
      </w:r>
      <w:r w:rsidRPr="001213F7">
        <w:t>.</w:t>
      </w:r>
    </w:p>
    <w:p w14:paraId="2578FC0D" w14:textId="77777777" w:rsidR="00900469" w:rsidRPr="001213F7" w:rsidRDefault="00900469">
      <w:pPr>
        <w:pStyle w:val="TableHeading"/>
      </w:pPr>
      <w:r w:rsidRPr="001213F7">
        <w:lastRenderedPageBreak/>
        <w:t>Chart 2.4:</w:t>
      </w:r>
      <w:r w:rsidRPr="001213F7">
        <w:tab/>
        <w:t xml:space="preserve">Forecast contributions to real GSP growth, 2026-27 </w:t>
      </w:r>
      <w:r w:rsidRPr="001213F7">
        <w:rPr>
          <w:vertAlign w:val="superscript"/>
        </w:rPr>
        <w:t xml:space="preserve">(a) </w:t>
      </w:r>
    </w:p>
    <w:p w14:paraId="2D6A57BD" w14:textId="77777777" w:rsidR="00900469" w:rsidRPr="001213F7" w:rsidRDefault="00900469">
      <w:pPr>
        <w:pStyle w:val="Source"/>
      </w:pPr>
      <w:r w:rsidRPr="001213F7">
        <w:rPr>
          <w:noProof/>
        </w:rPr>
        <mc:AlternateContent>
          <mc:Choice Requires="cx1">
            <w:drawing>
              <wp:inline distT="0" distB="0" distL="0" distR="0" wp14:anchorId="6E64FCEF" wp14:editId="33484EB7">
                <wp:extent cx="4896485" cy="2874010"/>
                <wp:effectExtent l="0" t="0" r="18415" b="2540"/>
                <wp:docPr id="1126347229" name="Chart 1">
                  <a:extLst xmlns:a="http://schemas.openxmlformats.org/drawingml/2006/main">
                    <a:ext uri="{FF2B5EF4-FFF2-40B4-BE49-F238E27FC236}">
                      <a16:creationId xmlns:a16="http://schemas.microsoft.com/office/drawing/2014/main" id="{24F82F6E-B3D7-CFA8-BBEE-3915B6FAD9AE}"/>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35"/>
                  </a:graphicData>
                </a:graphic>
              </wp:inline>
            </w:drawing>
          </mc:Choice>
          <mc:Fallback xmlns:arto="http://schemas.microsoft.com/office/word/2006/arto">
            <w:drawing>
              <wp:inline distT="0" distB="0" distL="0" distR="0" wp14:anchorId="6E64FCEF" wp14:editId="33484EB7">
                <wp:extent cx="4896485" cy="2874010"/>
                <wp:effectExtent l="0" t="0" r="18415" b="2540"/>
                <wp:docPr id="1126347229" name="Chart 1">
                  <a:extLst xmlns:a="http://schemas.openxmlformats.org/drawingml/2006/main">
                    <a:ext uri="{FF2B5EF4-FFF2-40B4-BE49-F238E27FC236}">
                      <a16:creationId xmlns:a16="http://schemas.microsoft.com/office/drawing/2014/main" id="{24F82F6E-B3D7-CFA8-BBEE-3915B6FAD9AE}"/>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1126347229" name="Chart 1">
                          <a:extLst>
                            <a:ext uri="{FF2B5EF4-FFF2-40B4-BE49-F238E27FC236}">
                              <a16:creationId xmlns:a16="http://schemas.microsoft.com/office/drawing/2014/main" id="{24F82F6E-B3D7-CFA8-BBEE-3915B6FAD9AE}"/>
                            </a:ext>
                          </a:extLst>
                        </pic:cNvPr>
                        <pic:cNvPicPr>
                          <a:picLocks noGrp="1" noRot="1" noChangeAspect="1" noMove="1" noResize="1" noEditPoints="1" noAdjustHandles="1" noChangeArrowheads="1" noChangeShapeType="1"/>
                        </pic:cNvPicPr>
                      </pic:nvPicPr>
                      <pic:blipFill>
                        <a:blip r:embed="rId36"/>
                        <a:stretch>
                          <a:fillRect/>
                        </a:stretch>
                      </pic:blipFill>
                      <pic:spPr>
                        <a:xfrm>
                          <a:off x="0" y="0"/>
                          <a:ext cx="4896485" cy="2874010"/>
                        </a:xfrm>
                        <a:prstGeom prst="rect">
                          <a:avLst/>
                        </a:prstGeom>
                      </pic:spPr>
                    </pic:pic>
                  </a:graphicData>
                </a:graphic>
              </wp:inline>
            </w:drawing>
          </mc:Fallback>
        </mc:AlternateContent>
      </w:r>
      <w:r w:rsidRPr="001213F7">
        <w:t>Source: Department of Treasury and Finance</w:t>
      </w:r>
    </w:p>
    <w:p w14:paraId="63B4BF68" w14:textId="77777777" w:rsidR="00900469" w:rsidRPr="001213F7" w:rsidRDefault="00900469">
      <w:pPr>
        <w:pStyle w:val="Note"/>
      </w:pPr>
      <w:r w:rsidRPr="001213F7">
        <w:t>Notes:</w:t>
      </w:r>
    </w:p>
    <w:p w14:paraId="281FD924" w14:textId="56A3B52E" w:rsidR="00900469" w:rsidRPr="001213F7" w:rsidRDefault="00900469">
      <w:pPr>
        <w:pStyle w:val="Note"/>
      </w:pPr>
      <w:r w:rsidRPr="001213F7">
        <w:t>(a)</w:t>
      </w:r>
      <w:r w:rsidRPr="001213F7">
        <w:tab/>
        <w:t xml:space="preserve">Percentage-point contributions to growth, rounded to nearest 0.25 percentage points. Real GSP is per cent growth. Not shown </w:t>
      </w:r>
      <w:r w:rsidR="004F1BD9" w:rsidRPr="001213F7">
        <w:t>are</w:t>
      </w:r>
      <w:r w:rsidRPr="001213F7">
        <w:t xml:space="preserve"> interstate trade, changes in inventories and a balancing item discrepancy; these components are forecast to net each other out and contribute 0.0 percentage points to GSP growth in 2026-27. Totals may not sum due to rounding.</w:t>
      </w:r>
    </w:p>
    <w:p w14:paraId="68DA042E" w14:textId="77777777" w:rsidR="00900469" w:rsidRPr="001213F7" w:rsidRDefault="00900469">
      <w:pPr>
        <w:pStyle w:val="Note"/>
      </w:pPr>
      <w:r w:rsidRPr="001213F7">
        <w:t>(b)</w:t>
      </w:r>
      <w:r w:rsidRPr="001213F7">
        <w:tab/>
        <w:t xml:space="preserve">Public demand includes Commonwealth, state and local government spending, and comprises both consumption and capital investment expenditure. </w:t>
      </w:r>
    </w:p>
    <w:p w14:paraId="0EDF4B34" w14:textId="77777777" w:rsidR="00900469" w:rsidRPr="001213F7" w:rsidRDefault="00900469">
      <w:pPr>
        <w:pStyle w:val="Note"/>
      </w:pPr>
      <w:r w:rsidRPr="001213F7">
        <w:t>(c)</w:t>
      </w:r>
      <w:r w:rsidRPr="001213F7">
        <w:tab/>
        <w:t>Ownership transfer costs are charges such as taxes or fees for services that enterprises incur on acquisition and disposal of assets.</w:t>
      </w:r>
    </w:p>
    <w:p w14:paraId="2754D259" w14:textId="77777777" w:rsidR="00900469" w:rsidRPr="001213F7" w:rsidRDefault="00900469"/>
    <w:p w14:paraId="7C166C9B" w14:textId="77777777" w:rsidR="00900469" w:rsidRPr="001213F7" w:rsidRDefault="00900469">
      <w:r w:rsidRPr="001213F7">
        <w:t xml:space="preserve">Household consumption picked up during 2025, supported by further growth in real household disposable income. Spending rose by 2.5 per cent over the year to December 2025 and consumption is growing in per capita terms. Over the past year, spending on discretionary goods and services increased, including on clothing, hospitality services, </w:t>
      </w:r>
      <w:r w:rsidRPr="001213F7" w:rsidDel="002D6F95">
        <w:t xml:space="preserve">and </w:t>
      </w:r>
      <w:r w:rsidRPr="001213F7">
        <w:t xml:space="preserve">recreation and culture. Spending on essential items, such as food and insurance, also rose (see Chart 2.5). </w:t>
      </w:r>
    </w:p>
    <w:p w14:paraId="03517311" w14:textId="77777777" w:rsidR="00900469" w:rsidRPr="001213F7" w:rsidRDefault="00900469">
      <w:r w:rsidRPr="001213F7">
        <w:t xml:space="preserve">The growth in households’ real disposable income has been driven by solid wages growth, reflecting ongoing strength in the labour market. Interest rate reductions during 2025 also added to household disposable income. While households have spent some of this income, they have also been adding to their savings, with the national household savings ratio rising further from its trough in 2023 when interest rates were at their recent peak (see Chart 2.5). </w:t>
      </w:r>
    </w:p>
    <w:p w14:paraId="66B81749" w14:textId="77777777" w:rsidR="00900469" w:rsidRPr="001213F7" w:rsidRDefault="00900469">
      <w:pPr>
        <w:pStyle w:val="TableHeading"/>
      </w:pPr>
      <w:r w:rsidRPr="001213F7">
        <w:lastRenderedPageBreak/>
        <w:t>Chart 2.5:</w:t>
      </w:r>
      <w:r w:rsidRPr="001213F7">
        <w:tab/>
        <w:t>Real Victorian consumer spending by category, and national household savings ratio</w:t>
      </w:r>
    </w:p>
    <w:p w14:paraId="3F6229A2" w14:textId="5AECB302" w:rsidR="00900469" w:rsidRPr="001213F7" w:rsidRDefault="00900469">
      <w:r w:rsidRPr="001213F7">
        <w:rPr>
          <w:noProof/>
        </w:rPr>
        <w:drawing>
          <wp:inline distT="0" distB="0" distL="0" distR="0" wp14:anchorId="78009FEA" wp14:editId="459C3429">
            <wp:extent cx="2381715" cy="3315810"/>
            <wp:effectExtent l="0" t="0" r="0" b="0"/>
            <wp:docPr id="99598282" name="Chart 1">
              <a:extLst xmlns:a="http://schemas.openxmlformats.org/drawingml/2006/main">
                <a:ext uri="{FF2B5EF4-FFF2-40B4-BE49-F238E27FC236}">
                  <a16:creationId xmlns:a16="http://schemas.microsoft.com/office/drawing/2014/main" id="{3B60533E-AACD-E35D-1500-43B52EA0B91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r w:rsidRPr="001213F7">
        <w:t xml:space="preserve"> </w:t>
      </w:r>
      <w:r w:rsidRPr="001213F7">
        <w:rPr>
          <w:noProof/>
        </w:rPr>
        <w:drawing>
          <wp:inline distT="0" distB="0" distL="0" distR="0" wp14:anchorId="6A19AE28" wp14:editId="763B22AC">
            <wp:extent cx="2380615" cy="3318036"/>
            <wp:effectExtent l="0" t="0" r="635" b="0"/>
            <wp:docPr id="1358571659" name="Chart 1">
              <a:extLst xmlns:a="http://schemas.openxmlformats.org/drawingml/2006/main">
                <a:ext uri="{FF2B5EF4-FFF2-40B4-BE49-F238E27FC236}">
                  <a16:creationId xmlns:a16="http://schemas.microsoft.com/office/drawing/2014/main" id="{DAFDF4E6-CD40-6881-538D-5950D36916E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33E3FBBA" w14:textId="77777777" w:rsidR="00900469" w:rsidRPr="001213F7" w:rsidRDefault="00900469">
      <w:pPr>
        <w:pStyle w:val="Source"/>
      </w:pPr>
      <w:r w:rsidRPr="001213F7">
        <w:t xml:space="preserve">Sources: Australian Bureau of Statistics; Department of Treasury and Finance </w:t>
      </w:r>
    </w:p>
    <w:p w14:paraId="4C3CDA2C" w14:textId="77777777" w:rsidR="00900469" w:rsidRPr="001213F7" w:rsidRDefault="00900469">
      <w:pPr>
        <w:pStyle w:val="Note"/>
      </w:pPr>
      <w:r w:rsidRPr="001213F7">
        <w:t>Notes:</w:t>
      </w:r>
    </w:p>
    <w:p w14:paraId="558AAE63" w14:textId="77777777" w:rsidR="00900469" w:rsidRPr="001213F7" w:rsidRDefault="00900469">
      <w:pPr>
        <w:pStyle w:val="Note"/>
      </w:pPr>
      <w:r w:rsidRPr="001213F7">
        <w:t>(a)</w:t>
      </w:r>
      <w:r w:rsidRPr="001213F7">
        <w:tab/>
        <w:t>‘Transport services’ and ‘net expenditure interstate’ are excluded from the discretionary and essential categories due to limitations in reliably allocating these items between categories, although they are included in the total.</w:t>
      </w:r>
    </w:p>
    <w:p w14:paraId="4450F517" w14:textId="77777777" w:rsidR="00900469" w:rsidRPr="001213F7" w:rsidRDefault="00900469">
      <w:pPr>
        <w:pStyle w:val="Note"/>
      </w:pPr>
      <w:r w:rsidRPr="001213F7">
        <w:t>(b)</w:t>
      </w:r>
      <w:r w:rsidRPr="001213F7">
        <w:tab/>
        <w:t>Data are for Australia; state</w:t>
      </w:r>
      <w:r w:rsidRPr="001213F7" w:rsidDel="00A23DCB">
        <w:t xml:space="preserve"> </w:t>
      </w:r>
      <w:r w:rsidRPr="001213F7">
        <w:t xml:space="preserve">data are unavailable. </w:t>
      </w:r>
    </w:p>
    <w:p w14:paraId="70D7471F" w14:textId="77777777" w:rsidR="00900469" w:rsidRPr="001213F7" w:rsidRDefault="00900469">
      <w:pPr>
        <w:pStyle w:val="Note"/>
      </w:pPr>
    </w:p>
    <w:p w14:paraId="0DD07351" w14:textId="77777777" w:rsidR="00900469" w:rsidRPr="001213F7" w:rsidRDefault="00900469">
      <w:pPr>
        <w:keepNext/>
      </w:pPr>
      <w:r w:rsidRPr="001213F7">
        <w:t>Looking ahead, further moderate growth in real incomes is expected to continue to support household spending, with households’ financial resilience aided by elevated savings reserves built up over recent years. Nevertheless, growth in household consumption is forecast to ease in 2026</w:t>
      </w:r>
      <w:r w:rsidRPr="001213F7">
        <w:noBreakHyphen/>
        <w:t>27, as recent increases in inflation and rising interest rates weigh on disposable income and spending. In addition, surveyed consumer sentiment has recently deteriorated, with these domestic developments and the Middle East conflict weighing on household confidence and expectations for the year ahead, which may further impinge on household discretionary spending.</w:t>
      </w:r>
    </w:p>
    <w:p w14:paraId="10E49211" w14:textId="2E7EF0F7" w:rsidR="00900469" w:rsidRPr="001213F7" w:rsidRDefault="00900469">
      <w:r w:rsidRPr="001213F7">
        <w:t>Business investment increased during the first half of 2025</w:t>
      </w:r>
      <w:r w:rsidRPr="001213F7">
        <w:noBreakHyphen/>
        <w:t xml:space="preserve">26. Recent growth has been driven by machinery and equipment investment and non-residential building construction, as well as continued strong investment in intellectual property products such as computer software and </w:t>
      </w:r>
      <w:r w:rsidR="00DC3807" w:rsidRPr="001213F7">
        <w:t xml:space="preserve">activities such as </w:t>
      </w:r>
      <w:r w:rsidRPr="001213F7">
        <w:t xml:space="preserve">research and development. Measures of business conditions and confidence improved in the past year, although both have declined more recently after the RBA increased interest rates and the onset of the conflict in the Middle East. </w:t>
      </w:r>
    </w:p>
    <w:p w14:paraId="2BC44D06" w14:textId="77777777" w:rsidR="00900469" w:rsidRPr="001213F7" w:rsidRDefault="00900469">
      <w:pPr>
        <w:keepNext/>
      </w:pPr>
      <w:r w:rsidRPr="001213F7">
        <w:lastRenderedPageBreak/>
        <w:t>Nevertheless, business investment is expected to grow relatively strongly over the next few years. Victorian firms surveyed by the Australian Bureau of Statistics report strong growth in expected investment in 2025</w:t>
      </w:r>
      <w:r w:rsidRPr="001213F7">
        <w:noBreakHyphen/>
        <w:t>26 and 2026</w:t>
      </w:r>
      <w:r w:rsidRPr="001213F7">
        <w:noBreakHyphen/>
        <w:t xml:space="preserve">27. Investment related to data centre construction and the renewable energy transition are key factors driving the strong investment outlook (see Box 2.2). However, uncertainty and potential supply disruptions arising from the conflict in the Middle East, which arose since the latest survey of firms’ intentions, may constrain near-term growth in business investment. </w:t>
      </w:r>
    </w:p>
    <w:p w14:paraId="2F869536" w14:textId="77777777" w:rsidR="00AF425B" w:rsidRPr="001213F7" w:rsidRDefault="00AF425B" w:rsidP="00AF425B">
      <w:pPr>
        <w:pStyle w:val="Note"/>
      </w:pPr>
    </w:p>
    <w:p w14:paraId="24CBB786" w14:textId="4C80C123" w:rsidR="00900469" w:rsidRPr="001213F7" w:rsidRDefault="00900469">
      <w:pPr>
        <w:pStyle w:val="ShadedBoxText"/>
        <w:rPr>
          <w:rFonts w:asciiTheme="majorHAnsi" w:hAnsiTheme="majorHAnsi" w:cstheme="majorHAnsi"/>
          <w:b/>
          <w:bCs/>
          <w:sz w:val="20"/>
          <w:szCs w:val="20"/>
        </w:rPr>
      </w:pPr>
      <w:r w:rsidRPr="001213F7">
        <w:rPr>
          <w:rFonts w:asciiTheme="majorHAnsi" w:hAnsiTheme="majorHAnsi" w:cstheme="majorHAnsi"/>
          <w:b/>
          <w:bCs/>
          <w:sz w:val="20"/>
          <w:szCs w:val="20"/>
        </w:rPr>
        <w:t xml:space="preserve">Box 2.2: </w:t>
      </w:r>
      <w:r w:rsidR="00091412" w:rsidRPr="001213F7">
        <w:rPr>
          <w:rFonts w:asciiTheme="majorHAnsi" w:hAnsiTheme="majorHAnsi" w:cstheme="majorHAnsi"/>
          <w:b/>
          <w:bCs/>
          <w:sz w:val="20"/>
          <w:szCs w:val="20"/>
        </w:rPr>
        <w:t xml:space="preserve"> </w:t>
      </w:r>
      <w:r w:rsidRPr="001213F7">
        <w:rPr>
          <w:rFonts w:asciiTheme="majorHAnsi" w:hAnsiTheme="majorHAnsi" w:cstheme="majorHAnsi"/>
          <w:b/>
          <w:bCs/>
          <w:sz w:val="20"/>
          <w:szCs w:val="20"/>
        </w:rPr>
        <w:t>Trends in Victorian business investment</w:t>
      </w:r>
    </w:p>
    <w:p w14:paraId="364C4913" w14:textId="77777777" w:rsidR="00900469" w:rsidRPr="001213F7" w:rsidRDefault="00900469">
      <w:pPr>
        <w:pStyle w:val="ShadedBoxText"/>
      </w:pPr>
      <w:r w:rsidRPr="001213F7">
        <w:t>Victorian business investment has grown strongly over the past few years, and real investment per worker remains near record levels (see Chart 2.6). This growth has been driven increasingly by structural transitions in the economy, including data centre investment and the transition to renewable energy. These factors are expected to remain key drivers of Victorian business investment over the next few years.</w:t>
      </w:r>
    </w:p>
    <w:p w14:paraId="279C3CFD" w14:textId="77777777" w:rsidR="00900469" w:rsidRPr="001213F7" w:rsidRDefault="00900469">
      <w:pPr>
        <w:pStyle w:val="ShadedBoxHeading"/>
      </w:pPr>
      <w:r w:rsidRPr="001213F7">
        <w:t xml:space="preserve">Chart 2.6: </w:t>
      </w:r>
      <w:r w:rsidRPr="001213F7">
        <w:tab/>
        <w:t>Victorian business investment per worker</w:t>
      </w:r>
    </w:p>
    <w:p w14:paraId="2FDC7CA5" w14:textId="77777777" w:rsidR="00900469" w:rsidRPr="001213F7" w:rsidRDefault="00900469">
      <w:pPr>
        <w:pStyle w:val="ShadedBoxText"/>
        <w:rPr>
          <w:rFonts w:asciiTheme="majorHAnsi" w:hAnsiTheme="majorHAnsi" w:cstheme="majorHAnsi"/>
          <w:sz w:val="14"/>
          <w:szCs w:val="14"/>
        </w:rPr>
      </w:pPr>
      <w:r w:rsidRPr="001213F7">
        <w:rPr>
          <w:noProof/>
        </w:rPr>
        <w:drawing>
          <wp:inline distT="0" distB="0" distL="0" distR="0" wp14:anchorId="55AE2123" wp14:editId="143A10E9">
            <wp:extent cx="4896485" cy="2605414"/>
            <wp:effectExtent l="0" t="0" r="0" b="0"/>
            <wp:docPr id="1436857750" name="Chart 1">
              <a:extLst xmlns:a="http://schemas.openxmlformats.org/drawingml/2006/main">
                <a:ext uri="{FF2B5EF4-FFF2-40B4-BE49-F238E27FC236}">
                  <a16:creationId xmlns:a16="http://schemas.microsoft.com/office/drawing/2014/main" id="{F9C09AD2-EB4E-8FBD-E5FB-7768C5F7EC9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r w:rsidRPr="001213F7">
        <w:rPr>
          <w:rStyle w:val="SourceChar"/>
        </w:rPr>
        <w:t>Sources: Australian Bureau of Statistics; Department of Treasury and Finance</w:t>
      </w:r>
    </w:p>
    <w:p w14:paraId="38A68B67" w14:textId="77777777" w:rsidR="00900469" w:rsidRPr="001213F7" w:rsidRDefault="00900469">
      <w:pPr>
        <w:pStyle w:val="ShadedBoxText"/>
      </w:pPr>
      <w:r w:rsidRPr="001213F7">
        <w:t>Global investment in data centres has expanded rapidly, as the need for computer processing power has accelerated alongside rapid developments in artificial intelligence technology. Australia is a key data centre hub in the Asia-Pacific region, and Melbourne is in the top 10 markets in the region.</w:t>
      </w:r>
    </w:p>
    <w:p w14:paraId="683EB081" w14:textId="77777777" w:rsidR="00900469" w:rsidRPr="001213F7" w:rsidRDefault="00900469">
      <w:pPr>
        <w:pStyle w:val="ShadedBoxText"/>
      </w:pPr>
      <w:r w:rsidRPr="001213F7">
        <w:t xml:space="preserve">Data centre construction contributes to business investment through both the physical warehouses and the specialised computing equipment itself. The significant uptick in the construction of physical data centres is evident in data on building approvals and work done on Victorian building construction, where data centres are a rapidly growing proportion of overall commercial building investment (see Chart 2.7). Alongside this rise in building construction, investment in computing equipment has driven strong growth in machinery and equipment investment. </w:t>
      </w:r>
    </w:p>
    <w:p w14:paraId="480626A5" w14:textId="77777777" w:rsidR="00900469" w:rsidRPr="001213F7" w:rsidRDefault="00900469">
      <w:pPr>
        <w:pStyle w:val="Note"/>
      </w:pPr>
    </w:p>
    <w:p w14:paraId="2F05635B" w14:textId="77777777" w:rsidR="00900469" w:rsidRPr="001213F7" w:rsidRDefault="00900469">
      <w:pPr>
        <w:pStyle w:val="ShadedBoxHeading"/>
        <w:ind w:left="1022" w:hanging="1022"/>
      </w:pPr>
      <w:r w:rsidRPr="001213F7">
        <w:lastRenderedPageBreak/>
        <w:t>Chart 2.7:</w:t>
      </w:r>
      <w:r w:rsidRPr="001213F7" w:rsidDel="00A82406">
        <w:t xml:space="preserve"> </w:t>
      </w:r>
      <w:r w:rsidRPr="001213F7">
        <w:tab/>
        <w:t xml:space="preserve">Value of Victorian private commercial building work done and approvals </w:t>
      </w:r>
    </w:p>
    <w:p w14:paraId="7CC1649C" w14:textId="77777777" w:rsidR="00900469" w:rsidRPr="001213F7" w:rsidRDefault="00900469">
      <w:pPr>
        <w:pStyle w:val="ShadedBoxSource"/>
        <w:spacing w:before="0"/>
      </w:pPr>
      <w:r w:rsidRPr="001213F7">
        <w:rPr>
          <w:noProof/>
        </w:rPr>
        <mc:AlternateContent>
          <mc:Choice Requires="wpg">
            <w:drawing>
              <wp:inline distT="0" distB="0" distL="0" distR="0" wp14:anchorId="12A78247" wp14:editId="6FDAE084">
                <wp:extent cx="4751705" cy="2336800"/>
                <wp:effectExtent l="0" t="0" r="0" b="0"/>
                <wp:docPr id="722588650" name="Group 4"/>
                <wp:cNvGraphicFramePr/>
                <a:graphic xmlns:a="http://schemas.openxmlformats.org/drawingml/2006/main">
                  <a:graphicData uri="http://schemas.microsoft.com/office/word/2010/wordprocessingGroup">
                    <wpg:wgp>
                      <wpg:cNvGrpSpPr/>
                      <wpg:grpSpPr>
                        <a:xfrm>
                          <a:off x="0" y="0"/>
                          <a:ext cx="4751705" cy="2336800"/>
                          <a:chOff x="0" y="0"/>
                          <a:chExt cx="4751705" cy="2398395"/>
                        </a:xfrm>
                      </wpg:grpSpPr>
                      <wpg:graphicFrame>
                        <wpg:cNvPr id="1998487680" name="Chart 1"/>
                        <wpg:cNvFrPr/>
                        <wpg:xfrm>
                          <a:off x="0" y="0"/>
                          <a:ext cx="4751705" cy="2398395"/>
                        </wpg:xfrm>
                        <a:graphic>
                          <a:graphicData uri="http://schemas.openxmlformats.org/drawingml/2006/chart">
                            <c:chart xmlns:c="http://schemas.openxmlformats.org/drawingml/2006/chart" xmlns:r="http://schemas.openxmlformats.org/officeDocument/2006/relationships" r:id="rId40"/>
                          </a:graphicData>
                        </a:graphic>
                      </wpg:graphicFrame>
                      <wpg:graphicFrame>
                        <wpg:cNvPr id="1782855293" name="Chart 2"/>
                        <wpg:cNvFrPr/>
                        <wpg:xfrm>
                          <a:off x="203200" y="215900"/>
                          <a:ext cx="2250440" cy="2056765"/>
                        </wpg:xfrm>
                        <a:graphic>
                          <a:graphicData uri="http://schemas.openxmlformats.org/drawingml/2006/chart">
                            <c:chart xmlns:c="http://schemas.openxmlformats.org/drawingml/2006/chart" xmlns:r="http://schemas.openxmlformats.org/officeDocument/2006/relationships" r:id="rId41"/>
                          </a:graphicData>
                        </a:graphic>
                      </wpg:graphicFrame>
                    </wpg:wgp>
                  </a:graphicData>
                </a:graphic>
              </wp:inline>
            </w:drawing>
          </mc:Choice>
          <mc:Fallback xmlns:arto="http://schemas.microsoft.com/office/word/2006/arto">
            <w:pict>
              <v:group w14:anchorId="7E0CFA09" id="Group 4" o:spid="_x0000_s1026" style="width:374.15pt;height:184pt;mso-position-horizontal-relative:char;mso-position-vertical-relative:line" coordsize="47517,23983" o:gfxdata="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hart 1" o:spid="_x0000_s1027" type="#_x0000_t75" style="position:absolute;left:487;top:563;width:45537;height:2308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">
                  <v:imagedata r:id="rId42" o:title=""/>
                  <o:lock v:ext="edit" aspectratio="f"/>
                </v:shape>
                <v:shape id="Chart 2" o:spid="_x0000_s1028" type="#_x0000_t75" style="position:absolute;left:2255;top:2314;width:20909;height:1927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">
                  <v:imagedata r:id="rId43" o:title=""/>
                  <o:lock v:ext="edit" aspectratio="f"/>
                </v:shape>
                <w10:anchorlock/>
              </v:group>
            </w:pict>
          </mc:Fallback>
        </mc:AlternateContent>
      </w:r>
    </w:p>
    <w:p w14:paraId="223DAA9C" w14:textId="77777777" w:rsidR="00900469" w:rsidRPr="001213F7" w:rsidRDefault="00900469">
      <w:pPr>
        <w:pStyle w:val="ShadedBoxSource"/>
        <w:spacing w:before="0"/>
      </w:pPr>
      <w:r w:rsidRPr="001213F7">
        <w:t>Source: Australian Bureau of Statistics</w:t>
      </w:r>
    </w:p>
    <w:p w14:paraId="32C6F8EA" w14:textId="77777777" w:rsidR="00900469" w:rsidRPr="001213F7" w:rsidRDefault="00900469">
      <w:pPr>
        <w:pStyle w:val="ShadedBoxNote"/>
      </w:pPr>
      <w:r w:rsidRPr="001213F7">
        <w:t xml:space="preserve">Notes: </w:t>
      </w:r>
    </w:p>
    <w:p w14:paraId="16480579" w14:textId="3ABE872F" w:rsidR="00900469" w:rsidRPr="001213F7" w:rsidRDefault="00900469" w:rsidP="00436912">
      <w:pPr>
        <w:pStyle w:val="ShadedBoxNote"/>
      </w:pPr>
      <w:r w:rsidRPr="001213F7">
        <w:t>(a)</w:t>
      </w:r>
      <w:r w:rsidR="00436912" w:rsidRPr="001213F7">
        <w:tab/>
      </w:r>
      <w:r w:rsidRPr="001213F7">
        <w:t>Four-quarter sum.</w:t>
      </w:r>
    </w:p>
    <w:p w14:paraId="6406ABFA" w14:textId="643A7B92" w:rsidR="00900469" w:rsidRPr="001213F7" w:rsidRDefault="00900469" w:rsidP="00436912">
      <w:pPr>
        <w:pStyle w:val="ShadedBoxNote"/>
        <w:rPr>
          <w:rFonts w:cs="Calibri"/>
          <w:b/>
          <w:szCs w:val="14"/>
        </w:rPr>
      </w:pPr>
      <w:r w:rsidRPr="001213F7">
        <w:t>(b)</w:t>
      </w:r>
      <w:r w:rsidR="00436912" w:rsidRPr="001213F7">
        <w:tab/>
      </w:r>
      <w:r w:rsidRPr="001213F7">
        <w:t>Twelve-month sum.</w:t>
      </w:r>
    </w:p>
    <w:p w14:paraId="6F00786C" w14:textId="77777777" w:rsidR="00900469" w:rsidRPr="001213F7" w:rsidRDefault="00900469" w:rsidP="00436912">
      <w:pPr>
        <w:pStyle w:val="ShadedBoxNote"/>
      </w:pPr>
      <w:r w:rsidRPr="001213F7">
        <w:t>(c)</w:t>
      </w:r>
      <w:r w:rsidRPr="001213F7">
        <w:tab/>
        <w:t>Refers to the ABS classification ‘commercial not elsewhere specified’, which mainly comprises data centres.</w:t>
      </w:r>
    </w:p>
    <w:p w14:paraId="0018C8F1" w14:textId="4EFE7232" w:rsidR="00900469" w:rsidRPr="001213F7" w:rsidRDefault="00900469">
      <w:pPr>
        <w:pStyle w:val="ShadedBoxNote"/>
        <w:ind w:left="0" w:firstLine="0"/>
      </w:pPr>
    </w:p>
    <w:p w14:paraId="51E162D9" w14:textId="77777777" w:rsidR="00900469" w:rsidRPr="001213F7" w:rsidRDefault="00900469">
      <w:pPr>
        <w:pStyle w:val="ShadedBoxText"/>
      </w:pPr>
      <w:r w:rsidRPr="001213F7">
        <w:t>The transition to renewable energy is also an important driver of Victoria’s business investment and will support engineering investment going forward. As major Victorian road projects reach completion, an increasing proportion of Victoria’s engineering construction pipeline will be driven by renewable energy projects, maintaining a pipeline of engineering work yet to be done (see Chart 2.8).</w:t>
      </w:r>
    </w:p>
    <w:p w14:paraId="4E99F97F" w14:textId="77777777" w:rsidR="00900469" w:rsidRPr="001213F7" w:rsidRDefault="00900469">
      <w:pPr>
        <w:pStyle w:val="ShadedBoxHeading"/>
      </w:pPr>
      <w:r w:rsidRPr="001213F7">
        <w:t xml:space="preserve">Chart 2.8: </w:t>
      </w:r>
      <w:r w:rsidRPr="001213F7">
        <w:tab/>
        <w:t xml:space="preserve">Value of private engineering construction work yet to be done in Victoria </w:t>
      </w:r>
      <w:r w:rsidRPr="001213F7">
        <w:rPr>
          <w:vertAlign w:val="superscript"/>
        </w:rPr>
        <w:t>(a)(b)</w:t>
      </w:r>
    </w:p>
    <w:p w14:paraId="04055C60" w14:textId="77777777" w:rsidR="00900469" w:rsidRPr="001213F7" w:rsidRDefault="00900469">
      <w:pPr>
        <w:pStyle w:val="ShadedBoxHeading"/>
      </w:pPr>
      <w:r w:rsidRPr="001213F7">
        <w:rPr>
          <w:noProof/>
        </w:rPr>
        <w:drawing>
          <wp:inline distT="0" distB="0" distL="0" distR="0" wp14:anchorId="3BB52ACD" wp14:editId="5305C482">
            <wp:extent cx="4869180" cy="2395182"/>
            <wp:effectExtent l="0" t="0" r="0" b="0"/>
            <wp:docPr id="1700756914" name="Chart 1">
              <a:extLst xmlns:a="http://schemas.openxmlformats.org/drawingml/2006/main">
                <a:ext uri="{FF2B5EF4-FFF2-40B4-BE49-F238E27FC236}">
                  <a16:creationId xmlns:a16="http://schemas.microsoft.com/office/drawing/2014/main" id="{B7F6E056-C4A1-1CF0-8C7F-02F87C6E256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5CB57D2E" w14:textId="77777777" w:rsidR="00900469" w:rsidRPr="001213F7" w:rsidRDefault="00900469">
      <w:pPr>
        <w:pStyle w:val="ShadedBoxSource"/>
      </w:pPr>
      <w:r w:rsidRPr="001213F7">
        <w:t>Source: Australian Bureau of Statistics</w:t>
      </w:r>
    </w:p>
    <w:p w14:paraId="3990314B" w14:textId="77777777" w:rsidR="00900469" w:rsidRPr="001213F7" w:rsidRDefault="00900469">
      <w:pPr>
        <w:pStyle w:val="ShadedBoxNote"/>
      </w:pPr>
      <w:r w:rsidRPr="001213F7">
        <w:t xml:space="preserve">Notes: </w:t>
      </w:r>
    </w:p>
    <w:p w14:paraId="6BBFCD14" w14:textId="77777777" w:rsidR="00900469" w:rsidRPr="001213F7" w:rsidRDefault="00900469">
      <w:pPr>
        <w:pStyle w:val="ShadedBoxNote"/>
      </w:pPr>
      <w:r w:rsidRPr="001213F7">
        <w:t>(a)</w:t>
      </w:r>
      <w:r w:rsidRPr="001213F7">
        <w:tab/>
        <w:t>The value of work remaining to be done on jobs under construction at the end of the period.</w:t>
      </w:r>
    </w:p>
    <w:p w14:paraId="382B795E" w14:textId="77777777" w:rsidR="00900469" w:rsidRPr="001213F7" w:rsidRDefault="00900469">
      <w:pPr>
        <w:pStyle w:val="ShadedBoxNote"/>
      </w:pPr>
      <w:r w:rsidRPr="001213F7">
        <w:t>(b)</w:t>
      </w:r>
      <w:r w:rsidRPr="001213F7">
        <w:tab/>
        <w:t>Four-quarter moving average.</w:t>
      </w:r>
    </w:p>
    <w:p w14:paraId="76DBE3C9" w14:textId="77777777" w:rsidR="00900469" w:rsidRPr="001213F7" w:rsidRDefault="00900469">
      <w:r w:rsidRPr="001213F7">
        <w:lastRenderedPageBreak/>
        <w:t xml:space="preserve">Dwelling investment grew strongly in 2025, reaching its highest level in six years. This increase was supported by an elevated pipeline of work to be done, ongoing improvement in labour availability, and declining interest rates. </w:t>
      </w:r>
    </w:p>
    <w:p w14:paraId="6CBE91A6" w14:textId="08143ADE" w:rsidR="00900469" w:rsidRPr="001213F7" w:rsidRDefault="00900469">
      <w:r w:rsidRPr="001213F7">
        <w:t>Dwelling investment is forecast to grow again in 2026</w:t>
      </w:r>
      <w:r w:rsidRPr="001213F7">
        <w:noBreakHyphen/>
        <w:t xml:space="preserve">27, as builders continue to work through the elevated pipeline of residential building projects. However, growth </w:t>
      </w:r>
      <w:r w:rsidR="008A4A8A" w:rsidRPr="001213F7">
        <w:t xml:space="preserve">is expected to </w:t>
      </w:r>
      <w:r w:rsidRPr="001213F7">
        <w:t>be tempered by lower demand for new dwellings due to rising interest rates, which are expected to weigh on house prices, as well as higher costs of construction inputs like fuel, concrete and PVC piping. Dwelling investment is expected to pick up from 2028-29 onwards, supported by an easing in interest rates once inflation pressures decline.</w:t>
      </w:r>
    </w:p>
    <w:p w14:paraId="65E6826A" w14:textId="069221F7" w:rsidR="00900469" w:rsidRPr="001213F7" w:rsidRDefault="00900469">
      <w:r w:rsidRPr="001213F7">
        <w:t>Public demand growth has moderated over the past year, and growth in 2025</w:t>
      </w:r>
      <w:r w:rsidRPr="001213F7">
        <w:noBreakHyphen/>
        <w:t>26 and 2026</w:t>
      </w:r>
      <w:r w:rsidRPr="001213F7">
        <w:noBreakHyphen/>
        <w:t>27 is forecast to be below the rates recorded in the past couple of years. This reflects more moderate growth in government consumption spending and relatively stable investment levels. Commonwealth consumption is expected to remain elevated due to spending across social benefits programs.</w:t>
      </w:r>
    </w:p>
    <w:p w14:paraId="5726191D" w14:textId="77777777" w:rsidR="00900469" w:rsidRPr="001213F7" w:rsidRDefault="00900469">
      <w:r w:rsidRPr="001213F7">
        <w:t>Net trade is forecast to detract from GSP growth in 2026</w:t>
      </w:r>
      <w:r w:rsidRPr="001213F7">
        <w:noBreakHyphen/>
        <w:t xml:space="preserve">27, with growth in imports expected to exceed growth in exports. Imports of goods and services are expected to rise alongside a further increase in household spending and solid growth in business investment – including machinery and equipment investment linked to expanding data centre infrastructure, most of which is imported. </w:t>
      </w:r>
    </w:p>
    <w:p w14:paraId="6B9E49FF" w14:textId="77777777" w:rsidR="00900469" w:rsidRPr="001213F7" w:rsidRDefault="00900469">
      <w:r w:rsidRPr="001213F7">
        <w:t>Goods exports are forecast to decline slightly in 2025</w:t>
      </w:r>
      <w:r w:rsidRPr="001213F7">
        <w:noBreakHyphen/>
        <w:t>26, largely due to lower agricultural exports following drought conditions. This has occurred alongside the economic impact of the January 2026 bushfires (see Box 2.3). The Australian Bureau of Agricultural and Resource Economics and Sciences forecasts livestock slaughter rates and production to ease as farmers rebuild their herds following the earlier impacts of drought. A modest recovery in agricultural exports is expected in 2026</w:t>
      </w:r>
      <w:r w:rsidRPr="001213F7">
        <w:noBreakHyphen/>
        <w:t xml:space="preserve">27 as the state recovers from dry conditions. </w:t>
      </w:r>
    </w:p>
    <w:p w14:paraId="32899B06" w14:textId="41567860" w:rsidR="00900469" w:rsidRPr="001213F7" w:rsidRDefault="00900469">
      <w:r w:rsidRPr="001213F7">
        <w:t>Services exports are forecast to grow modestly in 2026</w:t>
      </w:r>
      <w:r w:rsidRPr="001213F7">
        <w:noBreakHyphen/>
        <w:t>27, reflecting growth in tourism and education exports. However, increased global uncertainty due to the Middle East conflict, fuel supply shortages, and rising airfare costs could discourage international travel</w:t>
      </w:r>
      <w:r w:rsidR="000D4FA9" w:rsidRPr="001213F7">
        <w:t> </w:t>
      </w:r>
      <w:r w:rsidRPr="001213F7">
        <w:t>in the near term.</w:t>
      </w:r>
    </w:p>
    <w:p w14:paraId="640CF17F" w14:textId="027E3F60" w:rsidR="00900469" w:rsidRPr="001213F7" w:rsidRDefault="00900469">
      <w:pPr>
        <w:pStyle w:val="ShadedBoxHeading"/>
        <w:pageBreakBefore/>
        <w:pBdr>
          <w:bottom w:val="single" w:sz="4" w:space="3" w:color="auto"/>
        </w:pBdr>
      </w:pPr>
      <w:r w:rsidRPr="001213F7">
        <w:lastRenderedPageBreak/>
        <w:t xml:space="preserve">Box 2.3: </w:t>
      </w:r>
      <w:r w:rsidR="00091412" w:rsidRPr="001213F7">
        <w:t xml:space="preserve"> </w:t>
      </w:r>
      <w:r w:rsidRPr="001213F7">
        <w:t>The economic impact of the summer bushfires</w:t>
      </w:r>
    </w:p>
    <w:p w14:paraId="5F997771" w14:textId="0AEC3DFB" w:rsidR="00900469" w:rsidRPr="001213F7" w:rsidRDefault="00900469">
      <w:pPr>
        <w:pStyle w:val="ShadedBoxText"/>
        <w:keepNext/>
        <w:pBdr>
          <w:bottom w:val="single" w:sz="4" w:space="3" w:color="auto"/>
        </w:pBdr>
        <w:rPr>
          <w:rFonts w:ascii="Garamond" w:hAnsi="Garamond" w:cs="Calibri"/>
        </w:rPr>
      </w:pPr>
      <w:r w:rsidRPr="001213F7">
        <w:rPr>
          <w:rFonts w:ascii="Garamond" w:hAnsi="Garamond" w:cs="Calibri"/>
        </w:rPr>
        <w:t>In January 2026, catastrophic fires in parts of Victoria devasted many regional communities. Major fire zones included areas in the northeast and central regions, notably</w:t>
      </w:r>
      <w:r w:rsidR="000D4FA9" w:rsidRPr="001213F7">
        <w:rPr>
          <w:rFonts w:ascii="Garamond" w:hAnsi="Garamond" w:cs="Calibri"/>
        </w:rPr>
        <w:t> </w:t>
      </w:r>
      <w:r w:rsidRPr="001213F7">
        <w:rPr>
          <w:rFonts w:ascii="Garamond" w:hAnsi="Garamond" w:cs="Calibri"/>
        </w:rPr>
        <w:t>Walwa, Longwood, Alexandra and Harcourt, as well as parts of the Otways, Gippsland and parts of the state’s west. The fires burned through around 440 000 hectares</w:t>
      </w:r>
      <w:r w:rsidR="000D4FA9" w:rsidRPr="001213F7">
        <w:rPr>
          <w:rFonts w:ascii="Garamond" w:hAnsi="Garamond" w:cs="Calibri"/>
        </w:rPr>
        <w:t> </w:t>
      </w:r>
      <w:r w:rsidRPr="001213F7">
        <w:rPr>
          <w:rFonts w:ascii="Garamond" w:hAnsi="Garamond" w:cs="Calibri"/>
        </w:rPr>
        <w:t>of land, and more than 1 500 buildings as well as critical infrastructure.</w:t>
      </w:r>
    </w:p>
    <w:p w14:paraId="1D880FE1" w14:textId="77777777" w:rsidR="00900469" w:rsidRPr="001213F7" w:rsidRDefault="00900469">
      <w:pPr>
        <w:pStyle w:val="ShadedBoxText"/>
        <w:pBdr>
          <w:bottom w:val="single" w:sz="4" w:space="3" w:color="auto"/>
        </w:pBdr>
        <w:rPr>
          <w:rFonts w:ascii="Garamond" w:hAnsi="Garamond" w:cs="Calibri"/>
        </w:rPr>
      </w:pPr>
      <w:r w:rsidRPr="001213F7">
        <w:rPr>
          <w:rFonts w:ascii="Garamond" w:hAnsi="Garamond" w:cs="Calibri"/>
        </w:rPr>
        <w:t xml:space="preserve">The gross economic cost of the bushfires in affected regions is estimated at about $1.3 billion in 2025-26, or about 0.2 per cent of real GSP (noting this estimate does not incorporate the significant social or environmental costs of the bushfires, including the negative effects on wellbeing and mental health). In terms of the agricultural industry, softwood plantations and livestock businesses were the most affected. </w:t>
      </w:r>
    </w:p>
    <w:p w14:paraId="07D5FED0" w14:textId="5D973F76" w:rsidR="00900469" w:rsidRPr="001213F7" w:rsidRDefault="00900469">
      <w:pPr>
        <w:pStyle w:val="ShadedBoxText"/>
        <w:keepNext/>
        <w:pBdr>
          <w:bottom w:val="single" w:sz="4" w:space="3" w:color="auto"/>
        </w:pBdr>
        <w:rPr>
          <w:rFonts w:ascii="Garamond" w:hAnsi="Garamond"/>
        </w:rPr>
      </w:pPr>
      <w:r w:rsidRPr="001213F7">
        <w:rPr>
          <w:rFonts w:ascii="Garamond" w:hAnsi="Garamond" w:cs="Calibri"/>
        </w:rPr>
        <w:t>Over the medium term, recovery and reconstruction of communities and business is likely</w:t>
      </w:r>
      <w:r w:rsidR="000D4FA9" w:rsidRPr="001213F7">
        <w:rPr>
          <w:rFonts w:ascii="Garamond" w:hAnsi="Garamond" w:cs="Calibri"/>
        </w:rPr>
        <w:t> </w:t>
      </w:r>
      <w:r w:rsidRPr="001213F7">
        <w:rPr>
          <w:rFonts w:ascii="Garamond" w:hAnsi="Garamond" w:cs="Calibri"/>
        </w:rPr>
        <w:t>to contribute to economic activity. This includes the repair and rebuild of homes and structures, and an increase in government spending to repair infrastructure. The</w:t>
      </w:r>
      <w:r w:rsidR="000D4FA9" w:rsidRPr="001213F7">
        <w:rPr>
          <w:rFonts w:ascii="Garamond" w:hAnsi="Garamond" w:cs="Calibri"/>
        </w:rPr>
        <w:t> </w:t>
      </w:r>
      <w:r w:rsidRPr="001213F7">
        <w:rPr>
          <w:rFonts w:ascii="Garamond" w:hAnsi="Garamond" w:cs="Calibri"/>
        </w:rPr>
        <w:t>Victorian Government, with assistance from the Commonwealth, has provided $421.5</w:t>
      </w:r>
      <w:r w:rsidR="000D4FA9" w:rsidRPr="001213F7">
        <w:rPr>
          <w:rFonts w:ascii="Garamond" w:hAnsi="Garamond" w:cs="Calibri"/>
        </w:rPr>
        <w:t> </w:t>
      </w:r>
      <w:r w:rsidRPr="001213F7">
        <w:rPr>
          <w:rFonts w:ascii="Garamond" w:hAnsi="Garamond" w:cs="Calibri"/>
        </w:rPr>
        <w:t xml:space="preserve">million to help communities and businesses recover. </w:t>
      </w:r>
    </w:p>
    <w:p w14:paraId="379D1D65" w14:textId="1A6020D5" w:rsidR="00900469" w:rsidRPr="001213F7" w:rsidRDefault="00900469" w:rsidP="00F85420">
      <w:pPr>
        <w:pStyle w:val="Heading1"/>
      </w:pPr>
      <w:bookmarkStart w:id="18" w:name="_Toc165467334"/>
      <w:bookmarkStart w:id="19" w:name="_Toc228294211"/>
      <w:bookmarkStart w:id="20" w:name="_Toc228545293"/>
      <w:r w:rsidRPr="001213F7">
        <w:t>Other economic indicators</w:t>
      </w:r>
      <w:bookmarkEnd w:id="18"/>
      <w:bookmarkEnd w:id="19"/>
      <w:bookmarkEnd w:id="20"/>
    </w:p>
    <w:p w14:paraId="217D8F80" w14:textId="77777777" w:rsidR="00900469" w:rsidRPr="001213F7" w:rsidRDefault="00900469">
      <w:pPr>
        <w:pStyle w:val="Heading2"/>
        <w:spacing w:before="200"/>
      </w:pPr>
      <w:r w:rsidRPr="001213F7">
        <w:t>The labour market</w:t>
      </w:r>
    </w:p>
    <w:p w14:paraId="68F6D2E0" w14:textId="77777777" w:rsidR="00900469" w:rsidRPr="001213F7" w:rsidRDefault="00900469">
      <w:r w:rsidRPr="001213F7">
        <w:t>Victoria’s labour market remains healthy, with employment increasing by 2.5 per cent in 2024</w:t>
      </w:r>
      <w:r w:rsidRPr="001213F7">
        <w:noBreakHyphen/>
        <w:t xml:space="preserve">25 following very strong growth in previous years. The participation rate and the share of Victorians in work both remain at historically high levels, including for female workers (see Box 2.4). </w:t>
      </w:r>
    </w:p>
    <w:p w14:paraId="6004D01D" w14:textId="2EFDA3F3" w:rsidR="00900469" w:rsidRPr="001213F7" w:rsidRDefault="00900469">
      <w:r w:rsidRPr="001213F7">
        <w:t>Measures of spare capacity in the labour market, including the unemployment and under</w:t>
      </w:r>
      <w:r w:rsidRPr="001213F7">
        <w:noBreakHyphen/>
        <w:t>employment rates, remain historically low (see Chart 2.9). Job vacancies, a key forward indicator of the labour market, have come down from very high levels but are still</w:t>
      </w:r>
      <w:r w:rsidR="000D4FA9" w:rsidRPr="001213F7">
        <w:t> </w:t>
      </w:r>
      <w:r w:rsidRPr="001213F7">
        <w:t>above pre-pandemic levels.</w:t>
      </w:r>
    </w:p>
    <w:p w14:paraId="33B0C23A" w14:textId="77777777" w:rsidR="00900469" w:rsidRPr="001213F7" w:rsidRDefault="00900469">
      <w:r w:rsidRPr="001213F7">
        <w:t xml:space="preserve">The outlook for the labour market remains positive, although employment growth is forecast to moderate over the coming year. This reflects the impacts of higher domestic inflation and interest rates on the economy, which are expected to weigh on aggregate demand and lead to some moderation in labour demand. </w:t>
      </w:r>
    </w:p>
    <w:p w14:paraId="1F17EECF" w14:textId="77777777" w:rsidR="00900469" w:rsidRPr="001213F7" w:rsidRDefault="00900469" w:rsidP="000D4FA9">
      <w:pPr>
        <w:ind w:right="-119"/>
      </w:pPr>
      <w:r w:rsidRPr="001213F7">
        <w:t>Employment in 2025</w:t>
      </w:r>
      <w:r w:rsidRPr="001213F7">
        <w:noBreakHyphen/>
        <w:t>26 is expected to increase by 1.50 per cent and is forecast to grow by a further 1.25 per cent in 2026</w:t>
      </w:r>
      <w:r w:rsidRPr="001213F7">
        <w:noBreakHyphen/>
        <w:t>27. The unemployment rate is expected to average around 4.75 per cent in 2026</w:t>
      </w:r>
      <w:r w:rsidRPr="001213F7">
        <w:noBreakHyphen/>
        <w:t>27, unchanged from the estimated 2025</w:t>
      </w:r>
      <w:r w:rsidRPr="001213F7">
        <w:noBreakHyphen/>
        <w:t>26 outcome. This remains well below Victoria’s 20</w:t>
      </w:r>
      <w:r w:rsidRPr="001213F7">
        <w:noBreakHyphen/>
        <w:t xml:space="preserve">year pre-pandemic average of 5.5 per cent and is around the rate estimated to be consistent with stable inflation within the RBA’s target band. </w:t>
      </w:r>
    </w:p>
    <w:p w14:paraId="74313677" w14:textId="77777777" w:rsidR="00900469" w:rsidRPr="001213F7" w:rsidRDefault="00900469">
      <w:pPr>
        <w:pStyle w:val="TableHeading"/>
      </w:pPr>
      <w:r w:rsidRPr="001213F7">
        <w:lastRenderedPageBreak/>
        <w:t xml:space="preserve">Chart 2.9: </w:t>
      </w:r>
      <w:r w:rsidRPr="001213F7">
        <w:tab/>
        <w:t>Victorian unemployment rate, participation rate and employment-to-population ratio</w:t>
      </w:r>
    </w:p>
    <w:p w14:paraId="1F036712" w14:textId="77777777" w:rsidR="00900469" w:rsidRPr="001213F7" w:rsidRDefault="00900469">
      <w:r w:rsidRPr="001213F7">
        <w:rPr>
          <w:noProof/>
        </w:rPr>
        <w:drawing>
          <wp:inline distT="0" distB="0" distL="0" distR="0" wp14:anchorId="6AB5FD44" wp14:editId="62C1F989">
            <wp:extent cx="2415540" cy="2048196"/>
            <wp:effectExtent l="0" t="0" r="3810" b="0"/>
            <wp:docPr id="1744365425" name="Chart 1">
              <a:extLst xmlns:a="http://schemas.openxmlformats.org/drawingml/2006/main">
                <a:ext uri="{FF2B5EF4-FFF2-40B4-BE49-F238E27FC236}">
                  <a16:creationId xmlns:a16="http://schemas.microsoft.com/office/drawing/2014/main" id="{81A51C50-9F87-84CC-662A-E00290D4FB9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r w:rsidRPr="001213F7" w:rsidDel="001B2801">
        <w:t xml:space="preserve"> </w:t>
      </w:r>
      <w:r w:rsidRPr="001213F7">
        <w:rPr>
          <w:noProof/>
        </w:rPr>
        <w:drawing>
          <wp:inline distT="0" distB="0" distL="0" distR="0" wp14:anchorId="468EE2D2" wp14:editId="72A07B43">
            <wp:extent cx="2331720" cy="2063750"/>
            <wp:effectExtent l="0" t="0" r="0" b="0"/>
            <wp:docPr id="1460812157" name="Chart 1">
              <a:extLst xmlns:a="http://schemas.openxmlformats.org/drawingml/2006/main">
                <a:ext uri="{FF2B5EF4-FFF2-40B4-BE49-F238E27FC236}">
                  <a16:creationId xmlns:a16="http://schemas.microsoft.com/office/drawing/2014/main" id="{F02430F1-51A6-C46C-A36A-78904836B0E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r w:rsidRPr="001213F7" w:rsidDel="001B2801">
        <w:t xml:space="preserve"> </w:t>
      </w:r>
    </w:p>
    <w:p w14:paraId="6095F07C" w14:textId="77777777" w:rsidR="00900469" w:rsidRPr="001213F7" w:rsidRDefault="00900469">
      <w:pPr>
        <w:pStyle w:val="Source"/>
        <w:spacing w:before="0" w:after="0"/>
        <w:contextualSpacing w:val="0"/>
        <w:rPr>
          <w:rFonts w:cstheme="majorHAnsi"/>
          <w:szCs w:val="14"/>
        </w:rPr>
      </w:pPr>
      <w:r w:rsidRPr="001213F7">
        <w:t>Source: A</w:t>
      </w:r>
      <w:r w:rsidRPr="001213F7">
        <w:rPr>
          <w:rFonts w:cstheme="majorHAnsi"/>
          <w:szCs w:val="14"/>
        </w:rPr>
        <w:t>ustralian Bureau of Statistics</w:t>
      </w:r>
    </w:p>
    <w:p w14:paraId="7337A1CE" w14:textId="77777777" w:rsidR="00900469" w:rsidRPr="001213F7" w:rsidRDefault="00900469">
      <w:pPr>
        <w:pStyle w:val="Source"/>
        <w:rPr>
          <w:rFonts w:cstheme="majorHAnsi"/>
          <w:szCs w:val="14"/>
        </w:rPr>
      </w:pPr>
    </w:p>
    <w:p w14:paraId="38475718" w14:textId="77777777" w:rsidR="00900469" w:rsidRPr="001213F7" w:rsidRDefault="00900469">
      <w:pPr>
        <w:pStyle w:val="ShadedBoxHeading"/>
        <w:pBdr>
          <w:bottom w:val="single" w:sz="4" w:space="3" w:color="auto"/>
        </w:pBdr>
      </w:pPr>
      <w:r w:rsidRPr="001213F7">
        <w:t>Box 2.4:  Trends in female labour force participation</w:t>
      </w:r>
    </w:p>
    <w:p w14:paraId="23E505EB" w14:textId="77777777" w:rsidR="00900469" w:rsidRPr="001213F7" w:rsidRDefault="00900469">
      <w:pPr>
        <w:pStyle w:val="ShadedBoxText"/>
        <w:pBdr>
          <w:bottom w:val="single" w:sz="4" w:space="3" w:color="auto"/>
        </w:pBdr>
      </w:pPr>
      <w:r w:rsidRPr="001213F7">
        <w:t xml:space="preserve">Victorian employment has grown strongly in recent years, rising by more than 8 per cent over the three years to 2025. Solid economic growth, together with an increase in labour supply aided by strong population growth and rising workforce participation, have supported this outcome. </w:t>
      </w:r>
    </w:p>
    <w:p w14:paraId="2420C5D0" w14:textId="7396997F" w:rsidR="00900469" w:rsidRPr="001213F7" w:rsidRDefault="00900469">
      <w:pPr>
        <w:pStyle w:val="ShadedBoxText"/>
        <w:pBdr>
          <w:bottom w:val="single" w:sz="4" w:space="3" w:color="auto"/>
        </w:pBdr>
      </w:pPr>
      <w:r w:rsidRPr="001213F7">
        <w:t xml:space="preserve">Victoria’s total participation rate remained near record levels during 2025, driven by a large increase in female participation. Participation of women in the workforce has risen significantly compared with pre-COVID levels (see Chart 2.10). This rise in female participation, coupled with strong demand for workers, has led to a significant rise in the share of Victorian women in employment to historically high levels. </w:t>
      </w:r>
    </w:p>
    <w:p w14:paraId="1851944E" w14:textId="77777777" w:rsidR="00900469" w:rsidRPr="001213F7" w:rsidRDefault="00900469">
      <w:pPr>
        <w:pStyle w:val="ShadedBoxText"/>
        <w:pBdr>
          <w:bottom w:val="single" w:sz="4" w:space="3" w:color="auto"/>
        </w:pBdr>
      </w:pPr>
      <w:r w:rsidRPr="001213F7">
        <w:t xml:space="preserve">Victoria’s strong female participation rate has been supported by key State policies that reduce barriers for women to enter the labour force. These include Best State Best Life reforms including Free Kinder, assisting skill development through Free TAFE, and work from home policies. </w:t>
      </w:r>
    </w:p>
    <w:p w14:paraId="0CB342B7" w14:textId="77777777" w:rsidR="00900469" w:rsidRPr="001213F7" w:rsidRDefault="00900469">
      <w:pPr>
        <w:pStyle w:val="ShadedBoxHeading"/>
        <w:pBdr>
          <w:bottom w:val="single" w:sz="4" w:space="3" w:color="auto"/>
        </w:pBdr>
        <w:ind w:left="1022" w:hanging="1022"/>
      </w:pPr>
      <w:r w:rsidRPr="001213F7">
        <w:t xml:space="preserve">Chart 2.10 </w:t>
      </w:r>
      <w:r w:rsidRPr="001213F7">
        <w:tab/>
        <w:t>Female participation rate and employment-to-population ratio</w:t>
      </w:r>
    </w:p>
    <w:p w14:paraId="541319CE" w14:textId="77777777" w:rsidR="00900469" w:rsidRPr="001213F7" w:rsidRDefault="00900469">
      <w:pPr>
        <w:pStyle w:val="ShadedBoxText"/>
        <w:pBdr>
          <w:bottom w:val="single" w:sz="4" w:space="3" w:color="auto"/>
        </w:pBdr>
        <w:spacing w:before="60"/>
      </w:pPr>
      <w:r w:rsidRPr="001213F7">
        <w:rPr>
          <w:noProof/>
        </w:rPr>
        <w:drawing>
          <wp:inline distT="0" distB="0" distL="0" distR="0" wp14:anchorId="11A5A58A" wp14:editId="1ACC5DB3">
            <wp:extent cx="2302510" cy="1746504"/>
            <wp:effectExtent l="0" t="0" r="2540" b="0"/>
            <wp:docPr id="1748817211" name="Chart 1">
              <a:extLst xmlns:a="http://schemas.openxmlformats.org/drawingml/2006/main">
                <a:ext uri="{FF2B5EF4-FFF2-40B4-BE49-F238E27FC236}">
                  <a16:creationId xmlns:a16="http://schemas.microsoft.com/office/drawing/2014/main" id="{7D4BE8BE-F064-40EB-9B18-A776933F291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r w:rsidRPr="001213F7">
        <w:rPr>
          <w:noProof/>
        </w:rPr>
        <w:t xml:space="preserve">   </w:t>
      </w:r>
      <w:r w:rsidRPr="001213F7">
        <w:rPr>
          <w:noProof/>
        </w:rPr>
        <w:drawing>
          <wp:inline distT="0" distB="0" distL="0" distR="0" wp14:anchorId="2D336934" wp14:editId="2857CD2E">
            <wp:extent cx="2277110" cy="1744133"/>
            <wp:effectExtent l="0" t="0" r="8890" b="0"/>
            <wp:docPr id="1793391166" name="Chart 1">
              <a:extLst xmlns:a="http://schemas.openxmlformats.org/drawingml/2006/main">
                <a:ext uri="{FF2B5EF4-FFF2-40B4-BE49-F238E27FC236}">
                  <a16:creationId xmlns:a16="http://schemas.microsoft.com/office/drawing/2014/main" id="{1E103065-B481-4738-9AA4-25E47BD69DA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7BD1DDEE" w14:textId="77777777" w:rsidR="00900469" w:rsidRPr="001213F7" w:rsidRDefault="00900469">
      <w:pPr>
        <w:pStyle w:val="ShadedBoxSource"/>
        <w:pBdr>
          <w:bottom w:val="single" w:sz="4" w:space="3" w:color="auto"/>
        </w:pBdr>
        <w:spacing w:before="0"/>
      </w:pPr>
      <w:r w:rsidRPr="001213F7">
        <w:t xml:space="preserve">Source: Australian Bureau of Statistics  </w:t>
      </w:r>
    </w:p>
    <w:p w14:paraId="3D3BFB75" w14:textId="77777777" w:rsidR="00900469" w:rsidRPr="001213F7" w:rsidRDefault="00900469" w:rsidP="00F85420">
      <w:pPr>
        <w:pStyle w:val="Heading2"/>
      </w:pPr>
      <w:r w:rsidRPr="001213F7">
        <w:lastRenderedPageBreak/>
        <w:t>Prices</w:t>
      </w:r>
    </w:p>
    <w:p w14:paraId="412A850E" w14:textId="75B9AC96" w:rsidR="00900469" w:rsidRPr="001213F7" w:rsidRDefault="00900469">
      <w:r w:rsidRPr="001213F7">
        <w:t xml:space="preserve">Inflation picked up in the second half of 2025, in Victoria and nationally. The recent uptick has primarily been driven by higher goods prices, though services inflation remains elevated (see Chart 2.11). In year-ended terms, Victorian inflation rose to </w:t>
      </w:r>
      <w:r w:rsidR="00625717" w:rsidRPr="001213F7">
        <w:t>4.6</w:t>
      </w:r>
      <w:r w:rsidRPr="001213F7">
        <w:t xml:space="preserve"> per cent in </w:t>
      </w:r>
      <w:r w:rsidR="007959A7" w:rsidRPr="001213F7">
        <w:t xml:space="preserve">March </w:t>
      </w:r>
      <w:r w:rsidRPr="001213F7">
        <w:t>2026, up from a low of 1.7 per cent in June 2025</w:t>
      </w:r>
      <w:r w:rsidR="007959A7" w:rsidRPr="001213F7">
        <w:t>, and is in line with n</w:t>
      </w:r>
      <w:r w:rsidRPr="001213F7">
        <w:t>ational</w:t>
      </w:r>
      <w:r w:rsidR="00A0479B" w:rsidRPr="001213F7">
        <w:t xml:space="preserve"> inflation</w:t>
      </w:r>
      <w:r w:rsidRPr="001213F7">
        <w:t>. With national inflation back up above the RBA’s 2 to 3 per cent target band, the RBA increased interest rates in both February and March 2026. Although inflation remains well below the recent, post</w:t>
      </w:r>
      <w:r w:rsidRPr="001213F7">
        <w:noBreakHyphen/>
        <w:t>pandemic peak of 7.9 per cent in December 2022, higher inflation is adding to cost</w:t>
      </w:r>
      <w:r w:rsidRPr="001213F7">
        <w:noBreakHyphen/>
        <w:t>of</w:t>
      </w:r>
      <w:r w:rsidRPr="001213F7">
        <w:noBreakHyphen/>
        <w:t xml:space="preserve">living pressures for Victorian households (see Chapter 3, </w:t>
      </w:r>
      <w:r w:rsidRPr="001213F7">
        <w:rPr>
          <w:i/>
          <w:iCs/>
        </w:rPr>
        <w:t>Economic management for resilience and prosperity</w:t>
      </w:r>
      <w:r w:rsidRPr="001213F7">
        <w:t xml:space="preserve">, Box 3.1). The conflict in the Middle East and surge in global oil prices will intensify these pressures this year. </w:t>
      </w:r>
    </w:p>
    <w:p w14:paraId="173F43DA" w14:textId="77777777" w:rsidR="00900469" w:rsidRPr="001213F7" w:rsidRDefault="00900469">
      <w:r w:rsidRPr="001213F7">
        <w:t xml:space="preserve">Higher goods prices have been partly driven by the recovery in household consumption in the second half of 2025, which permitted businesses to raise prices after a period of compression in profit margins during the previous period of weaker demand. </w:t>
      </w:r>
    </w:p>
    <w:p w14:paraId="711ACCE5" w14:textId="77777777" w:rsidR="00900469" w:rsidRPr="001213F7" w:rsidRDefault="00900469">
      <w:r w:rsidRPr="001213F7">
        <w:t xml:space="preserve">Housing costs, such as utilities, have also driven goods inflation higher. New dwelling prices have increased as project home builders have passed on higher material and labour costs. This comes after an earlier period of discounting from late 2024 to late 2025 when demand for new dwellings was lower. Electricity prices have risen recently due to the expiration of the Commonwealth energy rebates in December 2025, although this reflects prices returning to where they would have been in the absence of the temporary rebates. </w:t>
      </w:r>
    </w:p>
    <w:p w14:paraId="2C337111" w14:textId="3D960611" w:rsidR="00900469" w:rsidRPr="001213F7" w:rsidRDefault="00900469">
      <w:r w:rsidRPr="001213F7">
        <w:t>Price growth for services has been persistent, partly due to the pickup in wages growth in recent years and most service sectors’ high reliance on labour as a key input. Prices for education, health, and hospitality services have continued to grow over the past year. Rents inflation has slowed from its peak in 2023 but remains above pre-pandemic rates. Timely data show that growth in advertised rents has picked up so far in 2026, indicating that overall rental growth may persist above pre-pandemic rates for some time.</w:t>
      </w:r>
    </w:p>
    <w:p w14:paraId="4C856707" w14:textId="4E60FDF3" w:rsidR="00900469" w:rsidRPr="001213F7" w:rsidRDefault="00900469" w:rsidP="00C4399E">
      <w:pPr>
        <w:pStyle w:val="TableHeading"/>
        <w:pageBreakBefore/>
        <w:ind w:left="1022" w:hanging="1022"/>
      </w:pPr>
      <w:r w:rsidRPr="001213F7">
        <w:lastRenderedPageBreak/>
        <w:t xml:space="preserve">Chart 2.11: </w:t>
      </w:r>
      <w:r w:rsidRPr="001213F7">
        <w:tab/>
        <w:t xml:space="preserve">Annual goods and services inflation, Melbourne and Australia </w:t>
      </w:r>
      <w:r w:rsidRPr="001213F7">
        <w:rPr>
          <w:rFonts w:ascii="Calibri" w:hAnsi="Calibri" w:cs="Calibri"/>
          <w:b w:val="0"/>
          <w:szCs w:val="20"/>
          <w:vertAlign w:val="superscript"/>
        </w:rPr>
        <w:t xml:space="preserve">(a) </w:t>
      </w:r>
    </w:p>
    <w:p w14:paraId="16FA3B15" w14:textId="7B6D2584" w:rsidR="001132F5" w:rsidRPr="001213F7" w:rsidRDefault="001132F5">
      <w:pPr>
        <w:rPr>
          <w:rFonts w:ascii="Calibri" w:hAnsi="Calibri" w:cs="Calibri"/>
          <w:i/>
          <w:iCs/>
          <w:sz w:val="20"/>
          <w:szCs w:val="20"/>
        </w:rPr>
      </w:pPr>
      <w:r w:rsidRPr="001213F7">
        <w:rPr>
          <w:noProof/>
        </w:rPr>
        <w:drawing>
          <wp:inline distT="0" distB="0" distL="0" distR="0" wp14:anchorId="2545241A" wp14:editId="42E745E2">
            <wp:extent cx="4896485" cy="2290046"/>
            <wp:effectExtent l="0" t="0" r="0" b="0"/>
            <wp:docPr id="1969359338" name="Chart 1">
              <a:extLst xmlns:a="http://schemas.openxmlformats.org/drawingml/2006/main">
                <a:ext uri="{FF2B5EF4-FFF2-40B4-BE49-F238E27FC236}">
                  <a16:creationId xmlns:a16="http://schemas.microsoft.com/office/drawing/2014/main" id="{B1782754-4687-CC69-1CBE-66A45D5BA88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687FA082" w14:textId="7B49A282" w:rsidR="00900469" w:rsidRPr="001213F7" w:rsidRDefault="00900469">
      <w:pPr>
        <w:pStyle w:val="Source"/>
        <w:rPr>
          <w:i w:val="0"/>
        </w:rPr>
      </w:pPr>
      <w:r w:rsidRPr="001213F7">
        <w:t>Source: Australian Bureau of Statistics</w:t>
      </w:r>
    </w:p>
    <w:p w14:paraId="033D7A3D" w14:textId="77777777" w:rsidR="00900469" w:rsidRPr="001213F7" w:rsidRDefault="00900469">
      <w:pPr>
        <w:pStyle w:val="Note"/>
      </w:pPr>
      <w:r w:rsidRPr="001213F7">
        <w:t>Note:</w:t>
      </w:r>
    </w:p>
    <w:p w14:paraId="688735EC" w14:textId="73C75B0A" w:rsidR="00900469" w:rsidRPr="001213F7" w:rsidRDefault="00900469">
      <w:pPr>
        <w:pStyle w:val="Note"/>
        <w:rPr>
          <w:rFonts w:cstheme="majorHAnsi"/>
          <w:szCs w:val="14"/>
        </w:rPr>
      </w:pPr>
      <w:r w:rsidRPr="001213F7">
        <w:t>(a)</w:t>
      </w:r>
      <w:r w:rsidRPr="001213F7">
        <w:tab/>
      </w:r>
      <w:r w:rsidRPr="001213F7">
        <w:rPr>
          <w:rFonts w:ascii="Calibri" w:hAnsi="Calibri" w:cs="Calibri"/>
        </w:rPr>
        <w:t xml:space="preserve">Inflation from April 2025 is calculated using monthly </w:t>
      </w:r>
      <w:r w:rsidR="00686AE3" w:rsidRPr="001213F7">
        <w:rPr>
          <w:rFonts w:ascii="Calibri" w:hAnsi="Calibri" w:cs="Calibri"/>
        </w:rPr>
        <w:t>consumer price index</w:t>
      </w:r>
      <w:r w:rsidRPr="001213F7">
        <w:rPr>
          <w:rFonts w:ascii="Calibri" w:hAnsi="Calibri" w:cs="Calibri"/>
        </w:rPr>
        <w:t xml:space="preserve"> (CPI) data; inflation prior to April 2025 is calculated from the previously published quarterly CPI data, as monthly data for this period are not available.</w:t>
      </w:r>
      <w:r w:rsidRPr="001213F7">
        <w:rPr>
          <w:rFonts w:cstheme="majorHAnsi"/>
          <w:szCs w:val="14"/>
        </w:rPr>
        <w:t xml:space="preserve"> </w:t>
      </w:r>
    </w:p>
    <w:p w14:paraId="166A81EE" w14:textId="693CB224" w:rsidR="00900469" w:rsidRPr="001213F7" w:rsidRDefault="00900469">
      <w:r w:rsidRPr="001213F7">
        <w:t xml:space="preserve">More recently, the surge in global oil prices is adding significantly to consumer inflation. </w:t>
      </w:r>
      <w:r w:rsidR="00B75B1A" w:rsidRPr="001213F7">
        <w:t xml:space="preserve">Petrol prices surged in March, </w:t>
      </w:r>
      <w:r w:rsidR="0051169A" w:rsidRPr="001213F7">
        <w:t>underpinning</w:t>
      </w:r>
      <w:r w:rsidR="00B75B1A" w:rsidRPr="001213F7">
        <w:t xml:space="preserve"> an increase in Victoria’s year-ended inflation rate from 3.3 per cent in February to 4.6 per cent in March. </w:t>
      </w:r>
      <w:r w:rsidRPr="001213F7">
        <w:t xml:space="preserve">Inflation is forecast to </w:t>
      </w:r>
      <w:r w:rsidR="000F6918" w:rsidRPr="001213F7">
        <w:t xml:space="preserve">remain around this level </w:t>
      </w:r>
      <w:r w:rsidR="00B05D7E" w:rsidRPr="001213F7">
        <w:t xml:space="preserve">in coming months </w:t>
      </w:r>
      <w:r w:rsidR="000F6918" w:rsidRPr="001213F7">
        <w:t>and average</w:t>
      </w:r>
      <w:r w:rsidRPr="001213F7">
        <w:t xml:space="preserve"> 4.5 per cent in </w:t>
      </w:r>
      <w:r w:rsidR="000F6918" w:rsidRPr="001213F7">
        <w:t xml:space="preserve">the </w:t>
      </w:r>
      <w:r w:rsidRPr="001213F7">
        <w:t>June 2026</w:t>
      </w:r>
      <w:r w:rsidR="000F6918" w:rsidRPr="001213F7">
        <w:t xml:space="preserve"> quarter</w:t>
      </w:r>
      <w:r w:rsidRPr="001213F7">
        <w:t xml:space="preserve">, driven primarily by the sharp rise in retail petrol </w:t>
      </w:r>
      <w:r w:rsidRPr="001213F7" w:rsidDel="008505AD">
        <w:t>prices</w:t>
      </w:r>
      <w:r w:rsidRPr="001213F7">
        <w:t>. Higher</w:t>
      </w:r>
      <w:r w:rsidRPr="001213F7" w:rsidDel="00A37456">
        <w:t xml:space="preserve"> </w:t>
      </w:r>
      <w:r w:rsidRPr="001213F7">
        <w:t xml:space="preserve">petrol and diesel prices will raise business transport and other input costs for food and a range of other goods, and these higher costs are expected to be passed on to consumers. </w:t>
      </w:r>
    </w:p>
    <w:p w14:paraId="0F073D56" w14:textId="3F737D16" w:rsidR="00900469" w:rsidRPr="001213F7" w:rsidRDefault="00900469">
      <w:pPr>
        <w:rPr>
          <w:rFonts w:ascii="Garamond" w:eastAsia="Garamond" w:hAnsi="Garamond"/>
        </w:rPr>
      </w:pPr>
      <w:r w:rsidRPr="001213F7">
        <w:t>In year-average terms, inflation is forecast to be 3.50 per cent in 2025</w:t>
      </w:r>
      <w:r w:rsidRPr="001213F7">
        <w:noBreakHyphen/>
        <w:t>26 and 2026</w:t>
      </w:r>
      <w:r w:rsidRPr="001213F7">
        <w:noBreakHyphen/>
        <w:t>27, assuming global</w:t>
      </w:r>
      <w:r w:rsidRPr="001213F7" w:rsidDel="00F83E75">
        <w:t xml:space="preserve"> </w:t>
      </w:r>
      <w:r w:rsidRPr="001213F7">
        <w:t>crude oil</w:t>
      </w:r>
      <w:r w:rsidRPr="001213F7" w:rsidDel="00F83E75">
        <w:t xml:space="preserve"> prices</w:t>
      </w:r>
      <w:r w:rsidRPr="001213F7">
        <w:t xml:space="preserve"> average US$100 per barrel in the June 2026 quarter and</w:t>
      </w:r>
      <w:r w:rsidRPr="001213F7" w:rsidDel="000D2178">
        <w:t xml:space="preserve"> </w:t>
      </w:r>
      <w:r w:rsidRPr="001213F7">
        <w:t>return to near pre-conflict levels by the end of 2026. Inflation is forecast to decline and return to within the RBA’s 2 to 3 per cent target band by 2027</w:t>
      </w:r>
      <w:r w:rsidRPr="001213F7">
        <w:noBreakHyphen/>
        <w:t xml:space="preserve">28, averaging 2.75 per cent. However, there is a risk that global oil prices remain elevated beyond 2026 if the conflict in the Middle East is prolonged. This is discussed further in Chapter 6 </w:t>
      </w:r>
      <w:r w:rsidRPr="001213F7">
        <w:rPr>
          <w:i/>
          <w:iCs/>
        </w:rPr>
        <w:t xml:space="preserve">Sensitivity analysis </w:t>
      </w:r>
      <w:r w:rsidRPr="001213F7">
        <w:t xml:space="preserve">where a scenario is modelled that includes a more persistent Middle East conflict and the flow-on impacts </w:t>
      </w:r>
      <w:r w:rsidR="00D131E6" w:rsidRPr="001213F7">
        <w:t>via</w:t>
      </w:r>
      <w:r w:rsidRPr="001213F7">
        <w:t xml:space="preserve"> global oil prices.</w:t>
      </w:r>
    </w:p>
    <w:p w14:paraId="23C8D6B9" w14:textId="77777777" w:rsidR="00900469" w:rsidRPr="001213F7" w:rsidRDefault="00900469" w:rsidP="00792ABF">
      <w:pPr>
        <w:pStyle w:val="Heading2"/>
      </w:pPr>
      <w:r w:rsidRPr="001213F7">
        <w:lastRenderedPageBreak/>
        <w:t xml:space="preserve">Wages </w:t>
      </w:r>
    </w:p>
    <w:p w14:paraId="6AE23FCF" w14:textId="77777777" w:rsidR="00900469" w:rsidRPr="001213F7" w:rsidRDefault="00900469" w:rsidP="00C4399E">
      <w:pPr>
        <w:keepNext/>
      </w:pPr>
      <w:r w:rsidRPr="001213F7">
        <w:t>Victorian wages are forecast to increase by 3.25 per cent in both 2025</w:t>
      </w:r>
      <w:r w:rsidRPr="001213F7">
        <w:noBreakHyphen/>
        <w:t>26 and 2026</w:t>
      </w:r>
      <w:r w:rsidRPr="001213F7">
        <w:noBreakHyphen/>
        <w:t xml:space="preserve">27. This remains well above pre-COVID rates. A healthy labour market and ongoing inflation pressures are expected to continue to affect private and public sector wage negotiations. </w:t>
      </w:r>
    </w:p>
    <w:p w14:paraId="04B6E8C8" w14:textId="77777777" w:rsidR="00900469" w:rsidRPr="001213F7" w:rsidRDefault="00900469" w:rsidP="00C4399E">
      <w:pPr>
        <w:keepNext/>
      </w:pPr>
      <w:r w:rsidRPr="001213F7">
        <w:t xml:space="preserve">Victorian wages grew by 3.2 per cent over the year to the December quarter 2025. </w:t>
      </w:r>
      <w:r w:rsidRPr="001213F7" w:rsidDel="00CD4770">
        <w:t>G</w:t>
      </w:r>
      <w:r w:rsidRPr="001213F7">
        <w:t>rowth in private sector wages</w:t>
      </w:r>
      <w:r w:rsidRPr="001213F7" w:rsidDel="00A9221D">
        <w:t xml:space="preserve"> </w:t>
      </w:r>
      <w:r w:rsidRPr="001213F7">
        <w:t xml:space="preserve">has been relatively strong in recent years, increasing by an average annual rate of 3.6 per cent over the past three years – compared with 2.8 per cent for the public sector. This relatively stronger growth partly reflects the greater responsiveness of private sector wage-setting methods to labour market conditions. </w:t>
      </w:r>
    </w:p>
    <w:p w14:paraId="780CE871" w14:textId="7BF5CA68" w:rsidR="00900469" w:rsidRPr="001213F7" w:rsidRDefault="00900469">
      <w:r w:rsidRPr="001213F7">
        <w:t>Private sector wages growth is expected to remain firm, supported by ongoing resilience in</w:t>
      </w:r>
      <w:r w:rsidR="000D4FA9" w:rsidRPr="001213F7">
        <w:t> </w:t>
      </w:r>
      <w:r w:rsidRPr="001213F7">
        <w:t xml:space="preserve">the labour market. At the same time, aggregate public sector wages are expected to strengthen as ongoing enterprise bargaining agreement negotiations are finalised. </w:t>
      </w:r>
    </w:p>
    <w:p w14:paraId="223E2233" w14:textId="77777777" w:rsidR="00900469" w:rsidRPr="001213F7" w:rsidRDefault="00900469">
      <w:r w:rsidRPr="001213F7">
        <w:t>While inflationary pressures are expected to remain elevated in the coming year, weighing on real wage growth until 2026</w:t>
      </w:r>
      <w:r w:rsidRPr="001213F7">
        <w:noBreakHyphen/>
        <w:t>27, wages are forecast to exceed inflation from 2027</w:t>
      </w:r>
      <w:r w:rsidRPr="001213F7">
        <w:noBreakHyphen/>
        <w:t xml:space="preserve">28 onwards, resulting in real wages growth. </w:t>
      </w:r>
    </w:p>
    <w:p w14:paraId="44B2CEC7" w14:textId="77777777" w:rsidR="00900469" w:rsidRPr="001213F7" w:rsidRDefault="00900469" w:rsidP="00BA2435">
      <w:pPr>
        <w:pStyle w:val="Heading2"/>
      </w:pPr>
      <w:r w:rsidRPr="001213F7">
        <w:t xml:space="preserve">Population </w:t>
      </w:r>
    </w:p>
    <w:p w14:paraId="1AB37060" w14:textId="77777777" w:rsidR="00900469" w:rsidRPr="001213F7" w:rsidRDefault="00900469">
      <w:r w:rsidRPr="001213F7">
        <w:t xml:space="preserve">Victoria’s population growth has eased to around its long-term average growth rate, following two years of strong increases. Over the year to September 2025, population growth was 1.7 per cent, well below the recent peak in September 2023 of 2.8 per cent (see Chart 2.12). The earlier strength in population growth was driven by a strong rebound in net overseas migration, primarily driven by international students, following the lifting of national pandemic-related migration restrictions. </w:t>
      </w:r>
    </w:p>
    <w:p w14:paraId="70EAE2AC" w14:textId="61934A67" w:rsidR="00900469" w:rsidRPr="001213F7" w:rsidRDefault="00900469" w:rsidP="000D4FA9">
      <w:pPr>
        <w:ind w:right="-209"/>
      </w:pPr>
      <w:r w:rsidRPr="001213F7">
        <w:t>More recently, international student arrivals have slowed, partly reflecting Commonwealth migration policy changes, including tighter student visa requirements. At the same time, international departures have increased as students who had arrived following the reopening of borders have since completed their studies. As a result, net overseas migration has made a</w:t>
      </w:r>
      <w:r w:rsidR="000D4FA9" w:rsidRPr="001213F7">
        <w:t> </w:t>
      </w:r>
      <w:r w:rsidRPr="001213F7">
        <w:t>smaller contribution to population growth over the past couple of years. Arrivals and departures of students are expected to stabilise at around pre-pandemic levels over the next</w:t>
      </w:r>
      <w:r w:rsidR="000D4FA9" w:rsidRPr="001213F7">
        <w:t> </w:t>
      </w:r>
      <w:r w:rsidRPr="001213F7">
        <w:t xml:space="preserve">two years. </w:t>
      </w:r>
    </w:p>
    <w:p w14:paraId="7E06CB7A" w14:textId="77777777" w:rsidR="00900469" w:rsidRPr="001213F7" w:rsidRDefault="00900469">
      <w:r w:rsidRPr="001213F7">
        <w:t>Population growth is expected to remain at its long-term trend of 1.7 per cent from 2025</w:t>
      </w:r>
      <w:r w:rsidRPr="001213F7">
        <w:noBreakHyphen/>
        <w:t>26 onwards.</w:t>
      </w:r>
    </w:p>
    <w:p w14:paraId="65B91635" w14:textId="409A46A0" w:rsidR="00900469" w:rsidRPr="001213F7" w:rsidRDefault="00900469">
      <w:pPr>
        <w:pStyle w:val="TableHeading"/>
      </w:pPr>
      <w:r w:rsidRPr="001213F7">
        <w:lastRenderedPageBreak/>
        <w:t xml:space="preserve">Chart 2.12: </w:t>
      </w:r>
      <w:r w:rsidR="007674A1" w:rsidRPr="001213F7">
        <w:tab/>
      </w:r>
      <w:r w:rsidRPr="001213F7">
        <w:t xml:space="preserve">Annual population growth in Victoria </w:t>
      </w:r>
      <w:r w:rsidRPr="001213F7">
        <w:rPr>
          <w:vertAlign w:val="superscript"/>
        </w:rPr>
        <w:t>(a)</w:t>
      </w:r>
    </w:p>
    <w:p w14:paraId="0895D815" w14:textId="77777777" w:rsidR="00900469" w:rsidRPr="001213F7" w:rsidRDefault="00900469">
      <w:r w:rsidRPr="001213F7">
        <w:rPr>
          <w:noProof/>
        </w:rPr>
        <w:drawing>
          <wp:inline distT="0" distB="0" distL="0" distR="0" wp14:anchorId="5655AD94" wp14:editId="2FF0F057">
            <wp:extent cx="4896485" cy="2582545"/>
            <wp:effectExtent l="0" t="0" r="0" b="8255"/>
            <wp:docPr id="877696546" name="Chart 1">
              <a:extLst xmlns:a="http://schemas.openxmlformats.org/drawingml/2006/main">
                <a:ext uri="{FF2B5EF4-FFF2-40B4-BE49-F238E27FC236}">
                  <a16:creationId xmlns:a16="http://schemas.microsoft.com/office/drawing/2014/main" id="{35D718AD-451D-4D2F-8077-EF8D004C67F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778F5586" w14:textId="77777777" w:rsidR="00900469" w:rsidRPr="001213F7" w:rsidRDefault="00900469">
      <w:pPr>
        <w:pStyle w:val="Source"/>
      </w:pPr>
      <w:r w:rsidRPr="001213F7">
        <w:t>Source: Australian Bureau of Statistics</w:t>
      </w:r>
    </w:p>
    <w:p w14:paraId="50D0E2D9" w14:textId="77777777" w:rsidR="00900469" w:rsidRPr="001213F7" w:rsidRDefault="00900469">
      <w:pPr>
        <w:pStyle w:val="Note"/>
      </w:pPr>
      <w:r w:rsidRPr="001213F7">
        <w:t>Note:</w:t>
      </w:r>
    </w:p>
    <w:p w14:paraId="789B91B2" w14:textId="77777777" w:rsidR="00900469" w:rsidRPr="001213F7" w:rsidRDefault="00900469">
      <w:pPr>
        <w:pStyle w:val="Note"/>
        <w:rPr>
          <w:rFonts w:cstheme="majorHAnsi"/>
          <w:szCs w:val="14"/>
        </w:rPr>
      </w:pPr>
      <w:r w:rsidRPr="001213F7">
        <w:t>(a)</w:t>
      </w:r>
      <w:r w:rsidRPr="001213F7">
        <w:tab/>
        <w:t>Four-quarter rolling totals.</w:t>
      </w:r>
    </w:p>
    <w:p w14:paraId="033144F7" w14:textId="77777777" w:rsidR="00900469" w:rsidRPr="001213F7" w:rsidRDefault="00900469" w:rsidP="00792ABF">
      <w:pPr>
        <w:pStyle w:val="Heading1"/>
      </w:pPr>
      <w:bookmarkStart w:id="21" w:name="_Toc165467335"/>
      <w:bookmarkStart w:id="22" w:name="_Toc228294212"/>
      <w:bookmarkStart w:id="23" w:name="_Toc228545294"/>
      <w:r w:rsidRPr="001213F7">
        <w:t>Australian economic conditions and outlook</w:t>
      </w:r>
      <w:bookmarkEnd w:id="21"/>
      <w:bookmarkEnd w:id="22"/>
      <w:bookmarkEnd w:id="23"/>
    </w:p>
    <w:p w14:paraId="142F6F68" w14:textId="77777777" w:rsidR="00900469" w:rsidRPr="001213F7" w:rsidRDefault="00900469">
      <w:r w:rsidRPr="001213F7">
        <w:t xml:space="preserve">Australian economic activity picked up over 2025. The economy grew by 2.6 per cent over the year to December, supported by both private and public demand. Private sector activity strengthened as earlier interest rate reductions supported higher domestic demand. Labour market conditions also remained resilient, with employment continuing to grow and the unemployment rate remaining low by historical standards. </w:t>
      </w:r>
    </w:p>
    <w:p w14:paraId="7AD19AAF" w14:textId="55ED1381" w:rsidR="00900469" w:rsidRPr="001213F7" w:rsidRDefault="00900469" w:rsidP="00130039">
      <w:pPr>
        <w:ind w:right="61"/>
      </w:pPr>
      <w:r w:rsidRPr="001213F7">
        <w:t xml:space="preserve">In its February 2026 </w:t>
      </w:r>
      <w:r w:rsidRPr="001213F7">
        <w:rPr>
          <w:i/>
          <w:iCs/>
        </w:rPr>
        <w:t>Statement on Monetary Policy,</w:t>
      </w:r>
      <w:r w:rsidRPr="001213F7">
        <w:rPr>
          <w:rStyle w:val="FootnoteReference"/>
        </w:rPr>
        <w:footnoteReference w:id="2"/>
      </w:r>
      <w:r w:rsidRPr="001213F7">
        <w:rPr>
          <w:i/>
          <w:iCs/>
        </w:rPr>
        <w:t xml:space="preserve"> </w:t>
      </w:r>
      <w:r w:rsidRPr="001213F7">
        <w:t>the RBA forecast the Australian economy to grow by 2.2 per cent in 2025</w:t>
      </w:r>
      <w:r w:rsidRPr="001213F7">
        <w:noBreakHyphen/>
        <w:t>26, before slowing to 1.8 per cent in 2026</w:t>
      </w:r>
      <w:r w:rsidRPr="001213F7">
        <w:noBreakHyphen/>
        <w:t>27. The RBA expected growth in private demand to remain relatively robust in the near term, with solid growth in household consumption, dwelling investment and business investment. However, activity was expected to slow from later this year as higher interest rates weigh on private demand. More recently, following the outbreak of the Middle East conflict, the Commonwealth Treasurer has released modelling indicating that the global oil crisis will likely weigh on Australian economic activity and add to inflation, with the range of possible outcomes depending on the severity and duration of the disruption to energy markets. For instance, in</w:t>
      </w:r>
      <w:r w:rsidRPr="001213F7" w:rsidDel="00B77222">
        <w:t xml:space="preserve"> </w:t>
      </w:r>
      <w:r w:rsidR="00B77222" w:rsidRPr="001213F7">
        <w:t>the</w:t>
      </w:r>
      <w:r w:rsidRPr="001213F7">
        <w:t xml:space="preserve"> ‘shorter term’ scenario, where oil prices return to pre-conflict levels by the end of 2026, inflation peaks at around 4.5 per cent in June 2026 and GDP is 0.2 per</w:t>
      </w:r>
      <w:r w:rsidRPr="001213F7" w:rsidDel="00056649">
        <w:t xml:space="preserve"> </w:t>
      </w:r>
      <w:r w:rsidRPr="001213F7">
        <w:t>cent lower in mid-2026.</w:t>
      </w:r>
    </w:p>
    <w:p w14:paraId="56281B5E" w14:textId="06034134" w:rsidR="00900469" w:rsidRPr="001213F7" w:rsidRDefault="00900469" w:rsidP="000D4FA9">
      <w:pPr>
        <w:ind w:right="151"/>
        <w:rPr>
          <w:i/>
          <w:iCs/>
        </w:rPr>
      </w:pPr>
      <w:r w:rsidRPr="001213F7">
        <w:lastRenderedPageBreak/>
        <w:t>Nationally, labour market conditions are expected to ease only modestly over the coming year. The RBA forecast employment growth of 1.2 per cent through the year to</w:t>
      </w:r>
      <w:r w:rsidR="000D4FA9" w:rsidRPr="001213F7">
        <w:t> </w:t>
      </w:r>
      <w:r w:rsidRPr="001213F7">
        <w:t xml:space="preserve">the June quarter 2027, while the unemployment rate was forecast to remain low, reaching 4.4 per cent in the June quarter 2027. The RBA expected unemployment to rise slightly over the following year, to be 4.6 per cent by June 2028. </w:t>
      </w:r>
    </w:p>
    <w:p w14:paraId="5BAEBF49" w14:textId="77777777" w:rsidR="00900469" w:rsidRPr="001213F7" w:rsidRDefault="00900469" w:rsidP="000D4FA9">
      <w:pPr>
        <w:ind w:right="-119"/>
        <w:rPr>
          <w:i/>
          <w:iCs/>
        </w:rPr>
      </w:pPr>
      <w:r w:rsidRPr="001213F7">
        <w:t>Wages growth has slowed from recent highs but is expected to remain above pre</w:t>
      </w:r>
      <w:r w:rsidRPr="001213F7">
        <w:noBreakHyphen/>
        <w:t xml:space="preserve">pandemic rates, consistent with ongoing strength in the labour market. The RBA forecast Australian wage growth of 3.1 per cent over the years to June 2026 and June 2027. </w:t>
      </w:r>
    </w:p>
    <w:p w14:paraId="59ED4110" w14:textId="590ACE69" w:rsidR="00900469" w:rsidRPr="001213F7" w:rsidRDefault="00900469">
      <w:r w:rsidRPr="001213F7">
        <w:t>Inflation has</w:t>
      </w:r>
      <w:r w:rsidRPr="001213F7" w:rsidDel="00C85DB6">
        <w:t xml:space="preserve"> </w:t>
      </w:r>
      <w:r w:rsidRPr="001213F7">
        <w:t xml:space="preserve">picked up to be above the RBA’s target of 2 to 3 per cent, due to stronger domestic demand as well as the end of government energy rebates. Inflation rose by </w:t>
      </w:r>
      <w:r w:rsidR="008A1E87" w:rsidRPr="001213F7">
        <w:t>4.6</w:t>
      </w:r>
      <w:r w:rsidRPr="001213F7">
        <w:t xml:space="preserve"> per cent over the year to </w:t>
      </w:r>
      <w:r w:rsidR="008A1E87" w:rsidRPr="001213F7">
        <w:t xml:space="preserve">March </w:t>
      </w:r>
      <w:r w:rsidRPr="001213F7">
        <w:t xml:space="preserve">2026 and the RBA expects inflation will remain above </w:t>
      </w:r>
      <w:r w:rsidR="007B305F" w:rsidRPr="001213F7">
        <w:t xml:space="preserve">its </w:t>
      </w:r>
      <w:r w:rsidRPr="001213F7">
        <w:t xml:space="preserve">target </w:t>
      </w:r>
      <w:r w:rsidR="007B305F" w:rsidRPr="001213F7">
        <w:t xml:space="preserve">band </w:t>
      </w:r>
      <w:r w:rsidRPr="001213F7">
        <w:t xml:space="preserve">for some time. Before the Middle East crisis commenced, the RBA had forecast headline inflation would rise to above 4 per cent by June 2026 and remain above the target band until 2027. </w:t>
      </w:r>
    </w:p>
    <w:p w14:paraId="7DE5F214" w14:textId="77777777" w:rsidR="00900469" w:rsidRPr="001213F7" w:rsidRDefault="00900469" w:rsidP="00792ABF">
      <w:pPr>
        <w:pStyle w:val="Heading1"/>
      </w:pPr>
      <w:bookmarkStart w:id="24" w:name="_Toc165467336"/>
      <w:bookmarkStart w:id="25" w:name="_Toc228294213"/>
      <w:bookmarkStart w:id="26" w:name="_Toc228545295"/>
      <w:r w:rsidRPr="001213F7">
        <w:t>International economic conditions and outlook</w:t>
      </w:r>
      <w:bookmarkEnd w:id="24"/>
      <w:bookmarkEnd w:id="25"/>
      <w:bookmarkEnd w:id="26"/>
    </w:p>
    <w:p w14:paraId="7984DF59" w14:textId="3A8EE415" w:rsidR="00900469" w:rsidRPr="001213F7" w:rsidRDefault="00900469" w:rsidP="001E38CB">
      <w:pPr>
        <w:ind w:right="-119"/>
      </w:pPr>
      <w:r w:rsidRPr="001213F7">
        <w:t>Prior to the latest conflict in the Middle East, the global economy had remained resilient to the pressures of elevated inflation and ongoing trade tensions throughout 2025. United States</w:t>
      </w:r>
      <w:r w:rsidR="00197E46" w:rsidRPr="001213F7">
        <w:t>’</w:t>
      </w:r>
      <w:r w:rsidRPr="001213F7">
        <w:t xml:space="preserve"> trade policy developments had less impact on global growth than was initially expected, with global trade flows adjusting relatively quickly to higher tariffs and uncertain policies. Global growth in 2025 is estimated to have been 3.4 per cent, unchanged from the 2024 outcome, and was supported by rising technology investment, fiscal and monetary support, and favourable financial conditions. This is below its historical (2000</w:t>
      </w:r>
      <w:r w:rsidR="007A30E5" w:rsidRPr="001213F7">
        <w:noBreakHyphen/>
      </w:r>
      <w:r w:rsidRPr="001213F7">
        <w:t>2019) average of 3.7 per cent but is robust in the context of US tariff policy changes</w:t>
      </w:r>
      <w:r w:rsidR="00CA6C8B" w:rsidRPr="001213F7">
        <w:t xml:space="preserve">. </w:t>
      </w:r>
    </w:p>
    <w:p w14:paraId="797963B9" w14:textId="77777777" w:rsidR="00900469" w:rsidRPr="001213F7" w:rsidRDefault="00900469">
      <w:r w:rsidRPr="001213F7">
        <w:t xml:space="preserve">While the global economy entered 2026 growing more strongly than previously expected, the impact of the conflict in the Middle East is weighing on the outlook for global activity, with significant risks to the downside should the conflict persist or escalate. The conflict has led to energy supply disruptions for some countries, particularly in Asia, and global oil and gas prices have surged. Supply of other key production inputs, including agricultural fertilisers, has also been heavily disrupted. </w:t>
      </w:r>
    </w:p>
    <w:p w14:paraId="40F39CEE" w14:textId="36728E7C" w:rsidR="00900469" w:rsidRPr="001213F7" w:rsidRDefault="00900469">
      <w:r w:rsidRPr="001213F7">
        <w:t xml:space="preserve">The International Monetary Fund (IMF), in its April 2026 </w:t>
      </w:r>
      <w:r w:rsidRPr="001213F7">
        <w:rPr>
          <w:i/>
          <w:iCs/>
        </w:rPr>
        <w:t>World Economic Outlook</w:t>
      </w:r>
      <w:r w:rsidRPr="001213F7">
        <w:t>, expects global growth to slow to 3.1 per cent in 2026 and 3.2 per cent in 2027 (see Table 2.2). Global inflation is projected to increase to 4.4 per cent in 2026, up from 4.1 per cent in 2025, before falling to 3.7 per cent in 2027</w:t>
      </w:r>
      <w:r w:rsidR="00CA6C8B" w:rsidRPr="001213F7">
        <w:t xml:space="preserve">. </w:t>
      </w:r>
    </w:p>
    <w:p w14:paraId="5CD81F84" w14:textId="55F90B1E" w:rsidR="00900469" w:rsidRPr="001213F7" w:rsidRDefault="00900469" w:rsidP="00C4399E">
      <w:pPr>
        <w:keepNext/>
        <w:ind w:right="-115"/>
      </w:pPr>
      <w:r w:rsidRPr="001213F7">
        <w:lastRenderedPageBreak/>
        <w:t>The outlook for advanced economies is mixed. Despite the Middle East conflict and global energy market disruptions, growth in the United States is expected to be a little higher in 2026 at 2.3 per cent, up from 2.1 per cent in 2025, supported by fiscal policy and the lagged effects of interest rate cuts in 2025 – even as the imposition of tariffs on US imports weigh</w:t>
      </w:r>
      <w:r w:rsidR="004F6397" w:rsidRPr="001213F7">
        <w:t>s</w:t>
      </w:r>
      <w:r w:rsidRPr="001213F7">
        <w:t xml:space="preserve"> on the level of activity. The outlook also reflects a relatively limited expected effect from the Middle East conflict, given the United States is a net energy exporter. US growth is forecast to ease to 2.1 per cent in 2027, alongside some moderation in technology</w:t>
      </w:r>
      <w:r w:rsidRPr="001213F7">
        <w:noBreakHyphen/>
        <w:t>driven investment. In the euro area, growth is expected to decline from 1.4 per cent in 2025 to 1.1 per cent in 2026, and then pick up modestly to 1.2 per cent in 2027.</w:t>
      </w:r>
    </w:p>
    <w:p w14:paraId="6A3DE89C" w14:textId="77777777" w:rsidR="00900469" w:rsidRPr="001213F7" w:rsidRDefault="00900469">
      <w:r w:rsidRPr="001213F7">
        <w:t>Economic growth in emerging market and developing economies is expected to slow, falling to 3.9 per cent in 2026 from 4.4 per cent in 2025.</w:t>
      </w:r>
      <w:r w:rsidRPr="001213F7" w:rsidDel="003F133B">
        <w:t xml:space="preserve"> </w:t>
      </w:r>
      <w:r w:rsidRPr="001213F7">
        <w:t xml:space="preserve">Growth in China is forecast to slow from an estimated 5.0 per cent in 2025 to 4.4 per cent in 2026, before growth moderates further to 4.0 per cent in 2027 due to structural headwinds, including a declining labour force. In India, growth is forecast to slow to 6.5 per cent in 2026 and 2027, from 7.6 per cent in 2025. </w:t>
      </w:r>
    </w:p>
    <w:p w14:paraId="6411AAD2" w14:textId="77777777" w:rsidR="00900469" w:rsidRPr="001213F7" w:rsidRDefault="00900469">
      <w:r w:rsidRPr="001213F7">
        <w:t>These forecasts assume the conflict is relatively short-lived, with the disruptions fading by mid-2026. Given the fluidity of the situation in the Middle East, the IMF also presents two alternative scenarios which assume a more prolonged and intense conflict, resulting in more marked slowdowns in global growth (see Chart 2.13).</w:t>
      </w:r>
    </w:p>
    <w:p w14:paraId="14D327B0" w14:textId="77777777" w:rsidR="00900469" w:rsidRPr="001213F7" w:rsidRDefault="00900469" w:rsidP="00C4399E">
      <w:pPr>
        <w:pStyle w:val="TableHeading"/>
        <w:ind w:left="1022" w:hanging="1022"/>
        <w:rPr>
          <w:bCs/>
          <w:lang w:val="en-US"/>
        </w:rPr>
      </w:pPr>
      <w:r w:rsidRPr="001213F7">
        <w:t>Table 2.2:</w:t>
      </w:r>
      <w:r w:rsidRPr="001213F7">
        <w:tab/>
        <w:t xml:space="preserve">Summary of the IMF’s global economic growth forecasts </w:t>
      </w:r>
      <w:r w:rsidRPr="001213F7">
        <w:rPr>
          <w:vertAlign w:val="superscript"/>
        </w:rPr>
        <w:t>(a)(b)</w:t>
      </w:r>
      <w:r w:rsidRPr="001213F7">
        <w:rPr>
          <w:vertAlign w:val="superscript"/>
        </w:rPr>
        <w:tab/>
      </w:r>
      <w:r w:rsidRPr="001213F7">
        <w:t>(per cent)</w:t>
      </w:r>
    </w:p>
    <w:tbl>
      <w:tblPr>
        <w:tblStyle w:val="DTFTableNumeric"/>
        <w:tblW w:w="7765" w:type="dxa"/>
        <w:tblLayout w:type="fixed"/>
        <w:tblLook w:val="04A0" w:firstRow="1" w:lastRow="0" w:firstColumn="1" w:lastColumn="0" w:noHBand="0" w:noVBand="1"/>
      </w:tblPr>
      <w:tblGrid>
        <w:gridCol w:w="4365"/>
        <w:gridCol w:w="850"/>
        <w:gridCol w:w="850"/>
        <w:gridCol w:w="850"/>
        <w:gridCol w:w="850"/>
      </w:tblGrid>
      <w:tr w:rsidR="00900469" w:rsidRPr="001213F7" w14:paraId="7217B7DB"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5" w:type="dxa"/>
          </w:tcPr>
          <w:p w14:paraId="03A645E9" w14:textId="77777777" w:rsidR="00900469" w:rsidRPr="001213F7" w:rsidRDefault="00900469">
            <w:pPr>
              <w:keepNext/>
              <w:ind w:left="173" w:hanging="173"/>
            </w:pPr>
          </w:p>
        </w:tc>
        <w:tc>
          <w:tcPr>
            <w:tcW w:w="850" w:type="dxa"/>
          </w:tcPr>
          <w:p w14:paraId="1CD4AD40" w14:textId="77777777" w:rsidR="00900469" w:rsidRPr="001213F7" w:rsidRDefault="00900469">
            <w:pPr>
              <w:cnfStyle w:val="100000000000" w:firstRow="1" w:lastRow="0" w:firstColumn="0" w:lastColumn="0" w:oddVBand="0" w:evenVBand="0" w:oddHBand="0" w:evenHBand="0" w:firstRowFirstColumn="0" w:firstRowLastColumn="0" w:lastRowFirstColumn="0" w:lastRowLastColumn="0"/>
            </w:pPr>
            <w:r w:rsidRPr="001213F7">
              <w:t>2024</w:t>
            </w:r>
            <w:r w:rsidRPr="001213F7">
              <w:br/>
              <w:t>actual</w:t>
            </w:r>
          </w:p>
        </w:tc>
        <w:tc>
          <w:tcPr>
            <w:tcW w:w="850" w:type="dxa"/>
          </w:tcPr>
          <w:p w14:paraId="26072D2B" w14:textId="77777777" w:rsidR="00900469" w:rsidRPr="001213F7" w:rsidRDefault="00900469">
            <w:pPr>
              <w:cnfStyle w:val="100000000000" w:firstRow="1" w:lastRow="0" w:firstColumn="0" w:lastColumn="0" w:oddVBand="0" w:evenVBand="0" w:oddHBand="0" w:evenHBand="0" w:firstRowFirstColumn="0" w:firstRowLastColumn="0" w:lastRowFirstColumn="0" w:lastRowLastColumn="0"/>
            </w:pPr>
            <w:r w:rsidRPr="001213F7">
              <w:t>2025</w:t>
            </w:r>
            <w:r w:rsidRPr="001213F7">
              <w:br/>
              <w:t>estimate</w:t>
            </w:r>
          </w:p>
        </w:tc>
        <w:tc>
          <w:tcPr>
            <w:tcW w:w="850" w:type="dxa"/>
          </w:tcPr>
          <w:p w14:paraId="7C5C97F2" w14:textId="77777777" w:rsidR="00900469" w:rsidRPr="001213F7" w:rsidRDefault="00900469">
            <w:pPr>
              <w:cnfStyle w:val="100000000000" w:firstRow="1" w:lastRow="0" w:firstColumn="0" w:lastColumn="0" w:oddVBand="0" w:evenVBand="0" w:oddHBand="0" w:evenHBand="0" w:firstRowFirstColumn="0" w:firstRowLastColumn="0" w:lastRowFirstColumn="0" w:lastRowLastColumn="0"/>
            </w:pPr>
            <w:r w:rsidRPr="001213F7">
              <w:t>2026</w:t>
            </w:r>
            <w:r w:rsidRPr="001213F7">
              <w:br/>
              <w:t>projection</w:t>
            </w:r>
          </w:p>
        </w:tc>
        <w:tc>
          <w:tcPr>
            <w:tcW w:w="850" w:type="dxa"/>
          </w:tcPr>
          <w:p w14:paraId="073E0A24" w14:textId="77777777" w:rsidR="00900469" w:rsidRPr="001213F7" w:rsidRDefault="00900469">
            <w:pPr>
              <w:cnfStyle w:val="100000000000" w:firstRow="1" w:lastRow="0" w:firstColumn="0" w:lastColumn="0" w:oddVBand="0" w:evenVBand="0" w:oddHBand="0" w:evenHBand="0" w:firstRowFirstColumn="0" w:firstRowLastColumn="0" w:lastRowFirstColumn="0" w:lastRowLastColumn="0"/>
            </w:pPr>
            <w:r w:rsidRPr="001213F7">
              <w:t>2027</w:t>
            </w:r>
            <w:r w:rsidRPr="001213F7">
              <w:br/>
              <w:t>projection</w:t>
            </w:r>
          </w:p>
        </w:tc>
      </w:tr>
      <w:tr w:rsidR="00900469" w:rsidRPr="001213F7" w14:paraId="69D4494A" w14:textId="77777777">
        <w:tc>
          <w:tcPr>
            <w:cnfStyle w:val="001000000000" w:firstRow="0" w:lastRow="0" w:firstColumn="1" w:lastColumn="0" w:oddVBand="0" w:evenVBand="0" w:oddHBand="0" w:evenHBand="0" w:firstRowFirstColumn="0" w:firstRowLastColumn="0" w:lastRowFirstColumn="0" w:lastRowLastColumn="0"/>
            <w:tcW w:w="4365" w:type="dxa"/>
          </w:tcPr>
          <w:p w14:paraId="12F52FEB" w14:textId="77777777" w:rsidR="00900469" w:rsidRPr="001213F7" w:rsidRDefault="00900469">
            <w:pPr>
              <w:keepNext/>
              <w:ind w:left="173" w:hanging="173"/>
              <w:rPr>
                <w:rFonts w:eastAsiaTheme="minorEastAsia" w:cstheme="majorHAnsi"/>
                <w:b/>
                <w:bCs/>
                <w:color w:val="000000"/>
                <w:szCs w:val="17"/>
                <w:lang w:eastAsia="en-AU"/>
              </w:rPr>
            </w:pPr>
            <w:r w:rsidRPr="001213F7">
              <w:rPr>
                <w:rFonts w:eastAsiaTheme="minorEastAsia" w:cstheme="majorHAnsi"/>
                <w:b/>
                <w:bCs/>
                <w:color w:val="000000"/>
                <w:szCs w:val="17"/>
                <w:lang w:eastAsia="en-AU"/>
              </w:rPr>
              <w:t>World output</w:t>
            </w:r>
          </w:p>
        </w:tc>
        <w:tc>
          <w:tcPr>
            <w:tcW w:w="850" w:type="dxa"/>
          </w:tcPr>
          <w:p w14:paraId="633BF873" w14:textId="77777777" w:rsidR="00900469" w:rsidRPr="001213F7" w:rsidRDefault="00900469">
            <w:pPr>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17"/>
                <w:lang w:eastAsia="en-AU"/>
              </w:rPr>
            </w:pPr>
            <w:r w:rsidRPr="001213F7">
              <w:rPr>
                <w:b/>
                <w:bCs/>
              </w:rPr>
              <w:t>3.4</w:t>
            </w:r>
          </w:p>
        </w:tc>
        <w:tc>
          <w:tcPr>
            <w:tcW w:w="850" w:type="dxa"/>
          </w:tcPr>
          <w:p w14:paraId="0EB748D2" w14:textId="77777777" w:rsidR="00900469" w:rsidRPr="001213F7" w:rsidRDefault="00900469">
            <w:pPr>
              <w:cnfStyle w:val="000000000000" w:firstRow="0" w:lastRow="0" w:firstColumn="0" w:lastColumn="0" w:oddVBand="0" w:evenVBand="0" w:oddHBand="0" w:evenHBand="0" w:firstRowFirstColumn="0" w:firstRowLastColumn="0" w:lastRowFirstColumn="0" w:lastRowLastColumn="0"/>
              <w:rPr>
                <w:rFonts w:eastAsiaTheme="minorEastAsia" w:cstheme="majorHAnsi"/>
                <w:b/>
                <w:szCs w:val="17"/>
                <w:lang w:eastAsia="en-AU"/>
              </w:rPr>
            </w:pPr>
            <w:r w:rsidRPr="001213F7">
              <w:rPr>
                <w:b/>
                <w:bCs/>
              </w:rPr>
              <w:t>3.4</w:t>
            </w:r>
          </w:p>
        </w:tc>
        <w:tc>
          <w:tcPr>
            <w:tcW w:w="850" w:type="dxa"/>
          </w:tcPr>
          <w:p w14:paraId="28714920" w14:textId="77777777" w:rsidR="00900469" w:rsidRPr="001213F7" w:rsidRDefault="00900469">
            <w:pPr>
              <w:cnfStyle w:val="000000000000" w:firstRow="0" w:lastRow="0" w:firstColumn="0" w:lastColumn="0" w:oddVBand="0" w:evenVBand="0" w:oddHBand="0" w:evenHBand="0" w:firstRowFirstColumn="0" w:firstRowLastColumn="0" w:lastRowFirstColumn="0" w:lastRowLastColumn="0"/>
              <w:rPr>
                <w:rFonts w:eastAsiaTheme="minorEastAsia" w:cstheme="majorHAnsi"/>
                <w:b/>
                <w:szCs w:val="17"/>
                <w:lang w:eastAsia="en-AU"/>
              </w:rPr>
            </w:pPr>
            <w:r w:rsidRPr="001213F7">
              <w:rPr>
                <w:b/>
                <w:bCs/>
              </w:rPr>
              <w:t>3.1</w:t>
            </w:r>
          </w:p>
        </w:tc>
        <w:tc>
          <w:tcPr>
            <w:tcW w:w="850" w:type="dxa"/>
          </w:tcPr>
          <w:p w14:paraId="1D0F2A3E" w14:textId="77777777" w:rsidR="00900469" w:rsidRPr="001213F7" w:rsidRDefault="00900469">
            <w:pPr>
              <w:cnfStyle w:val="000000000000" w:firstRow="0" w:lastRow="0" w:firstColumn="0" w:lastColumn="0" w:oddVBand="0" w:evenVBand="0" w:oddHBand="0" w:evenHBand="0" w:firstRowFirstColumn="0" w:firstRowLastColumn="0" w:lastRowFirstColumn="0" w:lastRowLastColumn="0"/>
              <w:rPr>
                <w:rFonts w:eastAsiaTheme="minorEastAsia" w:cstheme="majorHAnsi"/>
                <w:b/>
                <w:szCs w:val="17"/>
                <w:lang w:eastAsia="en-AU"/>
              </w:rPr>
            </w:pPr>
            <w:r w:rsidRPr="001213F7">
              <w:rPr>
                <w:b/>
              </w:rPr>
              <w:t>3.</w:t>
            </w:r>
            <w:r w:rsidRPr="001213F7">
              <w:rPr>
                <w:b/>
                <w:bCs/>
              </w:rPr>
              <w:t>2</w:t>
            </w:r>
          </w:p>
        </w:tc>
      </w:tr>
      <w:tr w:rsidR="00900469" w:rsidRPr="001213F7" w14:paraId="539A5B66" w14:textId="77777777">
        <w:tc>
          <w:tcPr>
            <w:cnfStyle w:val="001000000000" w:firstRow="0" w:lastRow="0" w:firstColumn="1" w:lastColumn="0" w:oddVBand="0" w:evenVBand="0" w:oddHBand="0" w:evenHBand="0" w:firstRowFirstColumn="0" w:firstRowLastColumn="0" w:lastRowFirstColumn="0" w:lastRowLastColumn="0"/>
            <w:tcW w:w="4365" w:type="dxa"/>
          </w:tcPr>
          <w:p w14:paraId="100C81A4" w14:textId="77777777" w:rsidR="00900469" w:rsidRPr="001213F7" w:rsidRDefault="00900469">
            <w:pPr>
              <w:keepNext/>
              <w:ind w:left="173" w:hanging="173"/>
              <w:rPr>
                <w:rFonts w:eastAsiaTheme="minorEastAsia" w:cstheme="majorHAnsi"/>
                <w:b/>
                <w:bCs/>
                <w:color w:val="000000"/>
                <w:szCs w:val="17"/>
                <w:lang w:eastAsia="en-AU"/>
              </w:rPr>
            </w:pPr>
            <w:r w:rsidRPr="001213F7">
              <w:rPr>
                <w:rFonts w:eastAsiaTheme="minorEastAsia" w:cstheme="majorHAnsi"/>
                <w:b/>
                <w:bCs/>
                <w:color w:val="000000"/>
                <w:szCs w:val="17"/>
                <w:lang w:eastAsia="en-AU"/>
              </w:rPr>
              <w:t>Advanced economies</w:t>
            </w:r>
          </w:p>
        </w:tc>
        <w:tc>
          <w:tcPr>
            <w:tcW w:w="850" w:type="dxa"/>
          </w:tcPr>
          <w:p w14:paraId="4AD61751" w14:textId="77777777" w:rsidR="00900469" w:rsidRPr="001213F7" w:rsidRDefault="00900469">
            <w:pPr>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17"/>
                <w:lang w:eastAsia="en-AU"/>
              </w:rPr>
            </w:pPr>
            <w:r w:rsidRPr="001213F7">
              <w:rPr>
                <w:b/>
                <w:bCs/>
              </w:rPr>
              <w:t>1.8</w:t>
            </w:r>
          </w:p>
        </w:tc>
        <w:tc>
          <w:tcPr>
            <w:tcW w:w="850" w:type="dxa"/>
          </w:tcPr>
          <w:p w14:paraId="124954BF" w14:textId="77777777" w:rsidR="00900469" w:rsidRPr="001213F7" w:rsidRDefault="00900469">
            <w:pPr>
              <w:cnfStyle w:val="000000000000" w:firstRow="0" w:lastRow="0" w:firstColumn="0" w:lastColumn="0" w:oddVBand="0" w:evenVBand="0" w:oddHBand="0" w:evenHBand="0" w:firstRowFirstColumn="0" w:firstRowLastColumn="0" w:lastRowFirstColumn="0" w:lastRowLastColumn="0"/>
              <w:rPr>
                <w:rFonts w:eastAsiaTheme="minorEastAsia" w:cstheme="majorHAnsi"/>
                <w:b/>
                <w:szCs w:val="17"/>
                <w:lang w:eastAsia="en-AU"/>
              </w:rPr>
            </w:pPr>
            <w:r w:rsidRPr="001213F7">
              <w:rPr>
                <w:b/>
              </w:rPr>
              <w:t>1.</w:t>
            </w:r>
            <w:r w:rsidRPr="001213F7">
              <w:rPr>
                <w:b/>
                <w:bCs/>
              </w:rPr>
              <w:t>9</w:t>
            </w:r>
          </w:p>
        </w:tc>
        <w:tc>
          <w:tcPr>
            <w:tcW w:w="850" w:type="dxa"/>
          </w:tcPr>
          <w:p w14:paraId="2244E075" w14:textId="77777777" w:rsidR="00900469" w:rsidRPr="001213F7" w:rsidRDefault="00900469">
            <w:pPr>
              <w:cnfStyle w:val="000000000000" w:firstRow="0" w:lastRow="0" w:firstColumn="0" w:lastColumn="0" w:oddVBand="0" w:evenVBand="0" w:oddHBand="0" w:evenHBand="0" w:firstRowFirstColumn="0" w:firstRowLastColumn="0" w:lastRowFirstColumn="0" w:lastRowLastColumn="0"/>
              <w:rPr>
                <w:rFonts w:eastAsiaTheme="minorEastAsia" w:cstheme="majorHAnsi"/>
                <w:b/>
                <w:szCs w:val="17"/>
                <w:lang w:eastAsia="en-AU"/>
              </w:rPr>
            </w:pPr>
            <w:r w:rsidRPr="001213F7">
              <w:rPr>
                <w:b/>
              </w:rPr>
              <w:t>1.</w:t>
            </w:r>
            <w:r w:rsidRPr="001213F7">
              <w:rPr>
                <w:b/>
                <w:bCs/>
              </w:rPr>
              <w:t>8</w:t>
            </w:r>
          </w:p>
        </w:tc>
        <w:tc>
          <w:tcPr>
            <w:tcW w:w="850" w:type="dxa"/>
          </w:tcPr>
          <w:p w14:paraId="47639D67" w14:textId="77777777" w:rsidR="00900469" w:rsidRPr="001213F7" w:rsidRDefault="00900469">
            <w:pPr>
              <w:cnfStyle w:val="000000000000" w:firstRow="0" w:lastRow="0" w:firstColumn="0" w:lastColumn="0" w:oddVBand="0" w:evenVBand="0" w:oddHBand="0" w:evenHBand="0" w:firstRowFirstColumn="0" w:firstRowLastColumn="0" w:lastRowFirstColumn="0" w:lastRowLastColumn="0"/>
              <w:rPr>
                <w:rFonts w:eastAsiaTheme="minorEastAsia" w:cstheme="majorHAnsi"/>
                <w:b/>
                <w:szCs w:val="17"/>
                <w:lang w:eastAsia="en-AU"/>
              </w:rPr>
            </w:pPr>
            <w:r w:rsidRPr="001213F7">
              <w:rPr>
                <w:b/>
              </w:rPr>
              <w:t>1.</w:t>
            </w:r>
            <w:r w:rsidRPr="001213F7">
              <w:rPr>
                <w:b/>
                <w:bCs/>
              </w:rPr>
              <w:t>7</w:t>
            </w:r>
          </w:p>
        </w:tc>
      </w:tr>
      <w:tr w:rsidR="00900469" w:rsidRPr="001213F7" w14:paraId="34EB2368" w14:textId="77777777">
        <w:tc>
          <w:tcPr>
            <w:cnfStyle w:val="001000000000" w:firstRow="0" w:lastRow="0" w:firstColumn="1" w:lastColumn="0" w:oddVBand="0" w:evenVBand="0" w:oddHBand="0" w:evenHBand="0" w:firstRowFirstColumn="0" w:firstRowLastColumn="0" w:lastRowFirstColumn="0" w:lastRowLastColumn="0"/>
            <w:tcW w:w="4365" w:type="dxa"/>
          </w:tcPr>
          <w:p w14:paraId="63B12FDE" w14:textId="77777777" w:rsidR="00900469" w:rsidRPr="001213F7" w:rsidRDefault="00900469">
            <w:pPr>
              <w:rPr>
                <w:rFonts w:eastAsiaTheme="minorEastAsia" w:cstheme="majorHAnsi"/>
                <w:color w:val="000000"/>
                <w:szCs w:val="17"/>
                <w:lang w:eastAsia="en-AU"/>
              </w:rPr>
            </w:pPr>
            <w:r w:rsidRPr="001213F7">
              <w:rPr>
                <w:rFonts w:eastAsiaTheme="minorEastAsia" w:cstheme="majorHAnsi"/>
                <w:color w:val="000000"/>
                <w:szCs w:val="17"/>
                <w:lang w:eastAsia="en-AU"/>
              </w:rPr>
              <w:t xml:space="preserve">   United States</w:t>
            </w:r>
          </w:p>
        </w:tc>
        <w:tc>
          <w:tcPr>
            <w:tcW w:w="850" w:type="dxa"/>
          </w:tcPr>
          <w:p w14:paraId="1F86535B" w14:textId="77777777" w:rsidR="00900469" w:rsidRPr="001213F7" w:rsidRDefault="00900469">
            <w:pPr>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7"/>
                <w:lang w:eastAsia="en-AU"/>
              </w:rPr>
            </w:pPr>
            <w:r w:rsidRPr="001213F7">
              <w:t>2.8</w:t>
            </w:r>
          </w:p>
        </w:tc>
        <w:tc>
          <w:tcPr>
            <w:tcW w:w="850" w:type="dxa"/>
          </w:tcPr>
          <w:p w14:paraId="7F389FA0" w14:textId="77777777" w:rsidR="00900469" w:rsidRPr="001213F7" w:rsidRDefault="00900469">
            <w:pPr>
              <w:cnfStyle w:val="000000000000" w:firstRow="0" w:lastRow="0" w:firstColumn="0" w:lastColumn="0" w:oddVBand="0" w:evenVBand="0" w:oddHBand="0" w:evenHBand="0" w:firstRowFirstColumn="0" w:firstRowLastColumn="0" w:lastRowFirstColumn="0" w:lastRowLastColumn="0"/>
              <w:rPr>
                <w:rFonts w:eastAsiaTheme="minorEastAsia" w:cstheme="majorHAnsi"/>
                <w:szCs w:val="17"/>
                <w:lang w:eastAsia="en-AU"/>
              </w:rPr>
            </w:pPr>
            <w:r w:rsidRPr="001213F7">
              <w:t>2.1</w:t>
            </w:r>
          </w:p>
        </w:tc>
        <w:tc>
          <w:tcPr>
            <w:tcW w:w="850" w:type="dxa"/>
          </w:tcPr>
          <w:p w14:paraId="3A50A799" w14:textId="77777777" w:rsidR="00900469" w:rsidRPr="001213F7" w:rsidRDefault="00900469">
            <w:pPr>
              <w:cnfStyle w:val="000000000000" w:firstRow="0" w:lastRow="0" w:firstColumn="0" w:lastColumn="0" w:oddVBand="0" w:evenVBand="0" w:oddHBand="0" w:evenHBand="0" w:firstRowFirstColumn="0" w:firstRowLastColumn="0" w:lastRowFirstColumn="0" w:lastRowLastColumn="0"/>
              <w:rPr>
                <w:rFonts w:eastAsiaTheme="minorEastAsia" w:cstheme="majorHAnsi"/>
                <w:szCs w:val="17"/>
                <w:lang w:eastAsia="en-AU"/>
              </w:rPr>
            </w:pPr>
            <w:r w:rsidRPr="001213F7">
              <w:t>2.3</w:t>
            </w:r>
          </w:p>
        </w:tc>
        <w:tc>
          <w:tcPr>
            <w:tcW w:w="850" w:type="dxa"/>
          </w:tcPr>
          <w:p w14:paraId="433A76C4" w14:textId="77777777" w:rsidR="00900469" w:rsidRPr="001213F7" w:rsidRDefault="00900469">
            <w:pPr>
              <w:cnfStyle w:val="000000000000" w:firstRow="0" w:lastRow="0" w:firstColumn="0" w:lastColumn="0" w:oddVBand="0" w:evenVBand="0" w:oddHBand="0" w:evenHBand="0" w:firstRowFirstColumn="0" w:firstRowLastColumn="0" w:lastRowFirstColumn="0" w:lastRowLastColumn="0"/>
              <w:rPr>
                <w:rFonts w:eastAsiaTheme="minorEastAsia" w:cstheme="majorHAnsi"/>
                <w:szCs w:val="17"/>
                <w:lang w:eastAsia="en-AU"/>
              </w:rPr>
            </w:pPr>
            <w:r w:rsidRPr="001213F7">
              <w:t>2.1</w:t>
            </w:r>
          </w:p>
        </w:tc>
      </w:tr>
      <w:tr w:rsidR="00900469" w:rsidRPr="001213F7" w14:paraId="58DE7BB2" w14:textId="77777777">
        <w:tc>
          <w:tcPr>
            <w:cnfStyle w:val="001000000000" w:firstRow="0" w:lastRow="0" w:firstColumn="1" w:lastColumn="0" w:oddVBand="0" w:evenVBand="0" w:oddHBand="0" w:evenHBand="0" w:firstRowFirstColumn="0" w:firstRowLastColumn="0" w:lastRowFirstColumn="0" w:lastRowLastColumn="0"/>
            <w:tcW w:w="4365" w:type="dxa"/>
          </w:tcPr>
          <w:p w14:paraId="3BBA1D54" w14:textId="77777777" w:rsidR="00900469" w:rsidRPr="001213F7" w:rsidRDefault="00900469">
            <w:pPr>
              <w:rPr>
                <w:rFonts w:eastAsiaTheme="minorEastAsia" w:cstheme="majorHAnsi"/>
                <w:color w:val="000000"/>
                <w:szCs w:val="17"/>
                <w:lang w:eastAsia="en-AU"/>
              </w:rPr>
            </w:pPr>
            <w:r w:rsidRPr="001213F7">
              <w:rPr>
                <w:rFonts w:eastAsiaTheme="minorEastAsia" w:cstheme="majorHAnsi"/>
                <w:color w:val="000000"/>
                <w:szCs w:val="17"/>
                <w:lang w:eastAsia="en-AU"/>
              </w:rPr>
              <w:t xml:space="preserve">   United Kingdom</w:t>
            </w:r>
          </w:p>
        </w:tc>
        <w:tc>
          <w:tcPr>
            <w:tcW w:w="850" w:type="dxa"/>
          </w:tcPr>
          <w:p w14:paraId="6E040378" w14:textId="77777777" w:rsidR="00900469" w:rsidRPr="001213F7" w:rsidRDefault="00900469">
            <w:pPr>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7"/>
                <w:lang w:eastAsia="en-AU"/>
              </w:rPr>
            </w:pPr>
            <w:r w:rsidRPr="001213F7">
              <w:t>1.1</w:t>
            </w:r>
          </w:p>
        </w:tc>
        <w:tc>
          <w:tcPr>
            <w:tcW w:w="850" w:type="dxa"/>
          </w:tcPr>
          <w:p w14:paraId="2B05F846" w14:textId="77777777" w:rsidR="00900469" w:rsidRPr="001213F7" w:rsidRDefault="00900469">
            <w:pPr>
              <w:cnfStyle w:val="000000000000" w:firstRow="0" w:lastRow="0" w:firstColumn="0" w:lastColumn="0" w:oddVBand="0" w:evenVBand="0" w:oddHBand="0" w:evenHBand="0" w:firstRowFirstColumn="0" w:firstRowLastColumn="0" w:lastRowFirstColumn="0" w:lastRowLastColumn="0"/>
              <w:rPr>
                <w:rFonts w:eastAsiaTheme="minorEastAsia" w:cstheme="majorHAnsi"/>
                <w:szCs w:val="17"/>
                <w:lang w:eastAsia="en-AU"/>
              </w:rPr>
            </w:pPr>
            <w:r w:rsidRPr="001213F7">
              <w:t>1.3</w:t>
            </w:r>
          </w:p>
        </w:tc>
        <w:tc>
          <w:tcPr>
            <w:tcW w:w="850" w:type="dxa"/>
          </w:tcPr>
          <w:p w14:paraId="1F125BA4" w14:textId="77777777" w:rsidR="00900469" w:rsidRPr="001213F7" w:rsidRDefault="00900469">
            <w:pPr>
              <w:cnfStyle w:val="000000000000" w:firstRow="0" w:lastRow="0" w:firstColumn="0" w:lastColumn="0" w:oddVBand="0" w:evenVBand="0" w:oddHBand="0" w:evenHBand="0" w:firstRowFirstColumn="0" w:firstRowLastColumn="0" w:lastRowFirstColumn="0" w:lastRowLastColumn="0"/>
              <w:rPr>
                <w:rFonts w:eastAsiaTheme="minorEastAsia" w:cstheme="majorHAnsi"/>
                <w:szCs w:val="17"/>
                <w:lang w:eastAsia="en-AU"/>
              </w:rPr>
            </w:pPr>
            <w:r w:rsidRPr="001213F7">
              <w:t>0.8</w:t>
            </w:r>
          </w:p>
        </w:tc>
        <w:tc>
          <w:tcPr>
            <w:tcW w:w="850" w:type="dxa"/>
          </w:tcPr>
          <w:p w14:paraId="1E525DA0" w14:textId="77777777" w:rsidR="00900469" w:rsidRPr="001213F7" w:rsidRDefault="00900469">
            <w:pPr>
              <w:cnfStyle w:val="000000000000" w:firstRow="0" w:lastRow="0" w:firstColumn="0" w:lastColumn="0" w:oddVBand="0" w:evenVBand="0" w:oddHBand="0" w:evenHBand="0" w:firstRowFirstColumn="0" w:firstRowLastColumn="0" w:lastRowFirstColumn="0" w:lastRowLastColumn="0"/>
              <w:rPr>
                <w:rFonts w:eastAsiaTheme="minorEastAsia" w:cstheme="majorHAnsi"/>
                <w:szCs w:val="17"/>
                <w:lang w:eastAsia="en-AU"/>
              </w:rPr>
            </w:pPr>
            <w:r w:rsidRPr="001213F7">
              <w:t>1.3</w:t>
            </w:r>
          </w:p>
        </w:tc>
      </w:tr>
      <w:tr w:rsidR="00900469" w:rsidRPr="001213F7" w14:paraId="216EC7CB" w14:textId="77777777">
        <w:tc>
          <w:tcPr>
            <w:cnfStyle w:val="001000000000" w:firstRow="0" w:lastRow="0" w:firstColumn="1" w:lastColumn="0" w:oddVBand="0" w:evenVBand="0" w:oddHBand="0" w:evenHBand="0" w:firstRowFirstColumn="0" w:firstRowLastColumn="0" w:lastRowFirstColumn="0" w:lastRowLastColumn="0"/>
            <w:tcW w:w="4365" w:type="dxa"/>
          </w:tcPr>
          <w:p w14:paraId="6A3C3AD2" w14:textId="77777777" w:rsidR="00900469" w:rsidRPr="001213F7" w:rsidRDefault="00900469">
            <w:pPr>
              <w:rPr>
                <w:rFonts w:eastAsiaTheme="minorEastAsia" w:cstheme="majorHAnsi"/>
                <w:color w:val="000000"/>
                <w:szCs w:val="17"/>
                <w:lang w:eastAsia="en-AU"/>
              </w:rPr>
            </w:pPr>
            <w:r w:rsidRPr="001213F7">
              <w:rPr>
                <w:rFonts w:eastAsiaTheme="minorEastAsia" w:cstheme="majorHAnsi"/>
                <w:color w:val="000000"/>
                <w:szCs w:val="17"/>
                <w:lang w:eastAsia="en-AU"/>
              </w:rPr>
              <w:t xml:space="preserve">   Euro area</w:t>
            </w:r>
          </w:p>
        </w:tc>
        <w:tc>
          <w:tcPr>
            <w:tcW w:w="850" w:type="dxa"/>
          </w:tcPr>
          <w:p w14:paraId="23A97E5B" w14:textId="77777777" w:rsidR="00900469" w:rsidRPr="001213F7" w:rsidRDefault="00900469">
            <w:pPr>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7"/>
                <w:lang w:eastAsia="en-AU"/>
              </w:rPr>
            </w:pPr>
            <w:r w:rsidRPr="001213F7">
              <w:t>0.9</w:t>
            </w:r>
          </w:p>
        </w:tc>
        <w:tc>
          <w:tcPr>
            <w:tcW w:w="850" w:type="dxa"/>
          </w:tcPr>
          <w:p w14:paraId="38612A66" w14:textId="77777777" w:rsidR="00900469" w:rsidRPr="001213F7" w:rsidRDefault="00900469">
            <w:pPr>
              <w:cnfStyle w:val="000000000000" w:firstRow="0" w:lastRow="0" w:firstColumn="0" w:lastColumn="0" w:oddVBand="0" w:evenVBand="0" w:oddHBand="0" w:evenHBand="0" w:firstRowFirstColumn="0" w:firstRowLastColumn="0" w:lastRowFirstColumn="0" w:lastRowLastColumn="0"/>
              <w:rPr>
                <w:rFonts w:eastAsiaTheme="minorEastAsia" w:cstheme="majorHAnsi"/>
                <w:szCs w:val="17"/>
                <w:lang w:eastAsia="en-AU"/>
              </w:rPr>
            </w:pPr>
            <w:r w:rsidRPr="001213F7">
              <w:t>1.4</w:t>
            </w:r>
          </w:p>
        </w:tc>
        <w:tc>
          <w:tcPr>
            <w:tcW w:w="850" w:type="dxa"/>
          </w:tcPr>
          <w:p w14:paraId="02A44D85" w14:textId="77777777" w:rsidR="00900469" w:rsidRPr="001213F7" w:rsidRDefault="00900469">
            <w:pPr>
              <w:cnfStyle w:val="000000000000" w:firstRow="0" w:lastRow="0" w:firstColumn="0" w:lastColumn="0" w:oddVBand="0" w:evenVBand="0" w:oddHBand="0" w:evenHBand="0" w:firstRowFirstColumn="0" w:firstRowLastColumn="0" w:lastRowFirstColumn="0" w:lastRowLastColumn="0"/>
              <w:rPr>
                <w:rFonts w:eastAsiaTheme="minorEastAsia" w:cstheme="majorHAnsi"/>
                <w:szCs w:val="17"/>
                <w:lang w:eastAsia="en-AU"/>
              </w:rPr>
            </w:pPr>
            <w:r w:rsidRPr="001213F7">
              <w:t>1.1</w:t>
            </w:r>
          </w:p>
        </w:tc>
        <w:tc>
          <w:tcPr>
            <w:tcW w:w="850" w:type="dxa"/>
          </w:tcPr>
          <w:p w14:paraId="743E9F36" w14:textId="77777777" w:rsidR="00900469" w:rsidRPr="001213F7" w:rsidRDefault="00900469">
            <w:pPr>
              <w:cnfStyle w:val="000000000000" w:firstRow="0" w:lastRow="0" w:firstColumn="0" w:lastColumn="0" w:oddVBand="0" w:evenVBand="0" w:oddHBand="0" w:evenHBand="0" w:firstRowFirstColumn="0" w:firstRowLastColumn="0" w:lastRowFirstColumn="0" w:lastRowLastColumn="0"/>
              <w:rPr>
                <w:rFonts w:eastAsiaTheme="minorEastAsia" w:cstheme="majorHAnsi"/>
                <w:szCs w:val="17"/>
                <w:lang w:eastAsia="en-AU"/>
              </w:rPr>
            </w:pPr>
            <w:r w:rsidRPr="001213F7">
              <w:t>1.2</w:t>
            </w:r>
          </w:p>
        </w:tc>
      </w:tr>
      <w:tr w:rsidR="00900469" w:rsidRPr="001213F7" w14:paraId="3C969BCD" w14:textId="77777777">
        <w:tc>
          <w:tcPr>
            <w:cnfStyle w:val="001000000000" w:firstRow="0" w:lastRow="0" w:firstColumn="1" w:lastColumn="0" w:oddVBand="0" w:evenVBand="0" w:oddHBand="0" w:evenHBand="0" w:firstRowFirstColumn="0" w:firstRowLastColumn="0" w:lastRowFirstColumn="0" w:lastRowLastColumn="0"/>
            <w:tcW w:w="4365" w:type="dxa"/>
          </w:tcPr>
          <w:p w14:paraId="31F373D0" w14:textId="77777777" w:rsidR="00900469" w:rsidRPr="001213F7" w:rsidRDefault="00900469">
            <w:pPr>
              <w:rPr>
                <w:rFonts w:eastAsiaTheme="minorEastAsia" w:cstheme="majorHAnsi"/>
                <w:color w:val="000000"/>
                <w:szCs w:val="17"/>
                <w:lang w:eastAsia="en-AU"/>
              </w:rPr>
            </w:pPr>
            <w:r w:rsidRPr="001213F7">
              <w:rPr>
                <w:rFonts w:eastAsiaTheme="minorEastAsia" w:cstheme="majorHAnsi"/>
                <w:color w:val="000000"/>
                <w:szCs w:val="17"/>
                <w:lang w:eastAsia="en-AU"/>
              </w:rPr>
              <w:t xml:space="preserve">   Japan</w:t>
            </w:r>
          </w:p>
        </w:tc>
        <w:tc>
          <w:tcPr>
            <w:tcW w:w="850" w:type="dxa"/>
          </w:tcPr>
          <w:p w14:paraId="63AECDD3" w14:textId="77777777" w:rsidR="00900469" w:rsidRPr="001213F7" w:rsidRDefault="00900469">
            <w:pPr>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7"/>
                <w:lang w:eastAsia="en-AU"/>
              </w:rPr>
            </w:pPr>
            <w:r w:rsidRPr="001213F7">
              <w:t>–0.2</w:t>
            </w:r>
          </w:p>
        </w:tc>
        <w:tc>
          <w:tcPr>
            <w:tcW w:w="850" w:type="dxa"/>
          </w:tcPr>
          <w:p w14:paraId="441AFAA2" w14:textId="77777777" w:rsidR="00900469" w:rsidRPr="001213F7" w:rsidRDefault="00900469">
            <w:pPr>
              <w:cnfStyle w:val="000000000000" w:firstRow="0" w:lastRow="0" w:firstColumn="0" w:lastColumn="0" w:oddVBand="0" w:evenVBand="0" w:oddHBand="0" w:evenHBand="0" w:firstRowFirstColumn="0" w:firstRowLastColumn="0" w:lastRowFirstColumn="0" w:lastRowLastColumn="0"/>
              <w:rPr>
                <w:rFonts w:eastAsiaTheme="minorEastAsia" w:cstheme="majorHAnsi"/>
                <w:szCs w:val="17"/>
                <w:lang w:eastAsia="en-AU"/>
              </w:rPr>
            </w:pPr>
            <w:r w:rsidRPr="001213F7">
              <w:t>1.2</w:t>
            </w:r>
          </w:p>
        </w:tc>
        <w:tc>
          <w:tcPr>
            <w:tcW w:w="850" w:type="dxa"/>
          </w:tcPr>
          <w:p w14:paraId="5A0DF0AB" w14:textId="77777777" w:rsidR="00900469" w:rsidRPr="001213F7" w:rsidRDefault="00900469">
            <w:pPr>
              <w:cnfStyle w:val="000000000000" w:firstRow="0" w:lastRow="0" w:firstColumn="0" w:lastColumn="0" w:oddVBand="0" w:evenVBand="0" w:oddHBand="0" w:evenHBand="0" w:firstRowFirstColumn="0" w:firstRowLastColumn="0" w:lastRowFirstColumn="0" w:lastRowLastColumn="0"/>
              <w:rPr>
                <w:rFonts w:eastAsiaTheme="minorEastAsia" w:cstheme="majorHAnsi"/>
                <w:szCs w:val="17"/>
                <w:lang w:eastAsia="en-AU"/>
              </w:rPr>
            </w:pPr>
            <w:r w:rsidRPr="001213F7">
              <w:t>0.7</w:t>
            </w:r>
          </w:p>
        </w:tc>
        <w:tc>
          <w:tcPr>
            <w:tcW w:w="850" w:type="dxa"/>
          </w:tcPr>
          <w:p w14:paraId="63D6A576" w14:textId="77777777" w:rsidR="00900469" w:rsidRPr="001213F7" w:rsidRDefault="00900469">
            <w:pPr>
              <w:cnfStyle w:val="000000000000" w:firstRow="0" w:lastRow="0" w:firstColumn="0" w:lastColumn="0" w:oddVBand="0" w:evenVBand="0" w:oddHBand="0" w:evenHBand="0" w:firstRowFirstColumn="0" w:firstRowLastColumn="0" w:lastRowFirstColumn="0" w:lastRowLastColumn="0"/>
              <w:rPr>
                <w:rFonts w:eastAsiaTheme="minorEastAsia" w:cstheme="majorHAnsi"/>
                <w:szCs w:val="17"/>
                <w:lang w:eastAsia="en-AU"/>
              </w:rPr>
            </w:pPr>
            <w:r w:rsidRPr="001213F7">
              <w:t>0.6</w:t>
            </w:r>
          </w:p>
        </w:tc>
      </w:tr>
      <w:tr w:rsidR="00900469" w:rsidRPr="001213F7" w14:paraId="12528147" w14:textId="77777777">
        <w:tc>
          <w:tcPr>
            <w:cnfStyle w:val="001000000000" w:firstRow="0" w:lastRow="0" w:firstColumn="1" w:lastColumn="0" w:oddVBand="0" w:evenVBand="0" w:oddHBand="0" w:evenHBand="0" w:firstRowFirstColumn="0" w:firstRowLastColumn="0" w:lastRowFirstColumn="0" w:lastRowLastColumn="0"/>
            <w:tcW w:w="4365" w:type="dxa"/>
          </w:tcPr>
          <w:p w14:paraId="78E3CB94" w14:textId="77777777" w:rsidR="00900469" w:rsidRPr="001213F7" w:rsidRDefault="00900469">
            <w:pPr>
              <w:rPr>
                <w:rFonts w:eastAsiaTheme="minorEastAsia" w:cstheme="majorHAnsi"/>
                <w:b/>
                <w:bCs/>
                <w:color w:val="000000"/>
                <w:szCs w:val="17"/>
                <w:lang w:eastAsia="en-AU"/>
              </w:rPr>
            </w:pPr>
            <w:r w:rsidRPr="001213F7">
              <w:rPr>
                <w:rFonts w:eastAsiaTheme="minorEastAsia" w:cstheme="majorHAnsi"/>
                <w:b/>
                <w:bCs/>
                <w:color w:val="000000"/>
                <w:szCs w:val="17"/>
                <w:lang w:eastAsia="en-AU"/>
              </w:rPr>
              <w:t>Emerging market and developing economies</w:t>
            </w:r>
          </w:p>
        </w:tc>
        <w:tc>
          <w:tcPr>
            <w:tcW w:w="850" w:type="dxa"/>
          </w:tcPr>
          <w:p w14:paraId="5605F13D" w14:textId="77777777" w:rsidR="00900469" w:rsidRPr="001213F7" w:rsidRDefault="00900469">
            <w:pPr>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17"/>
                <w:lang w:eastAsia="en-AU"/>
              </w:rPr>
            </w:pPr>
            <w:r w:rsidRPr="001213F7">
              <w:rPr>
                <w:b/>
                <w:bCs/>
              </w:rPr>
              <w:t>4.5</w:t>
            </w:r>
          </w:p>
        </w:tc>
        <w:tc>
          <w:tcPr>
            <w:tcW w:w="850" w:type="dxa"/>
          </w:tcPr>
          <w:p w14:paraId="3D049065" w14:textId="77777777" w:rsidR="00900469" w:rsidRPr="001213F7" w:rsidRDefault="00900469">
            <w:pPr>
              <w:cnfStyle w:val="000000000000" w:firstRow="0" w:lastRow="0" w:firstColumn="0" w:lastColumn="0" w:oddVBand="0" w:evenVBand="0" w:oddHBand="0" w:evenHBand="0" w:firstRowFirstColumn="0" w:firstRowLastColumn="0" w:lastRowFirstColumn="0" w:lastRowLastColumn="0"/>
              <w:rPr>
                <w:rFonts w:eastAsiaTheme="minorEastAsia" w:cstheme="majorHAnsi"/>
                <w:b/>
                <w:szCs w:val="17"/>
                <w:lang w:eastAsia="en-AU"/>
              </w:rPr>
            </w:pPr>
            <w:r w:rsidRPr="001213F7">
              <w:rPr>
                <w:b/>
                <w:bCs/>
              </w:rPr>
              <w:t>4.4</w:t>
            </w:r>
          </w:p>
        </w:tc>
        <w:tc>
          <w:tcPr>
            <w:tcW w:w="850" w:type="dxa"/>
          </w:tcPr>
          <w:p w14:paraId="7324475C" w14:textId="77777777" w:rsidR="00900469" w:rsidRPr="001213F7" w:rsidRDefault="00900469">
            <w:pPr>
              <w:cnfStyle w:val="000000000000" w:firstRow="0" w:lastRow="0" w:firstColumn="0" w:lastColumn="0" w:oddVBand="0" w:evenVBand="0" w:oddHBand="0" w:evenHBand="0" w:firstRowFirstColumn="0" w:firstRowLastColumn="0" w:lastRowFirstColumn="0" w:lastRowLastColumn="0"/>
              <w:rPr>
                <w:rFonts w:eastAsiaTheme="minorEastAsia" w:cstheme="majorHAnsi"/>
                <w:b/>
                <w:szCs w:val="17"/>
                <w:lang w:eastAsia="en-AU"/>
              </w:rPr>
            </w:pPr>
            <w:r w:rsidRPr="001213F7">
              <w:rPr>
                <w:b/>
                <w:bCs/>
              </w:rPr>
              <w:t>3.9</w:t>
            </w:r>
          </w:p>
        </w:tc>
        <w:tc>
          <w:tcPr>
            <w:tcW w:w="850" w:type="dxa"/>
          </w:tcPr>
          <w:p w14:paraId="51D27800" w14:textId="77777777" w:rsidR="00900469" w:rsidRPr="001213F7" w:rsidRDefault="00900469">
            <w:pPr>
              <w:cnfStyle w:val="000000000000" w:firstRow="0" w:lastRow="0" w:firstColumn="0" w:lastColumn="0" w:oddVBand="0" w:evenVBand="0" w:oddHBand="0" w:evenHBand="0" w:firstRowFirstColumn="0" w:firstRowLastColumn="0" w:lastRowFirstColumn="0" w:lastRowLastColumn="0"/>
              <w:rPr>
                <w:rFonts w:eastAsiaTheme="minorEastAsia" w:cstheme="majorHAnsi"/>
                <w:b/>
                <w:szCs w:val="17"/>
                <w:lang w:eastAsia="en-AU"/>
              </w:rPr>
            </w:pPr>
            <w:r w:rsidRPr="001213F7">
              <w:rPr>
                <w:b/>
                <w:bCs/>
              </w:rPr>
              <w:t>4.2</w:t>
            </w:r>
          </w:p>
        </w:tc>
      </w:tr>
      <w:tr w:rsidR="00900469" w:rsidRPr="001213F7" w14:paraId="227BDC63" w14:textId="77777777">
        <w:tc>
          <w:tcPr>
            <w:cnfStyle w:val="001000000000" w:firstRow="0" w:lastRow="0" w:firstColumn="1" w:lastColumn="0" w:oddVBand="0" w:evenVBand="0" w:oddHBand="0" w:evenHBand="0" w:firstRowFirstColumn="0" w:firstRowLastColumn="0" w:lastRowFirstColumn="0" w:lastRowLastColumn="0"/>
            <w:tcW w:w="4365" w:type="dxa"/>
          </w:tcPr>
          <w:p w14:paraId="02363C24" w14:textId="77777777" w:rsidR="00900469" w:rsidRPr="001213F7" w:rsidRDefault="00900469">
            <w:pPr>
              <w:rPr>
                <w:rFonts w:eastAsiaTheme="minorEastAsia" w:cstheme="majorHAnsi"/>
                <w:color w:val="000000"/>
                <w:szCs w:val="17"/>
                <w:lang w:eastAsia="en-AU"/>
              </w:rPr>
            </w:pPr>
            <w:r w:rsidRPr="001213F7">
              <w:rPr>
                <w:rFonts w:eastAsiaTheme="minorEastAsia" w:cstheme="majorHAnsi"/>
                <w:color w:val="000000"/>
                <w:szCs w:val="17"/>
                <w:lang w:eastAsia="en-AU"/>
              </w:rPr>
              <w:t xml:space="preserve">   China</w:t>
            </w:r>
          </w:p>
        </w:tc>
        <w:tc>
          <w:tcPr>
            <w:tcW w:w="850" w:type="dxa"/>
          </w:tcPr>
          <w:p w14:paraId="75ADDF28" w14:textId="77777777" w:rsidR="00900469" w:rsidRPr="001213F7" w:rsidRDefault="00900469">
            <w:pPr>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7"/>
                <w:lang w:eastAsia="en-AU"/>
              </w:rPr>
            </w:pPr>
            <w:r w:rsidRPr="001213F7">
              <w:t>5.0</w:t>
            </w:r>
          </w:p>
        </w:tc>
        <w:tc>
          <w:tcPr>
            <w:tcW w:w="850" w:type="dxa"/>
          </w:tcPr>
          <w:p w14:paraId="2A56F693" w14:textId="77777777" w:rsidR="00900469" w:rsidRPr="001213F7" w:rsidRDefault="00900469">
            <w:pPr>
              <w:cnfStyle w:val="000000000000" w:firstRow="0" w:lastRow="0" w:firstColumn="0" w:lastColumn="0" w:oddVBand="0" w:evenVBand="0" w:oddHBand="0" w:evenHBand="0" w:firstRowFirstColumn="0" w:firstRowLastColumn="0" w:lastRowFirstColumn="0" w:lastRowLastColumn="0"/>
              <w:rPr>
                <w:rFonts w:eastAsiaTheme="minorEastAsia" w:cstheme="majorHAnsi"/>
                <w:szCs w:val="17"/>
                <w:lang w:eastAsia="en-AU"/>
              </w:rPr>
            </w:pPr>
            <w:r w:rsidRPr="001213F7">
              <w:t>5.0</w:t>
            </w:r>
          </w:p>
        </w:tc>
        <w:tc>
          <w:tcPr>
            <w:tcW w:w="850" w:type="dxa"/>
          </w:tcPr>
          <w:p w14:paraId="653E2550" w14:textId="77777777" w:rsidR="00900469" w:rsidRPr="001213F7" w:rsidRDefault="00900469">
            <w:pPr>
              <w:cnfStyle w:val="000000000000" w:firstRow="0" w:lastRow="0" w:firstColumn="0" w:lastColumn="0" w:oddVBand="0" w:evenVBand="0" w:oddHBand="0" w:evenHBand="0" w:firstRowFirstColumn="0" w:firstRowLastColumn="0" w:lastRowFirstColumn="0" w:lastRowLastColumn="0"/>
              <w:rPr>
                <w:rFonts w:eastAsiaTheme="minorEastAsia" w:cstheme="majorHAnsi"/>
                <w:szCs w:val="17"/>
                <w:lang w:eastAsia="en-AU"/>
              </w:rPr>
            </w:pPr>
            <w:r w:rsidRPr="001213F7">
              <w:t>4.4</w:t>
            </w:r>
          </w:p>
        </w:tc>
        <w:tc>
          <w:tcPr>
            <w:tcW w:w="850" w:type="dxa"/>
          </w:tcPr>
          <w:p w14:paraId="1C2A6BF2" w14:textId="77777777" w:rsidR="00900469" w:rsidRPr="001213F7" w:rsidRDefault="00900469">
            <w:pPr>
              <w:cnfStyle w:val="000000000000" w:firstRow="0" w:lastRow="0" w:firstColumn="0" w:lastColumn="0" w:oddVBand="0" w:evenVBand="0" w:oddHBand="0" w:evenHBand="0" w:firstRowFirstColumn="0" w:firstRowLastColumn="0" w:lastRowFirstColumn="0" w:lastRowLastColumn="0"/>
              <w:rPr>
                <w:rFonts w:eastAsiaTheme="minorEastAsia" w:cstheme="majorHAnsi"/>
                <w:szCs w:val="17"/>
                <w:lang w:eastAsia="en-AU"/>
              </w:rPr>
            </w:pPr>
            <w:r w:rsidRPr="001213F7">
              <w:t>4.0</w:t>
            </w:r>
          </w:p>
        </w:tc>
      </w:tr>
      <w:tr w:rsidR="00900469" w:rsidRPr="001213F7" w14:paraId="308C445E" w14:textId="77777777">
        <w:tc>
          <w:tcPr>
            <w:cnfStyle w:val="001000000000" w:firstRow="0" w:lastRow="0" w:firstColumn="1" w:lastColumn="0" w:oddVBand="0" w:evenVBand="0" w:oddHBand="0" w:evenHBand="0" w:firstRowFirstColumn="0" w:firstRowLastColumn="0" w:lastRowFirstColumn="0" w:lastRowLastColumn="0"/>
            <w:tcW w:w="4365" w:type="dxa"/>
          </w:tcPr>
          <w:p w14:paraId="04C281A8" w14:textId="77777777" w:rsidR="00900469" w:rsidRPr="001213F7" w:rsidRDefault="00900469">
            <w:pPr>
              <w:rPr>
                <w:rFonts w:eastAsiaTheme="minorEastAsia" w:cstheme="majorHAnsi"/>
                <w:color w:val="000000"/>
                <w:szCs w:val="17"/>
                <w:vertAlign w:val="superscript"/>
                <w:lang w:eastAsia="en-AU"/>
              </w:rPr>
            </w:pPr>
            <w:r w:rsidRPr="001213F7">
              <w:rPr>
                <w:rFonts w:eastAsiaTheme="minorEastAsia" w:cstheme="majorHAnsi"/>
                <w:color w:val="000000"/>
                <w:szCs w:val="17"/>
                <w:lang w:eastAsia="en-AU"/>
              </w:rPr>
              <w:t xml:space="preserve">   India </w:t>
            </w:r>
            <w:r w:rsidRPr="001213F7">
              <w:rPr>
                <w:rFonts w:eastAsiaTheme="minorEastAsia" w:cstheme="majorHAnsi"/>
                <w:color w:val="000000"/>
                <w:szCs w:val="17"/>
                <w:vertAlign w:val="superscript"/>
                <w:lang w:eastAsia="en-AU"/>
              </w:rPr>
              <w:t>(c)</w:t>
            </w:r>
          </w:p>
        </w:tc>
        <w:tc>
          <w:tcPr>
            <w:tcW w:w="850" w:type="dxa"/>
          </w:tcPr>
          <w:p w14:paraId="34F4CCA5" w14:textId="77777777" w:rsidR="00900469" w:rsidRPr="001213F7" w:rsidRDefault="00900469">
            <w:pPr>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7"/>
                <w:lang w:eastAsia="en-AU"/>
              </w:rPr>
            </w:pPr>
            <w:r w:rsidRPr="001213F7">
              <w:t>7.1</w:t>
            </w:r>
          </w:p>
        </w:tc>
        <w:tc>
          <w:tcPr>
            <w:tcW w:w="850" w:type="dxa"/>
          </w:tcPr>
          <w:p w14:paraId="2E5B9BC7" w14:textId="77777777" w:rsidR="00900469" w:rsidRPr="001213F7" w:rsidRDefault="00900469">
            <w:pPr>
              <w:cnfStyle w:val="000000000000" w:firstRow="0" w:lastRow="0" w:firstColumn="0" w:lastColumn="0" w:oddVBand="0" w:evenVBand="0" w:oddHBand="0" w:evenHBand="0" w:firstRowFirstColumn="0" w:firstRowLastColumn="0" w:lastRowFirstColumn="0" w:lastRowLastColumn="0"/>
              <w:rPr>
                <w:rFonts w:eastAsiaTheme="minorEastAsia" w:cstheme="majorHAnsi"/>
                <w:szCs w:val="17"/>
                <w:lang w:eastAsia="en-AU"/>
              </w:rPr>
            </w:pPr>
            <w:r w:rsidRPr="001213F7">
              <w:t>7.6</w:t>
            </w:r>
          </w:p>
        </w:tc>
        <w:tc>
          <w:tcPr>
            <w:tcW w:w="850" w:type="dxa"/>
          </w:tcPr>
          <w:p w14:paraId="0B73DFDD" w14:textId="77777777" w:rsidR="00900469" w:rsidRPr="001213F7" w:rsidRDefault="00900469">
            <w:pPr>
              <w:cnfStyle w:val="000000000000" w:firstRow="0" w:lastRow="0" w:firstColumn="0" w:lastColumn="0" w:oddVBand="0" w:evenVBand="0" w:oddHBand="0" w:evenHBand="0" w:firstRowFirstColumn="0" w:firstRowLastColumn="0" w:lastRowFirstColumn="0" w:lastRowLastColumn="0"/>
              <w:rPr>
                <w:rFonts w:eastAsiaTheme="minorEastAsia" w:cstheme="majorHAnsi"/>
                <w:szCs w:val="17"/>
                <w:lang w:eastAsia="en-AU"/>
              </w:rPr>
            </w:pPr>
            <w:r w:rsidRPr="001213F7">
              <w:t>6.5</w:t>
            </w:r>
          </w:p>
        </w:tc>
        <w:tc>
          <w:tcPr>
            <w:tcW w:w="850" w:type="dxa"/>
          </w:tcPr>
          <w:p w14:paraId="775FC818" w14:textId="77777777" w:rsidR="00900469" w:rsidRPr="001213F7" w:rsidRDefault="00900469">
            <w:pPr>
              <w:cnfStyle w:val="000000000000" w:firstRow="0" w:lastRow="0" w:firstColumn="0" w:lastColumn="0" w:oddVBand="0" w:evenVBand="0" w:oddHBand="0" w:evenHBand="0" w:firstRowFirstColumn="0" w:firstRowLastColumn="0" w:lastRowFirstColumn="0" w:lastRowLastColumn="0"/>
              <w:rPr>
                <w:rFonts w:eastAsiaTheme="minorEastAsia" w:cstheme="majorHAnsi"/>
                <w:szCs w:val="17"/>
                <w:lang w:eastAsia="en-AU"/>
              </w:rPr>
            </w:pPr>
            <w:r w:rsidRPr="001213F7">
              <w:t>6.5</w:t>
            </w:r>
          </w:p>
        </w:tc>
      </w:tr>
      <w:tr w:rsidR="00900469" w:rsidRPr="001213F7" w14:paraId="0F07A90C" w14:textId="77777777">
        <w:tc>
          <w:tcPr>
            <w:cnfStyle w:val="001000000000" w:firstRow="0" w:lastRow="0" w:firstColumn="1" w:lastColumn="0" w:oddVBand="0" w:evenVBand="0" w:oddHBand="0" w:evenHBand="0" w:firstRowFirstColumn="0" w:firstRowLastColumn="0" w:lastRowFirstColumn="0" w:lastRowLastColumn="0"/>
            <w:tcW w:w="4365" w:type="dxa"/>
          </w:tcPr>
          <w:p w14:paraId="1027A989" w14:textId="77777777" w:rsidR="00900469" w:rsidRPr="001213F7" w:rsidRDefault="00900469">
            <w:pPr>
              <w:rPr>
                <w:rFonts w:eastAsiaTheme="minorEastAsia" w:cstheme="majorHAnsi"/>
                <w:b/>
                <w:color w:val="000000"/>
                <w:szCs w:val="17"/>
                <w:lang w:eastAsia="en-AU"/>
              </w:rPr>
            </w:pPr>
            <w:r w:rsidRPr="001213F7">
              <w:rPr>
                <w:rFonts w:eastAsiaTheme="minorEastAsia" w:cstheme="majorHAnsi"/>
                <w:b/>
                <w:color w:val="000000"/>
                <w:szCs w:val="17"/>
                <w:lang w:eastAsia="en-AU"/>
              </w:rPr>
              <w:t>ASEAN</w:t>
            </w:r>
            <w:r w:rsidRPr="001213F7">
              <w:rPr>
                <w:rFonts w:eastAsiaTheme="minorEastAsia" w:cstheme="majorHAnsi"/>
                <w:b/>
                <w:color w:val="000000"/>
                <w:szCs w:val="17"/>
                <w:lang w:eastAsia="en-AU"/>
              </w:rPr>
              <w:noBreakHyphen/>
              <w:t xml:space="preserve">5 </w:t>
            </w:r>
            <w:r w:rsidRPr="001213F7">
              <w:rPr>
                <w:rFonts w:eastAsiaTheme="minorEastAsia" w:cstheme="majorHAnsi"/>
                <w:b/>
                <w:color w:val="000000"/>
                <w:szCs w:val="17"/>
                <w:vertAlign w:val="superscript"/>
                <w:lang w:eastAsia="en-AU"/>
              </w:rPr>
              <w:t>(d)</w:t>
            </w:r>
          </w:p>
        </w:tc>
        <w:tc>
          <w:tcPr>
            <w:tcW w:w="850" w:type="dxa"/>
          </w:tcPr>
          <w:p w14:paraId="5C9FA903" w14:textId="77777777" w:rsidR="00900469" w:rsidRPr="001213F7" w:rsidRDefault="00900469">
            <w:pPr>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17"/>
                <w:lang w:eastAsia="en-AU"/>
              </w:rPr>
            </w:pPr>
            <w:r w:rsidRPr="001213F7">
              <w:rPr>
                <w:b/>
                <w:bCs/>
              </w:rPr>
              <w:t>4.8</w:t>
            </w:r>
          </w:p>
        </w:tc>
        <w:tc>
          <w:tcPr>
            <w:tcW w:w="850" w:type="dxa"/>
          </w:tcPr>
          <w:p w14:paraId="7423B36D" w14:textId="77777777" w:rsidR="00900469" w:rsidRPr="001213F7" w:rsidRDefault="00900469">
            <w:pPr>
              <w:cnfStyle w:val="000000000000" w:firstRow="0" w:lastRow="0" w:firstColumn="0" w:lastColumn="0" w:oddVBand="0" w:evenVBand="0" w:oddHBand="0" w:evenHBand="0" w:firstRowFirstColumn="0" w:firstRowLastColumn="0" w:lastRowFirstColumn="0" w:lastRowLastColumn="0"/>
              <w:rPr>
                <w:rFonts w:eastAsiaTheme="minorEastAsia" w:cstheme="majorHAnsi"/>
                <w:b/>
                <w:szCs w:val="17"/>
                <w:lang w:eastAsia="en-AU"/>
              </w:rPr>
            </w:pPr>
            <w:r w:rsidRPr="001213F7">
              <w:rPr>
                <w:b/>
                <w:bCs/>
              </w:rPr>
              <w:t>4.5</w:t>
            </w:r>
          </w:p>
        </w:tc>
        <w:tc>
          <w:tcPr>
            <w:tcW w:w="850" w:type="dxa"/>
          </w:tcPr>
          <w:p w14:paraId="18A7468D" w14:textId="77777777" w:rsidR="00900469" w:rsidRPr="001213F7" w:rsidRDefault="00900469">
            <w:pPr>
              <w:cnfStyle w:val="000000000000" w:firstRow="0" w:lastRow="0" w:firstColumn="0" w:lastColumn="0" w:oddVBand="0" w:evenVBand="0" w:oddHBand="0" w:evenHBand="0" w:firstRowFirstColumn="0" w:firstRowLastColumn="0" w:lastRowFirstColumn="0" w:lastRowLastColumn="0"/>
              <w:rPr>
                <w:rFonts w:eastAsiaTheme="minorEastAsia" w:cstheme="majorHAnsi"/>
                <w:b/>
                <w:szCs w:val="17"/>
                <w:lang w:eastAsia="en-AU"/>
              </w:rPr>
            </w:pPr>
            <w:r w:rsidRPr="001213F7">
              <w:rPr>
                <w:b/>
                <w:bCs/>
              </w:rPr>
              <w:t>4.1</w:t>
            </w:r>
          </w:p>
        </w:tc>
        <w:tc>
          <w:tcPr>
            <w:tcW w:w="850" w:type="dxa"/>
          </w:tcPr>
          <w:p w14:paraId="644A3CB4" w14:textId="77777777" w:rsidR="00900469" w:rsidRPr="001213F7" w:rsidRDefault="00900469">
            <w:pPr>
              <w:cnfStyle w:val="000000000000" w:firstRow="0" w:lastRow="0" w:firstColumn="0" w:lastColumn="0" w:oddVBand="0" w:evenVBand="0" w:oddHBand="0" w:evenHBand="0" w:firstRowFirstColumn="0" w:firstRowLastColumn="0" w:lastRowFirstColumn="0" w:lastRowLastColumn="0"/>
              <w:rPr>
                <w:rFonts w:eastAsiaTheme="minorEastAsia" w:cstheme="majorHAnsi"/>
                <w:b/>
                <w:szCs w:val="17"/>
                <w:lang w:eastAsia="en-AU"/>
              </w:rPr>
            </w:pPr>
            <w:r w:rsidRPr="001213F7">
              <w:rPr>
                <w:b/>
                <w:bCs/>
              </w:rPr>
              <w:t>4.4</w:t>
            </w:r>
          </w:p>
        </w:tc>
      </w:tr>
    </w:tbl>
    <w:p w14:paraId="33ECFB2A" w14:textId="77777777" w:rsidR="00900469" w:rsidRPr="001213F7" w:rsidRDefault="00900469">
      <w:pPr>
        <w:pStyle w:val="Source"/>
        <w:tabs>
          <w:tab w:val="left" w:pos="0"/>
        </w:tabs>
      </w:pPr>
      <w:r w:rsidRPr="001213F7">
        <w:t>Source: International Monetary Fund, World Economic Outlook, April 2026</w:t>
      </w:r>
    </w:p>
    <w:p w14:paraId="256C50E0" w14:textId="77777777" w:rsidR="00900469" w:rsidRPr="001213F7" w:rsidRDefault="00900469">
      <w:pPr>
        <w:pStyle w:val="Note"/>
      </w:pPr>
      <w:r w:rsidRPr="001213F7">
        <w:t xml:space="preserve">Notes: </w:t>
      </w:r>
    </w:p>
    <w:p w14:paraId="47677A51" w14:textId="5520B719" w:rsidR="00900469" w:rsidRPr="001213F7" w:rsidRDefault="0087112A" w:rsidP="0087112A">
      <w:pPr>
        <w:pStyle w:val="Note"/>
      </w:pPr>
      <w:r w:rsidRPr="001213F7">
        <w:t>(a)</w:t>
      </w:r>
      <w:r w:rsidRPr="001213F7">
        <w:tab/>
      </w:r>
      <w:r w:rsidR="00900469" w:rsidRPr="001213F7">
        <w:t xml:space="preserve">Not all countries or regions are listed in the table. </w:t>
      </w:r>
    </w:p>
    <w:p w14:paraId="67CC4034" w14:textId="49DD065F" w:rsidR="00900469" w:rsidRPr="001213F7" w:rsidRDefault="0087112A" w:rsidP="0087112A">
      <w:pPr>
        <w:pStyle w:val="Note"/>
      </w:pPr>
      <w:r w:rsidRPr="001213F7">
        <w:t>(b)</w:t>
      </w:r>
      <w:r w:rsidRPr="001213F7">
        <w:tab/>
      </w:r>
      <w:r w:rsidR="00900469" w:rsidRPr="001213F7">
        <w:t xml:space="preserve">These forecasts are the IMF’s ‘reference forecasts’, which assume the Middle East conflict will have limited duration and intensity, with disruptions fading by mid-2026. </w:t>
      </w:r>
    </w:p>
    <w:p w14:paraId="21C7EF5F" w14:textId="77777777" w:rsidR="00900469" w:rsidRPr="001213F7" w:rsidRDefault="00900469">
      <w:pPr>
        <w:pStyle w:val="Note"/>
      </w:pPr>
      <w:r w:rsidRPr="001213F7">
        <w:t xml:space="preserve">(c) </w:t>
      </w:r>
      <w:r w:rsidRPr="001213F7">
        <w:tab/>
        <w:t xml:space="preserve">For India, data and projections are presented on a fiscal-year basis. </w:t>
      </w:r>
    </w:p>
    <w:p w14:paraId="0E36D93F" w14:textId="77777777" w:rsidR="00900469" w:rsidRPr="001213F7" w:rsidRDefault="00900469">
      <w:pPr>
        <w:pStyle w:val="Note"/>
      </w:pPr>
      <w:r w:rsidRPr="001213F7">
        <w:t xml:space="preserve">(d) </w:t>
      </w:r>
      <w:r w:rsidRPr="001213F7">
        <w:tab/>
        <w:t>The ASEAN-5 economies are Indonesia, Malaysia, Philippines, Singapore and Thailand.</w:t>
      </w:r>
    </w:p>
    <w:p w14:paraId="6938EF2C" w14:textId="77777777" w:rsidR="00900469" w:rsidRPr="001213F7" w:rsidRDefault="00900469">
      <w:pPr>
        <w:pStyle w:val="Note"/>
      </w:pPr>
    </w:p>
    <w:p w14:paraId="483C480C" w14:textId="77777777" w:rsidR="00900469" w:rsidRPr="001213F7" w:rsidRDefault="00900469">
      <w:pPr>
        <w:pStyle w:val="TableHeading"/>
        <w:rPr>
          <w:vertAlign w:val="superscript"/>
        </w:rPr>
      </w:pPr>
      <w:bookmarkStart w:id="27" w:name="_Toc165467337"/>
      <w:r w:rsidRPr="001213F7">
        <w:lastRenderedPageBreak/>
        <w:t xml:space="preserve">Chart 2.13: </w:t>
      </w:r>
      <w:r w:rsidRPr="001213F7">
        <w:tab/>
        <w:t xml:space="preserve">IMF’s world economic growth scenarios </w:t>
      </w:r>
      <w:r w:rsidRPr="001213F7">
        <w:rPr>
          <w:vertAlign w:val="superscript"/>
        </w:rPr>
        <w:t>(a)</w:t>
      </w:r>
    </w:p>
    <w:p w14:paraId="4BA4BEC3" w14:textId="77777777" w:rsidR="00900469" w:rsidRPr="001213F7" w:rsidRDefault="00900469">
      <w:r w:rsidRPr="001213F7">
        <w:rPr>
          <w:noProof/>
        </w:rPr>
        <w:drawing>
          <wp:inline distT="0" distB="0" distL="0" distR="0" wp14:anchorId="494110D2" wp14:editId="602F329C">
            <wp:extent cx="4896485" cy="2957195"/>
            <wp:effectExtent l="0" t="0" r="0" b="0"/>
            <wp:docPr id="1332565650" name="Chart 1">
              <a:extLst xmlns:a="http://schemas.openxmlformats.org/drawingml/2006/main">
                <a:ext uri="{FF2B5EF4-FFF2-40B4-BE49-F238E27FC236}">
                  <a16:creationId xmlns:a16="http://schemas.microsoft.com/office/drawing/2014/main" id="{F76E22E9-F9E5-E7BF-94D6-DAEFB6F3705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0A3726D8" w14:textId="77777777" w:rsidR="00900469" w:rsidRPr="001213F7" w:rsidRDefault="00900469">
      <w:pPr>
        <w:pStyle w:val="Source"/>
        <w:tabs>
          <w:tab w:val="left" w:pos="0"/>
        </w:tabs>
        <w:rPr>
          <w:rFonts w:ascii="Calibri" w:hAnsi="Calibri" w:cs="Calibri"/>
          <w:szCs w:val="14"/>
        </w:rPr>
      </w:pPr>
      <w:r w:rsidRPr="001213F7">
        <w:rPr>
          <w:rFonts w:ascii="Calibri" w:hAnsi="Calibri" w:cs="Calibri"/>
          <w:szCs w:val="14"/>
        </w:rPr>
        <w:t xml:space="preserve">Source: International Monetary Fund, </w:t>
      </w:r>
      <w:r w:rsidRPr="001213F7">
        <w:rPr>
          <w:rFonts w:ascii="Calibri" w:hAnsi="Calibri" w:cs="Calibri"/>
          <w:i w:val="0"/>
          <w:szCs w:val="14"/>
        </w:rPr>
        <w:t>World Economic Outlook</w:t>
      </w:r>
      <w:r w:rsidRPr="001213F7">
        <w:rPr>
          <w:rFonts w:ascii="Calibri" w:hAnsi="Calibri" w:cs="Calibri"/>
          <w:szCs w:val="14"/>
        </w:rPr>
        <w:t>, April 2026</w:t>
      </w:r>
    </w:p>
    <w:p w14:paraId="00D9E472" w14:textId="45BC63B1" w:rsidR="00900469" w:rsidRPr="001213F7" w:rsidRDefault="00900469">
      <w:pPr>
        <w:pStyle w:val="Note"/>
        <w:rPr>
          <w:rFonts w:ascii="Calibri" w:hAnsi="Calibri" w:cs="Calibri"/>
          <w:szCs w:val="14"/>
        </w:rPr>
      </w:pPr>
      <w:r w:rsidRPr="001213F7">
        <w:rPr>
          <w:rFonts w:ascii="Calibri" w:hAnsi="Calibri" w:cs="Calibri"/>
          <w:szCs w:val="14"/>
        </w:rPr>
        <w:t xml:space="preserve">Note: </w:t>
      </w:r>
    </w:p>
    <w:p w14:paraId="421D90D4" w14:textId="77777777" w:rsidR="00900469" w:rsidRPr="001213F7" w:rsidRDefault="00900469">
      <w:pPr>
        <w:pStyle w:val="Note"/>
        <w:rPr>
          <w:rFonts w:ascii="Calibri" w:hAnsi="Calibri" w:cs="Calibri"/>
          <w:szCs w:val="14"/>
        </w:rPr>
      </w:pPr>
      <w:r w:rsidRPr="001213F7">
        <w:rPr>
          <w:rFonts w:ascii="Calibri" w:hAnsi="Calibri" w:cs="Calibri"/>
          <w:szCs w:val="14"/>
        </w:rPr>
        <w:t xml:space="preserve">(a) </w:t>
      </w:r>
      <w:r w:rsidRPr="001213F7">
        <w:rPr>
          <w:rFonts w:ascii="Calibri" w:hAnsi="Calibri" w:cs="Calibri"/>
          <w:szCs w:val="14"/>
        </w:rPr>
        <w:tab/>
        <w:t xml:space="preserve">The ‘reference forecast’ assumes the conflict will be short-lived, with the disruptions fading by mid-2026. The oil price is assumed to average US$82 per barrel in 2026. (The oil price used by the IMF is an average of Brent, Dubai Fateh and West Texas Intermediate crude, and the average price in 2025 was US$68 per barrel.) </w:t>
      </w:r>
    </w:p>
    <w:p w14:paraId="0349DD54" w14:textId="77777777" w:rsidR="00900469" w:rsidRPr="001213F7" w:rsidRDefault="00900469">
      <w:pPr>
        <w:pStyle w:val="Note"/>
        <w:rPr>
          <w:rFonts w:ascii="Calibri" w:hAnsi="Calibri" w:cs="Calibri"/>
          <w:szCs w:val="14"/>
        </w:rPr>
      </w:pPr>
      <w:r w:rsidRPr="001213F7">
        <w:rPr>
          <w:rFonts w:ascii="Calibri" w:hAnsi="Calibri" w:cs="Calibri"/>
          <w:szCs w:val="14"/>
        </w:rPr>
        <w:tab/>
        <w:t xml:space="preserve">The ‘adverse scenario’ assumes: oil prices average around US$100 per barrel in 2026, with the increase mostly unwinding in 2027 (average US$75 per barrel); higher one-year-ahead inflation expectations; and a tightening in financial conditions. </w:t>
      </w:r>
    </w:p>
    <w:p w14:paraId="43BC82F5" w14:textId="77777777" w:rsidR="00900469" w:rsidRPr="001213F7" w:rsidRDefault="00900469">
      <w:pPr>
        <w:pStyle w:val="Note"/>
        <w:rPr>
          <w:rFonts w:ascii="Calibri" w:hAnsi="Calibri" w:cs="Calibri"/>
          <w:szCs w:val="14"/>
        </w:rPr>
      </w:pPr>
      <w:r w:rsidRPr="001213F7">
        <w:rPr>
          <w:rFonts w:ascii="Calibri" w:hAnsi="Calibri" w:cs="Calibri"/>
          <w:szCs w:val="14"/>
        </w:rPr>
        <w:tab/>
        <w:t>The ‘severe scenario’ assumes: larger and more persistent shocks, with oil prices averaging US$110 per barrel in 2026 and US$125 in 2027, before dissipating in 2028; a larger rise in one-year-ahead inflation expectations; and a more significant tightening in financial conditions.</w:t>
      </w:r>
    </w:p>
    <w:p w14:paraId="31F8C7A0" w14:textId="77777777" w:rsidR="00900469" w:rsidRPr="001213F7" w:rsidRDefault="00900469">
      <w:pPr>
        <w:pStyle w:val="Note"/>
        <w:rPr>
          <w:szCs w:val="14"/>
        </w:rPr>
      </w:pPr>
    </w:p>
    <w:p w14:paraId="300F0EB5" w14:textId="77777777" w:rsidR="00900469" w:rsidRPr="001213F7" w:rsidRDefault="00900469">
      <w:pPr>
        <w:pStyle w:val="Heading1"/>
      </w:pPr>
      <w:bookmarkStart w:id="28" w:name="_Toc228294214"/>
      <w:bookmarkStart w:id="29" w:name="_Toc228545296"/>
      <w:r w:rsidRPr="001213F7">
        <w:t>Risks to the Victorian outlook</w:t>
      </w:r>
      <w:bookmarkEnd w:id="28"/>
      <w:bookmarkEnd w:id="29"/>
      <w:r w:rsidRPr="001213F7">
        <w:t xml:space="preserve"> </w:t>
      </w:r>
      <w:bookmarkEnd w:id="27"/>
    </w:p>
    <w:p w14:paraId="4CB3F777" w14:textId="77777777" w:rsidR="00900469" w:rsidRPr="001213F7" w:rsidRDefault="00900469">
      <w:r w:rsidRPr="001213F7">
        <w:t xml:space="preserve">Risks to the Victorian economic outlook have increased and are elevated, arising from both international developments and domestic factors. </w:t>
      </w:r>
    </w:p>
    <w:p w14:paraId="2F297589" w14:textId="77777777" w:rsidR="00900469" w:rsidRPr="001213F7" w:rsidRDefault="00900469">
      <w:r w:rsidRPr="001213F7">
        <w:t>The conflict in the Middle East is affecting global energy markets, supply chains</w:t>
      </w:r>
      <w:r w:rsidRPr="001213F7" w:rsidDel="006D0846">
        <w:t xml:space="preserve"> and</w:t>
      </w:r>
      <w:r w:rsidRPr="001213F7">
        <w:t xml:space="preserve"> asset markets. Energy prices have risen sharply as supply has been curtailed. However, the trajectory of the conflict is highly uncertain, including its duration, which means the magnitude of these economic impacts is unclear. A longer or more expansive conflict could result in persistent energy supply disruptions, increased energy prices and inflation, and renewed falls in equity markets. This prolonged conflict scenario could weigh heavily on global and national economic activity and would lead to lower economic and employment growth in Victoria. </w:t>
      </w:r>
    </w:p>
    <w:p w14:paraId="648ED26C" w14:textId="77777777" w:rsidR="00900469" w:rsidRPr="001213F7" w:rsidRDefault="00900469">
      <w:pPr>
        <w:ind w:right="-29"/>
        <w:rPr>
          <w:rFonts w:ascii="Garamond" w:hAnsi="Garamond"/>
        </w:rPr>
      </w:pPr>
      <w:r w:rsidRPr="001213F7">
        <w:lastRenderedPageBreak/>
        <w:t>The outlook for overall domestic inflationary pressure, and hence the outlook for interest rates, remains another key source of uncertainty. Inflation pressures were emerging even before the start of the Middle East conflict and the resulting spike in energy costs.</w:t>
      </w:r>
      <w:r w:rsidRPr="001213F7">
        <w:rPr>
          <w:rFonts w:ascii="Garamond" w:hAnsi="Garamond"/>
        </w:rPr>
        <w:t xml:space="preserve"> </w:t>
      </w:r>
      <w:r w:rsidRPr="001213F7">
        <w:t>If underlying inflation rises by more than currently expected, or if inflation expectations increase, the RBA could raise interest rates further than currently anticipated. This would weigh more on household consumption and dwelling investment, and hence reduce economic growth.</w:t>
      </w:r>
      <w:r w:rsidRPr="001213F7">
        <w:rPr>
          <w:rFonts w:ascii="Garamond" w:hAnsi="Garamond"/>
        </w:rPr>
        <w:t xml:space="preserve"> </w:t>
      </w:r>
    </w:p>
    <w:p w14:paraId="562B6847" w14:textId="77777777" w:rsidR="00900469" w:rsidRPr="001213F7" w:rsidRDefault="00900469">
      <w:r w:rsidRPr="001213F7">
        <w:t xml:space="preserve">A further risk is the potential for demand for tertiary education from international students to be lower than forecast. A greater easing in international student visa lodgements, or changes to Commonwealth policy settings, could result in lower student arrivals and weaker than forecast net overseas migration. Fewer international student arrivals would weigh on growth in services exports. </w:t>
      </w:r>
    </w:p>
    <w:p w14:paraId="5A4C4CF9" w14:textId="77777777" w:rsidR="00900469" w:rsidRPr="001213F7" w:rsidRDefault="00900469">
      <w:r w:rsidRPr="001213F7">
        <w:t>Finally, the pace at which inflation eases from its elevated levels depends in part on how soon unemployment approaches its trend rate. This is because the unemployment rate affects labour costs, a significant determinant of domestic inflation. The trend rate of unemployment in Victoria is not directly observable but is an important forecasting assumption since it is the rate at which strong labour market conditions do not add to inflationary pressure (i.e. the non-accelerating inflation rate of unemployment, or NAIRU). The trend unemployment rate may be lower than currently estimated, possibly due in part to labour market strength. This would lead to higher employment and GSP growth without generating unsustainable pressures on labour cost growth or inflation.</w:t>
      </w:r>
    </w:p>
    <w:p w14:paraId="3C31DCDA" w14:textId="7004507B" w:rsidR="00900469" w:rsidRPr="001213F7" w:rsidRDefault="00900469">
      <w:pPr>
        <w:ind w:right="-29"/>
      </w:pPr>
      <w:r w:rsidRPr="001213F7">
        <w:t xml:space="preserve">Chapter 6 </w:t>
      </w:r>
      <w:r w:rsidRPr="001213F7">
        <w:rPr>
          <w:i/>
          <w:iCs/>
        </w:rPr>
        <w:t xml:space="preserve">Sensitivity analysis </w:t>
      </w:r>
      <w:r w:rsidRPr="001213F7">
        <w:t>provides further information on some key risks to the economic outlook, and presents estimated economic and fiscal impacts of less probable scenarios that differ from the baseline economic forecasts presented in this chapter. In</w:t>
      </w:r>
      <w:r w:rsidR="008739E1" w:rsidRPr="001213F7">
        <w:t> </w:t>
      </w:r>
      <w:r w:rsidRPr="001213F7">
        <w:t>particular, Chapter 6 models the impacts of a scenario of a more persistent Middle East conflict and more elevated global oil prices than assumed in the baseline economic forecasts, as well as the impacts of an upside scenario of a lower trend unemployment rate.</w:t>
      </w:r>
    </w:p>
    <w:p w14:paraId="2753D6E7" w14:textId="10CFCFB4" w:rsidR="00C4399E" w:rsidRPr="001213F7" w:rsidRDefault="00F21337">
      <w:pPr>
        <w:keepLines w:val="0"/>
      </w:pPr>
      <w:r w:rsidRPr="001213F7">
        <w:br w:type="page"/>
      </w:r>
    </w:p>
    <w:p w14:paraId="0F5FF6B9" w14:textId="77777777" w:rsidR="00C4399E" w:rsidRPr="001213F7" w:rsidRDefault="00C4399E">
      <w:pPr>
        <w:ind w:right="-29"/>
      </w:pPr>
    </w:p>
    <w:p w14:paraId="5FF25C5A" w14:textId="77777777" w:rsidR="00900469" w:rsidRPr="001213F7" w:rsidRDefault="00900469">
      <w:pPr>
        <w:rPr>
          <w:rFonts w:eastAsia="Times New Roman"/>
          <w:color w:val="000000" w:themeColor="text1"/>
          <w:lang w:eastAsia="en-AU"/>
        </w:rPr>
      </w:pPr>
    </w:p>
    <w:p w14:paraId="6FCDDBA2" w14:textId="77777777" w:rsidR="00900469" w:rsidRPr="001213F7" w:rsidRDefault="00900469"/>
    <w:p w14:paraId="476FC81E" w14:textId="77777777" w:rsidR="00900469" w:rsidRPr="001213F7" w:rsidRDefault="00900469">
      <w:pPr>
        <w:sectPr w:rsidR="00900469" w:rsidRPr="001213F7" w:rsidSect="00900469">
          <w:footerReference w:type="even" r:id="rId52"/>
          <w:footerReference w:type="default" r:id="rId53"/>
          <w:type w:val="oddPage"/>
          <w:pgSz w:w="9979" w:h="14175"/>
          <w:pgMar w:top="1134" w:right="1134" w:bottom="1134" w:left="1134" w:header="624" w:footer="567" w:gutter="0"/>
          <w:cols w:space="708"/>
          <w:docGrid w:linePitch="360"/>
        </w:sectPr>
      </w:pPr>
    </w:p>
    <w:p w14:paraId="265D00E4" w14:textId="77777777" w:rsidR="00900469" w:rsidRPr="001213F7" w:rsidRDefault="00900469">
      <w:pPr>
        <w:pStyle w:val="ChapterHeading"/>
      </w:pPr>
      <w:bookmarkStart w:id="30" w:name="_Toc228294215"/>
      <w:bookmarkStart w:id="31" w:name="_Toc228545297"/>
      <w:r w:rsidRPr="001213F7">
        <w:rPr>
          <w:rStyle w:val="Chapternumber"/>
        </w:rPr>
        <w:lastRenderedPageBreak/>
        <w:t>Chapter 3</w:t>
      </w:r>
      <w:r w:rsidRPr="001213F7">
        <w:t xml:space="preserve"> – Economic</w:t>
      </w:r>
      <w:r w:rsidRPr="001213F7">
        <w:rPr>
          <w:caps w:val="0"/>
        </w:rPr>
        <w:t xml:space="preserve"> </w:t>
      </w:r>
      <w:r w:rsidRPr="001213F7">
        <w:t>management</w:t>
      </w:r>
      <w:r w:rsidRPr="001213F7">
        <w:rPr>
          <w:caps w:val="0"/>
        </w:rPr>
        <w:t xml:space="preserve"> </w:t>
      </w:r>
      <w:r w:rsidRPr="001213F7">
        <w:t>for resilience and prosperity</w:t>
      </w:r>
      <w:bookmarkEnd w:id="30"/>
      <w:bookmarkEnd w:id="31"/>
      <w:r w:rsidRPr="001213F7">
        <w:t xml:space="preserve"> </w:t>
      </w:r>
    </w:p>
    <w:p w14:paraId="58F7E412" w14:textId="028FCF8C" w:rsidR="00900469" w:rsidRPr="001213F7" w:rsidRDefault="00900469" w:rsidP="008739E1">
      <w:pPr>
        <w:ind w:right="-144"/>
      </w:pPr>
      <w:r w:rsidRPr="001213F7">
        <w:t>Victorians are facing cost-of-living challenges related to higher domestic inflation, rising interest rates and high global oil prices. The Victorian Government, along with the Commonwealth – which has the primary responsibility for addressing the national economic and household impacts of the current disruptions to global and national energy markets – is</w:t>
      </w:r>
      <w:r w:rsidR="008739E1" w:rsidRPr="001213F7">
        <w:t> </w:t>
      </w:r>
      <w:r w:rsidRPr="001213F7">
        <w:t xml:space="preserve">taking further action to respond to the cost-of-living challenges facing Victorian household budgets. </w:t>
      </w:r>
    </w:p>
    <w:p w14:paraId="38F57E0D" w14:textId="77777777" w:rsidR="00900469" w:rsidRPr="001213F7" w:rsidRDefault="00900469">
      <w:r w:rsidRPr="001213F7">
        <w:t>The Government is temporarily reducing the cost of public transport and providing cost</w:t>
      </w:r>
      <w:r w:rsidRPr="001213F7">
        <w:noBreakHyphen/>
        <w:t xml:space="preserve">of-living support for people who drive – with travel an essential expense for most Victorians, including those on lower incomes – through cheaper public transport and vehicle registration rebates. The Government is also legislating the right to work from home, which will provide more Victorians with access to jobs, and ease commuting costs for many households. </w:t>
      </w:r>
    </w:p>
    <w:p w14:paraId="3CF187B3" w14:textId="50510291" w:rsidR="00900469" w:rsidRPr="001213F7" w:rsidRDefault="00900469">
      <w:r w:rsidRPr="001213F7">
        <w:t>The Government remains committed to implementing its fiscal strategy and in recent years</w:t>
      </w:r>
      <w:r w:rsidR="008739E1" w:rsidRPr="001213F7">
        <w:t> </w:t>
      </w:r>
      <w:r w:rsidRPr="001213F7">
        <w:t xml:space="preserve">has taken steps to return the budget to surplus. This commitment has allowed the Government to provide this cost-of-living relief now – and support Victorians when they need it the most – while continuing to deliver its fiscal strategy. </w:t>
      </w:r>
    </w:p>
    <w:p w14:paraId="18EFA2BD" w14:textId="77777777" w:rsidR="00900469" w:rsidRPr="001213F7" w:rsidRDefault="00900469">
      <w:pPr>
        <w:pStyle w:val="Heading1"/>
      </w:pPr>
      <w:bookmarkStart w:id="32" w:name="_Toc228294216"/>
      <w:bookmarkStart w:id="33" w:name="_Toc228545298"/>
      <w:r w:rsidRPr="001213F7">
        <w:t>Cost-of-living challenges are weighing on Victorian households</w:t>
      </w:r>
      <w:bookmarkEnd w:id="32"/>
      <w:bookmarkEnd w:id="33"/>
    </w:p>
    <w:p w14:paraId="3C42F5CA" w14:textId="77777777" w:rsidR="00900469" w:rsidRPr="001213F7" w:rsidRDefault="00900469">
      <w:r w:rsidRPr="001213F7">
        <w:t xml:space="preserve">As discussed in Chapter 2 </w:t>
      </w:r>
      <w:r w:rsidRPr="001213F7">
        <w:rPr>
          <w:i/>
        </w:rPr>
        <w:t>Economic context</w:t>
      </w:r>
      <w:r w:rsidRPr="001213F7">
        <w:t>, inflation both nationally and in Victoria has picked up again since the second half of 2025, and the more recent surge in global oil prices is adding further to Victorian households’ cost of living.</w:t>
      </w:r>
    </w:p>
    <w:p w14:paraId="6FDC2B02" w14:textId="78A05EF0" w:rsidR="00900469" w:rsidRPr="001213F7" w:rsidRDefault="00900469" w:rsidP="00191396">
      <w:pPr>
        <w:ind w:right="126"/>
      </w:pPr>
      <w:r w:rsidRPr="001213F7">
        <w:t xml:space="preserve">Victorian inflation picked up in the second half of 2025 and is currently </w:t>
      </w:r>
      <w:r w:rsidR="002A285D" w:rsidRPr="001213F7">
        <w:t>4.6</w:t>
      </w:r>
      <w:r w:rsidRPr="001213F7">
        <w:t> per cent</w:t>
      </w:r>
      <w:r w:rsidR="006C5144" w:rsidRPr="001213F7">
        <w:t>, in</w:t>
      </w:r>
      <w:r w:rsidR="00191396" w:rsidRPr="001213F7">
        <w:t> </w:t>
      </w:r>
      <w:r w:rsidR="006C5144" w:rsidRPr="001213F7">
        <w:t>line with national inflation</w:t>
      </w:r>
      <w:r w:rsidR="00900736" w:rsidRPr="001213F7">
        <w:t>, and</w:t>
      </w:r>
      <w:r w:rsidRPr="001213F7">
        <w:t xml:space="preserve"> materially above the Reserve Bank of Australia’s (RBA) 2 to 3</w:t>
      </w:r>
      <w:r w:rsidR="00900736" w:rsidRPr="001213F7">
        <w:t> </w:t>
      </w:r>
      <w:r w:rsidRPr="001213F7">
        <w:t>per cent target</w:t>
      </w:r>
      <w:r w:rsidR="00900736" w:rsidRPr="001213F7">
        <w:t xml:space="preserve"> (see Chart 3.1)</w:t>
      </w:r>
      <w:r w:rsidRPr="001213F7">
        <w:t xml:space="preserve">. </w:t>
      </w:r>
      <w:r w:rsidRPr="001213F7">
        <w:rPr>
          <w:rFonts w:ascii="Garamond" w:eastAsia="Garamond" w:hAnsi="Garamond" w:cs="Times New Roman"/>
        </w:rPr>
        <w:t xml:space="preserve">Chapter 2 </w:t>
      </w:r>
      <w:r w:rsidRPr="001213F7">
        <w:rPr>
          <w:rFonts w:ascii="Garamond" w:eastAsia="Garamond" w:hAnsi="Garamond" w:cs="Times New Roman"/>
          <w:i/>
        </w:rPr>
        <w:t xml:space="preserve">Economic context </w:t>
      </w:r>
      <w:r w:rsidRPr="001213F7">
        <w:rPr>
          <w:rFonts w:ascii="Garamond" w:eastAsia="Garamond" w:hAnsi="Garamond" w:cs="Times New Roman"/>
        </w:rPr>
        <w:t>provides further detail on recent trends affecting Victorian and national inflation rates</w:t>
      </w:r>
      <w:r w:rsidRPr="001213F7">
        <w:t xml:space="preserve">. </w:t>
      </w:r>
    </w:p>
    <w:p w14:paraId="6C6AE9C1" w14:textId="52EC422C" w:rsidR="00900469" w:rsidRPr="001213F7" w:rsidRDefault="00900469">
      <w:pPr>
        <w:pStyle w:val="TableHeading"/>
      </w:pPr>
      <w:r w:rsidRPr="001213F7">
        <w:lastRenderedPageBreak/>
        <w:t>Chart 3.1:</w:t>
      </w:r>
      <w:r w:rsidRPr="001213F7">
        <w:tab/>
        <w:t>Annual headline inflation, Melbourne and Australia</w:t>
      </w:r>
    </w:p>
    <w:p w14:paraId="4DDC5E9B" w14:textId="193E2194" w:rsidR="00D03D81" w:rsidRPr="001213F7" w:rsidRDefault="00D03D81">
      <w:r w:rsidRPr="001213F7">
        <w:rPr>
          <w:noProof/>
        </w:rPr>
        <w:drawing>
          <wp:inline distT="0" distB="0" distL="0" distR="0" wp14:anchorId="7F9AF817" wp14:editId="4F3BF3DA">
            <wp:extent cx="4937760" cy="2679700"/>
            <wp:effectExtent l="0" t="0" r="0" b="0"/>
            <wp:docPr id="700947698" name="Chart 1">
              <a:extLst xmlns:a="http://schemas.openxmlformats.org/drawingml/2006/main">
                <a:ext uri="{FF2B5EF4-FFF2-40B4-BE49-F238E27FC236}">
                  <a16:creationId xmlns:a16="http://schemas.microsoft.com/office/drawing/2014/main" id="{BB5C6962-2DAB-4606-A516-4FB53DF0EA4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5C967F08" w14:textId="13644D71" w:rsidR="00900469" w:rsidRPr="001213F7" w:rsidRDefault="00900469"/>
    <w:p w14:paraId="149441BB" w14:textId="77777777" w:rsidR="00900469" w:rsidRPr="001213F7" w:rsidRDefault="00900469">
      <w:pPr>
        <w:pStyle w:val="Source"/>
      </w:pPr>
      <w:r w:rsidRPr="001213F7">
        <w:t>Source: Australian Bureau of Statistics</w:t>
      </w:r>
    </w:p>
    <w:p w14:paraId="16AA6506" w14:textId="77777777" w:rsidR="00900469" w:rsidRPr="001213F7" w:rsidRDefault="00900469">
      <w:r w:rsidRPr="001213F7">
        <w:t xml:space="preserve">The RBA has begun to raise interest rates to rein in domestic inflationary pressure. In the near term, this will add further pressure on household budgets for the roughly one third of households with mortgages in Victoria. </w:t>
      </w:r>
    </w:p>
    <w:p w14:paraId="21F2529A" w14:textId="77777777" w:rsidR="00900469" w:rsidRPr="001213F7" w:rsidRDefault="00900469">
      <w:r w:rsidRPr="001213F7">
        <w:t>The latest pickup in inflation comes not long after the surge in global and national inflation in 2022 and 2023 following the COVID-19 pandemic. Those earlier price rises had already left the costs of many consumer essentials at elevated levels relative to workers’ wages, even before the latest re-emergence of domestic price pressures and the global oil crisis (see Box 3.1).</w:t>
      </w:r>
    </w:p>
    <w:p w14:paraId="685792FE" w14:textId="77777777" w:rsidR="00900469" w:rsidRPr="001213F7" w:rsidRDefault="00900469"/>
    <w:p w14:paraId="02AF0B32" w14:textId="4051E951" w:rsidR="00900469" w:rsidRPr="001213F7" w:rsidRDefault="00900469">
      <w:pPr>
        <w:pStyle w:val="ShadedBoxHeading"/>
      </w:pPr>
      <w:r w:rsidRPr="001213F7">
        <w:t>Box 3.1:  Recent trends in inflation</w:t>
      </w:r>
    </w:p>
    <w:p w14:paraId="104D2661" w14:textId="11CFC382" w:rsidR="00900469" w:rsidRPr="001213F7" w:rsidRDefault="00900469">
      <w:pPr>
        <w:pBdr>
          <w:top w:val="single" w:sz="6" w:space="3" w:color="auto"/>
          <w:left w:val="single" w:sz="6" w:space="4" w:color="auto"/>
          <w:bottom w:val="single" w:sz="6" w:space="3" w:color="auto"/>
          <w:right w:val="single" w:sz="6" w:space="4" w:color="auto"/>
        </w:pBdr>
        <w:shd w:val="clear" w:color="auto" w:fill="F2F2F2"/>
        <w:rPr>
          <w:rFonts w:ascii="Garamond" w:eastAsia="Garamond" w:hAnsi="Garamond" w:cs="Times New Roman"/>
        </w:rPr>
      </w:pPr>
      <w:r w:rsidRPr="001213F7">
        <w:rPr>
          <w:rFonts w:ascii="Garamond" w:eastAsia="Garamond" w:hAnsi="Garamond" w:cs="Times New Roman"/>
        </w:rPr>
        <w:t>The pickup in inflation since mid-2025, coupled with the recent surge in global oil prices, is</w:t>
      </w:r>
      <w:r w:rsidR="00B04B46" w:rsidRPr="001213F7">
        <w:rPr>
          <w:rFonts w:ascii="Garamond" w:eastAsia="Garamond" w:hAnsi="Garamond" w:cs="Times New Roman"/>
        </w:rPr>
        <w:t> </w:t>
      </w:r>
      <w:r w:rsidRPr="001213F7">
        <w:rPr>
          <w:rFonts w:ascii="Garamond" w:eastAsia="Garamond" w:hAnsi="Garamond" w:cs="Times New Roman"/>
        </w:rPr>
        <w:t xml:space="preserve">adding to cost-of-living pressures that already existed following the period of high global and national inflation during 2022 and 2023. </w:t>
      </w:r>
    </w:p>
    <w:p w14:paraId="7AC606F7" w14:textId="77777777" w:rsidR="00900469" w:rsidRPr="001213F7" w:rsidRDefault="00900469">
      <w:pPr>
        <w:pBdr>
          <w:top w:val="single" w:sz="6" w:space="3" w:color="auto"/>
          <w:left w:val="single" w:sz="6" w:space="4" w:color="auto"/>
          <w:bottom w:val="single" w:sz="6" w:space="3" w:color="auto"/>
          <w:right w:val="single" w:sz="6" w:space="4" w:color="auto"/>
        </w:pBdr>
        <w:shd w:val="clear" w:color="auto" w:fill="F2F2F2"/>
        <w:rPr>
          <w:rFonts w:ascii="Garamond" w:eastAsia="Garamond" w:hAnsi="Garamond" w:cs="Times New Roman"/>
        </w:rPr>
      </w:pPr>
      <w:r w:rsidRPr="001213F7">
        <w:rPr>
          <w:rFonts w:ascii="Garamond" w:eastAsia="Garamond" w:hAnsi="Garamond" w:cs="Times New Roman"/>
        </w:rPr>
        <w:t>The sharp rise in inflation was initially driven by global supply chain disruptions that emerged during the COVID-19 pandemic and higher commodity prices due to Russia’s invasion of Ukraine in early 2022. These global pressures were compounded by the domestic inflation that emerged following the post-pandemic surge in consumer demand and disruptions in global supply chains. This strong national demand contributed to price rises across a broad range of market goods and services, as firms were able to pass on higher input costs. Rent inflation also picked up during this period in response to tight rental market conditions. The RBA lifted interest rates rapidly from mid</w:t>
      </w:r>
      <w:r w:rsidRPr="001213F7">
        <w:rPr>
          <w:rFonts w:ascii="Garamond" w:eastAsia="Garamond" w:hAnsi="Garamond" w:cs="Times New Roman"/>
        </w:rPr>
        <w:noBreakHyphen/>
        <w:t xml:space="preserve">2022 in an effort to contain the increase in inflation. </w:t>
      </w:r>
    </w:p>
    <w:p w14:paraId="1A063DA0" w14:textId="77777777" w:rsidR="00900469" w:rsidRPr="001213F7" w:rsidRDefault="00900469">
      <w:pPr>
        <w:pStyle w:val="Note"/>
      </w:pPr>
    </w:p>
    <w:p w14:paraId="7C76DB65" w14:textId="3D5E7294" w:rsidR="00900469" w:rsidRPr="001213F7" w:rsidRDefault="00900469">
      <w:pPr>
        <w:pBdr>
          <w:top w:val="single" w:sz="6" w:space="3" w:color="auto"/>
          <w:left w:val="single" w:sz="6" w:space="4" w:color="auto"/>
          <w:bottom w:val="single" w:sz="6" w:space="3" w:color="auto"/>
          <w:right w:val="single" w:sz="6" w:space="4" w:color="auto"/>
        </w:pBdr>
        <w:shd w:val="clear" w:color="auto" w:fill="F2F2F2"/>
        <w:rPr>
          <w:rFonts w:ascii="Garamond" w:eastAsia="Garamond" w:hAnsi="Garamond" w:cs="Times New Roman"/>
        </w:rPr>
      </w:pPr>
      <w:r w:rsidRPr="001213F7">
        <w:rPr>
          <w:rFonts w:ascii="Garamond" w:eastAsia="Garamond" w:hAnsi="Garamond" w:cs="Times New Roman"/>
        </w:rPr>
        <w:lastRenderedPageBreak/>
        <w:t xml:space="preserve">Annual price growth in Victoria and Australia peaked at nearly 8 per cent in December 2022. Inflation declined over the next couple of years in response to sharply higher interest rates and as global supply chain disruptions resolved. However, as discussed in Chapter 2 </w:t>
      </w:r>
      <w:r w:rsidRPr="001213F7">
        <w:rPr>
          <w:rFonts w:ascii="Garamond" w:eastAsia="Garamond" w:hAnsi="Garamond" w:cs="Times New Roman"/>
          <w:i/>
        </w:rPr>
        <w:t>Economic context</w:t>
      </w:r>
      <w:r w:rsidRPr="001213F7">
        <w:rPr>
          <w:rFonts w:ascii="Garamond" w:eastAsia="Garamond" w:hAnsi="Garamond" w:cs="Times New Roman"/>
        </w:rPr>
        <w:t>, national inflation pressures have picked up again since the second half of</w:t>
      </w:r>
      <w:r w:rsidR="00B04B46" w:rsidRPr="001213F7">
        <w:rPr>
          <w:rFonts w:ascii="Garamond" w:eastAsia="Garamond" w:hAnsi="Garamond" w:cs="Times New Roman"/>
        </w:rPr>
        <w:t> </w:t>
      </w:r>
      <w:r w:rsidRPr="001213F7">
        <w:rPr>
          <w:rFonts w:ascii="Garamond" w:eastAsia="Garamond" w:hAnsi="Garamond" w:cs="Times New Roman"/>
        </w:rPr>
        <w:t xml:space="preserve">2025. </w:t>
      </w:r>
    </w:p>
    <w:p w14:paraId="7C1336F0" w14:textId="30B0F538" w:rsidR="00900469" w:rsidRPr="001213F7" w:rsidRDefault="00900469">
      <w:pPr>
        <w:pStyle w:val="ShadedBoxText"/>
      </w:pPr>
      <w:r w:rsidRPr="001213F7">
        <w:rPr>
          <w:rFonts w:ascii="Garamond" w:eastAsia="Garamond" w:hAnsi="Garamond" w:cs="Times New Roman"/>
        </w:rPr>
        <w:t xml:space="preserve">Overall, prices of consumer goods and services in Victoria, as measured by the consumer price index (CPI), rose by an average annual rate of 4.4 per cent over the four years to 2025 (see Chart 3.2). National prices rose by an annual rate of 4.5 per cent over the same period. </w:t>
      </w:r>
    </w:p>
    <w:p w14:paraId="082F8968" w14:textId="3D2A453A" w:rsidR="00900469" w:rsidRPr="001213F7" w:rsidRDefault="00900469">
      <w:pPr>
        <w:pStyle w:val="ShadedBoxHeading"/>
        <w:ind w:left="1022" w:hanging="1022"/>
        <w:rPr>
          <w:rFonts w:cstheme="majorHAnsi"/>
        </w:rPr>
      </w:pPr>
      <w:r w:rsidRPr="001213F7">
        <w:t xml:space="preserve">Chart 3.2: </w:t>
      </w:r>
      <w:r w:rsidRPr="001213F7">
        <w:tab/>
        <w:t>Average annual inflation by category over the four years to 2025, Melbourne and</w:t>
      </w:r>
      <w:r w:rsidR="004C4506" w:rsidRPr="001213F7">
        <w:t> </w:t>
      </w:r>
      <w:r w:rsidRPr="001213F7">
        <w:t xml:space="preserve">Australia </w:t>
      </w:r>
      <w:r w:rsidRPr="001213F7">
        <w:rPr>
          <w:vertAlign w:val="superscript"/>
        </w:rPr>
        <w:t>(a)(b)</w:t>
      </w:r>
    </w:p>
    <w:p w14:paraId="22B703C5" w14:textId="77777777" w:rsidR="00900469" w:rsidRPr="001213F7" w:rsidRDefault="00900469">
      <w:pPr>
        <w:pStyle w:val="ShadedBoxText"/>
        <w:rPr>
          <w:rFonts w:asciiTheme="majorHAnsi" w:hAnsiTheme="majorHAnsi" w:cstheme="majorHAnsi"/>
        </w:rPr>
      </w:pPr>
      <w:r w:rsidRPr="001213F7">
        <w:rPr>
          <w:noProof/>
        </w:rPr>
        <w:drawing>
          <wp:inline distT="0" distB="0" distL="0" distR="0" wp14:anchorId="0C8A9ADB" wp14:editId="3C6387D2">
            <wp:extent cx="4812665" cy="2779776"/>
            <wp:effectExtent l="0" t="0" r="0" b="0"/>
            <wp:docPr id="1990831104" name="Chart 1">
              <a:extLst xmlns:a="http://schemas.openxmlformats.org/drawingml/2006/main">
                <a:ext uri="{FF2B5EF4-FFF2-40B4-BE49-F238E27FC236}">
                  <a16:creationId xmlns:a16="http://schemas.microsoft.com/office/drawing/2014/main" id="{57F4A131-DFB8-414B-9088-2FCB60EB83F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62185DC1" w14:textId="77777777" w:rsidR="00900469" w:rsidRPr="001213F7" w:rsidRDefault="00900469">
      <w:pPr>
        <w:pStyle w:val="ShadedBoxSource"/>
      </w:pPr>
      <w:r w:rsidRPr="001213F7">
        <w:t>Source: Australian Bureau of Statistics</w:t>
      </w:r>
    </w:p>
    <w:p w14:paraId="5BD19000" w14:textId="77777777" w:rsidR="00900469" w:rsidRPr="001213F7" w:rsidRDefault="00900469">
      <w:pPr>
        <w:pStyle w:val="ShadedBoxNote"/>
        <w:ind w:left="0" w:firstLine="0"/>
      </w:pPr>
      <w:r w:rsidRPr="001213F7">
        <w:t>Notes:</w:t>
      </w:r>
    </w:p>
    <w:p w14:paraId="118E3681" w14:textId="77777777" w:rsidR="00900469" w:rsidRPr="001213F7" w:rsidRDefault="00900469">
      <w:pPr>
        <w:pStyle w:val="ShadedBoxNote"/>
      </w:pPr>
      <w:r w:rsidRPr="001213F7">
        <w:t>(a)</w:t>
      </w:r>
      <w:r w:rsidRPr="001213F7">
        <w:tab/>
        <w:t xml:space="preserve">The annual average change in the CPI from 2021 to 2025 calendar years (year-average terms). </w:t>
      </w:r>
    </w:p>
    <w:p w14:paraId="17CDB8ED" w14:textId="77777777" w:rsidR="00900469" w:rsidRPr="001213F7" w:rsidRDefault="00900469">
      <w:pPr>
        <w:pStyle w:val="ShadedBoxNote"/>
      </w:pPr>
      <w:r w:rsidRPr="001213F7">
        <w:t>(b)</w:t>
      </w:r>
      <w:r w:rsidRPr="001213F7">
        <w:tab/>
        <w:t>The housing component includes rents, utilities, purchases of new dwellings, property rates, and house repair and maintenance, but excludes mortgage payments, which are not captured by the consumer price index.</w:t>
      </w:r>
    </w:p>
    <w:p w14:paraId="4A3C0934" w14:textId="538C1FBC" w:rsidR="00900469" w:rsidRPr="001213F7" w:rsidRDefault="00900469">
      <w:pPr>
        <w:pStyle w:val="ShadedBoxText"/>
        <w:rPr>
          <w:rFonts w:ascii="Garamond" w:eastAsia="Garamond" w:hAnsi="Garamond" w:cs="Times New Roman"/>
          <w:i/>
        </w:rPr>
      </w:pPr>
      <w:r w:rsidRPr="001213F7">
        <w:rPr>
          <w:rFonts w:ascii="Garamond" w:eastAsia="Garamond" w:hAnsi="Garamond" w:cs="Times New Roman"/>
        </w:rPr>
        <w:t>The prices of some essentials have risen further. This includes food prices, which rose by an average annual rate of 5.1 per cent over the four years to 2025, insurance and financial services prices, which rose by an average rate of 5.5 per cent, and education prices, which rose by an average rate of 5.6 per cent. Housing inflation – which includes rents, purchases of new dwellings, and utilities – has risen by an average annual rate of 5.1 per cent, substantially lower than the Australian average at 6.0 per cent, mainly due to higher national growth in rents and new dwelling prices.</w:t>
      </w:r>
    </w:p>
    <w:p w14:paraId="7C39F710" w14:textId="77777777" w:rsidR="00900469" w:rsidRPr="001213F7" w:rsidRDefault="00900469">
      <w:pPr>
        <w:pStyle w:val="Note"/>
      </w:pPr>
    </w:p>
    <w:p w14:paraId="56C82596" w14:textId="77777777" w:rsidR="00900469" w:rsidRPr="001213F7" w:rsidRDefault="00900469">
      <w:pPr>
        <w:pBdr>
          <w:top w:val="single" w:sz="6" w:space="3" w:color="auto"/>
          <w:left w:val="single" w:sz="6" w:space="4" w:color="auto"/>
          <w:bottom w:val="single" w:sz="6" w:space="3" w:color="auto"/>
          <w:right w:val="single" w:sz="6" w:space="4" w:color="auto"/>
        </w:pBdr>
        <w:shd w:val="clear" w:color="auto" w:fill="F2F2F2"/>
      </w:pPr>
      <w:r w:rsidRPr="001213F7">
        <w:rPr>
          <w:rFonts w:ascii="Garamond" w:eastAsia="Garamond" w:hAnsi="Garamond" w:cs="Times New Roman"/>
        </w:rPr>
        <w:lastRenderedPageBreak/>
        <w:t xml:space="preserve">As outlined above, some of these price rises reflect global developments since the pandemic. For example, global supply chain disruptions affected building materials that contributed to the increase in new dwelling prices, while supply chain disruptions and the Russia–Ukraine conflict also contributed to higher food prices due to rising costs for fertiliser, transport and energy. The increase in building materials prices, and higher vehicle replacement and repair costs, which partly resulted from the disruptions to global supply chains, also pushed up the prices of insurance premiums for homes and vehicles. </w:t>
      </w:r>
    </w:p>
    <w:p w14:paraId="5756C03C" w14:textId="77777777" w:rsidR="00900469" w:rsidRPr="001213F7" w:rsidRDefault="00900469">
      <w:pPr>
        <w:pStyle w:val="Note"/>
      </w:pPr>
    </w:p>
    <w:p w14:paraId="3619A859" w14:textId="77777777" w:rsidR="00900469" w:rsidRPr="001213F7" w:rsidRDefault="00900469">
      <w:r w:rsidRPr="001213F7">
        <w:t>Although wages have grown solidly in recent years, national wage growth since the end of 2021 has been outstripped by these large increases in consumer prices. The wage price index measures changes in wage rates for a fixed set of jobs and excludes bonuses. Real labour income per employee provides a broader, more complete measure of workers’ incomes than the wage price index, by also capturing changes in employment, hours worked and employer superannuation contributions. Real labour income per employee has grown more strongly than wages have and is a little above what it was in December 2021. Looking ahead, the increase in inflation means that real wages are now expected to decline in 2025-26 and 2026-27, before growing over the remainder of the forward estimates. Given the steep increase in prices over recent years, it will take some time for wage growth to offset these past price increases.</w:t>
      </w:r>
    </w:p>
    <w:p w14:paraId="115C1D0D" w14:textId="5B5E79A2" w:rsidR="00900469" w:rsidRPr="001213F7" w:rsidRDefault="00900469">
      <w:r w:rsidRPr="001213F7">
        <w:t xml:space="preserve">Lower-income households are least </w:t>
      </w:r>
      <w:r w:rsidR="00DB0022" w:rsidRPr="001213F7">
        <w:t>well-</w:t>
      </w:r>
      <w:r w:rsidRPr="001213F7">
        <w:t>positioned to manage these higher living costs. Low</w:t>
      </w:r>
      <w:r w:rsidRPr="001213F7">
        <w:noBreakHyphen/>
        <w:t>income households already spend a larger share of their income on essentials (see Chart 3.3), the prices of which have risen by more than discretionary goods and services since the end of 2021 (as noted in Box 3.1). These lower-income households include the unemployed</w:t>
      </w:r>
      <w:r w:rsidRPr="001213F7" w:rsidDel="00B10E0B">
        <w:t xml:space="preserve"> </w:t>
      </w:r>
      <w:r w:rsidRPr="001213F7">
        <w:t>and other income support recipients, young workers and single</w:t>
      </w:r>
      <w:r w:rsidRPr="001213F7">
        <w:noBreakHyphen/>
        <w:t>parent households. Low</w:t>
      </w:r>
      <w:r w:rsidRPr="001213F7">
        <w:noBreakHyphen/>
        <w:t>income households tend to have lower savings which contributes to their vulnerability to price shocks.</w:t>
      </w:r>
    </w:p>
    <w:p w14:paraId="15D3307A" w14:textId="77777777" w:rsidR="00900469" w:rsidRPr="001213F7" w:rsidRDefault="00900469">
      <w:pPr>
        <w:pStyle w:val="TableHeading"/>
      </w:pPr>
      <w:r w:rsidRPr="001213F7">
        <w:lastRenderedPageBreak/>
        <w:t>Chart 3.3</w:t>
      </w:r>
      <w:r w:rsidRPr="001213F7">
        <w:rPr>
          <w:shd w:val="clear" w:color="auto" w:fill="FFFFFF" w:themeFill="background1"/>
        </w:rPr>
        <w:t xml:space="preserve">: </w:t>
      </w:r>
      <w:r w:rsidRPr="001213F7">
        <w:tab/>
        <w:t xml:space="preserve">Shares of gross disposable income spent on essentials, by equivalised disposable income quintile, Australia, 2021-22 </w:t>
      </w:r>
      <w:r w:rsidRPr="001213F7">
        <w:rPr>
          <w:vertAlign w:val="superscript"/>
        </w:rPr>
        <w:t>(a)(b)</w:t>
      </w:r>
    </w:p>
    <w:p w14:paraId="61F76700" w14:textId="77777777" w:rsidR="00900469" w:rsidRPr="001213F7" w:rsidRDefault="00900469">
      <w:r w:rsidRPr="001213F7">
        <w:rPr>
          <w:rFonts w:asciiTheme="majorHAnsi" w:hAnsiTheme="majorHAnsi" w:cstheme="majorHAnsi"/>
          <w:noProof/>
        </w:rPr>
        <w:drawing>
          <wp:inline distT="0" distB="0" distL="0" distR="0" wp14:anchorId="515E48F9" wp14:editId="29224F73">
            <wp:extent cx="4891405" cy="2870835"/>
            <wp:effectExtent l="0" t="0" r="4445" b="5715"/>
            <wp:docPr id="1530502887" name="Chart 1">
              <a:extLst xmlns:a="http://schemas.openxmlformats.org/drawingml/2006/main">
                <a:ext uri="{FF2B5EF4-FFF2-40B4-BE49-F238E27FC236}">
                  <a16:creationId xmlns:a16="http://schemas.microsoft.com/office/drawing/2014/main" id="{7F52CE28-0050-4A86-9A88-DA8DB638C32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6B374B0E" w14:textId="77777777" w:rsidR="00900469" w:rsidRPr="001213F7" w:rsidRDefault="00900469">
      <w:pPr>
        <w:pStyle w:val="Source"/>
      </w:pPr>
      <w:r w:rsidRPr="001213F7">
        <w:t>Source: Australia Bureau of Statistics</w:t>
      </w:r>
    </w:p>
    <w:p w14:paraId="4347530B" w14:textId="77777777" w:rsidR="00900469" w:rsidRPr="001213F7" w:rsidRDefault="00900469">
      <w:pPr>
        <w:pStyle w:val="Note"/>
      </w:pPr>
      <w:r w:rsidRPr="001213F7">
        <w:t>Notes:</w:t>
      </w:r>
    </w:p>
    <w:p w14:paraId="2249A9AF" w14:textId="77777777" w:rsidR="00900469" w:rsidRPr="001213F7" w:rsidRDefault="00900469">
      <w:pPr>
        <w:pStyle w:val="Note"/>
      </w:pPr>
      <w:r w:rsidRPr="001213F7">
        <w:t>(a)</w:t>
      </w:r>
      <w:r w:rsidRPr="001213F7">
        <w:tab/>
        <w:t xml:space="preserve">‘Equivalised disposable income’ is the total disposable income of a household adjusted by an equivalence scale to facilitate comparison of income levels between households of differing size and composition. It provides an indicator of the economic resources available to a standardised household. </w:t>
      </w:r>
    </w:p>
    <w:p w14:paraId="7EFF6C7F" w14:textId="77777777" w:rsidR="00900469" w:rsidRPr="001213F7" w:rsidRDefault="00900469">
      <w:pPr>
        <w:pStyle w:val="Note"/>
        <w:ind w:left="0" w:firstLine="0"/>
      </w:pPr>
      <w:r w:rsidRPr="001213F7">
        <w:t>(b)</w:t>
      </w:r>
      <w:r w:rsidRPr="001213F7">
        <w:tab/>
        <w:t xml:space="preserve">2021-22 is the latest available data. </w:t>
      </w:r>
    </w:p>
    <w:p w14:paraId="27F240BF" w14:textId="77777777" w:rsidR="00900469" w:rsidRPr="001213F7" w:rsidRDefault="00900469">
      <w:pPr>
        <w:pStyle w:val="Heading1"/>
      </w:pPr>
      <w:bookmarkStart w:id="34" w:name="_Toc228294217"/>
      <w:bookmarkStart w:id="35" w:name="_Toc228545299"/>
      <w:r w:rsidRPr="001213F7">
        <w:t>Easing living expenses and supporting access to jobs</w:t>
      </w:r>
      <w:bookmarkEnd w:id="34"/>
      <w:bookmarkEnd w:id="35"/>
      <w:r w:rsidRPr="001213F7">
        <w:t xml:space="preserve"> </w:t>
      </w:r>
    </w:p>
    <w:p w14:paraId="13AA9590" w14:textId="31CF24E7" w:rsidR="00900469" w:rsidRPr="001213F7" w:rsidRDefault="00900469">
      <w:pPr>
        <w:shd w:val="clear" w:color="auto" w:fill="FFFFFF" w:themeFill="background1"/>
      </w:pPr>
      <w:r w:rsidRPr="001213F7">
        <w:t>The Government is taking new actions to directly ease cost-of-living pressures and provide relief to strained household budgets when they need it most. These build on the cost</w:t>
      </w:r>
      <w:r w:rsidR="000F0C31" w:rsidRPr="001213F7">
        <w:noBreakHyphen/>
      </w:r>
      <w:r w:rsidRPr="001213F7">
        <w:t>of</w:t>
      </w:r>
      <w:r w:rsidR="000F0C31" w:rsidRPr="001213F7">
        <w:noBreakHyphen/>
      </w:r>
      <w:r w:rsidRPr="001213F7">
        <w:t>living actions of recent budgets</w:t>
      </w:r>
      <w:r w:rsidR="00D25603" w:rsidRPr="001213F7">
        <w:t>,</w:t>
      </w:r>
      <w:r w:rsidRPr="001213F7">
        <w:t xml:space="preserve"> and complement action underway in partnership with the Commonwealth Government and other states and territories</w:t>
      </w:r>
      <w:r w:rsidR="00FB1E26" w:rsidRPr="001213F7">
        <w:t xml:space="preserve"> to </w:t>
      </w:r>
      <w:r w:rsidRPr="001213F7">
        <w:t>reduc</w:t>
      </w:r>
      <w:r w:rsidR="00FB1E26" w:rsidRPr="001213F7">
        <w:t>e</w:t>
      </w:r>
      <w:r w:rsidRPr="001213F7">
        <w:t xml:space="preserve"> the excise on petrol and diesel by a total of 32 cents per litre from April to June, which is helping to cut the cost of filling up for Victorians. </w:t>
      </w:r>
    </w:p>
    <w:p w14:paraId="1238754E" w14:textId="3E59BE9E" w:rsidR="00900469" w:rsidRPr="001213F7" w:rsidRDefault="00900469" w:rsidP="000615DA">
      <w:pPr>
        <w:ind w:right="-54"/>
      </w:pPr>
      <w:r w:rsidRPr="001213F7">
        <w:t>Transport is essential for most workers to get to their jobs, and for Victorians to access education, healthcare and other essential services</w:t>
      </w:r>
      <w:r w:rsidRPr="001213F7" w:rsidDel="009C7F27">
        <w:t>.</w:t>
      </w:r>
      <w:r w:rsidRPr="001213F7">
        <w:t xml:space="preserve"> Low-income households spend proportiona</w:t>
      </w:r>
      <w:r w:rsidR="00411A35" w:rsidRPr="001213F7">
        <w:t>lly</w:t>
      </w:r>
      <w:r w:rsidRPr="001213F7">
        <w:t xml:space="preserve"> more on transport and will find rising fuel and other prices more challenging to manage than most other households. For example, households in the bottom fifth of income recipients spend one tenth of their income on transport, which is double the share spent by households in the top fifth of the income distribution (see Chart</w:t>
      </w:r>
      <w:r w:rsidR="000615DA" w:rsidRPr="001213F7">
        <w:t> </w:t>
      </w:r>
      <w:r w:rsidRPr="001213F7">
        <w:t xml:space="preserve">3.3). </w:t>
      </w:r>
    </w:p>
    <w:p w14:paraId="1AF8E976" w14:textId="1C8D35B4" w:rsidR="00900469" w:rsidRPr="001213F7" w:rsidRDefault="00900469" w:rsidP="0072360B">
      <w:pPr>
        <w:ind w:right="-144"/>
      </w:pPr>
      <w:r w:rsidRPr="001213F7">
        <w:lastRenderedPageBreak/>
        <w:t>Transport costs also vary by where people live. Households living further from the city, and</w:t>
      </w:r>
      <w:r w:rsidR="0072360B" w:rsidRPr="001213F7">
        <w:t> </w:t>
      </w:r>
      <w:r w:rsidRPr="001213F7">
        <w:t>households in regional Victoria, face materially higher private vehicle costs, which is a</w:t>
      </w:r>
      <w:r w:rsidR="00191396" w:rsidRPr="001213F7">
        <w:t> </w:t>
      </w:r>
      <w:r w:rsidRPr="001213F7">
        <w:t>reflection of the longer travel distances, lower public transport accessibility, and a greater need to own and use cars. The Bureau of Infrastructure and Transport Research Economics found that the share of household expenditure devoted to owning and operating vehicles was around 93 per cent higher in regional Victoria and around 70 per</w:t>
      </w:r>
      <w:r w:rsidR="00191396" w:rsidRPr="001213F7">
        <w:t> </w:t>
      </w:r>
      <w:r w:rsidRPr="001213F7">
        <w:t xml:space="preserve">cent higher in outer Melbourne than in inner Melbourne. </w:t>
      </w:r>
    </w:p>
    <w:p w14:paraId="5A210937" w14:textId="77777777" w:rsidR="00900469" w:rsidRPr="001213F7" w:rsidRDefault="00900469">
      <w:pPr>
        <w:pStyle w:val="Heading2"/>
      </w:pPr>
      <w:r w:rsidRPr="001213F7">
        <w:t>Discounted public transport until the end of the year</w:t>
      </w:r>
    </w:p>
    <w:p w14:paraId="406B6968" w14:textId="77777777" w:rsidR="00900469" w:rsidRPr="001213F7" w:rsidRDefault="00900469">
      <w:r w:rsidRPr="001213F7">
        <w:t>To help Victorians with the significant increase in transport costs due to the ongoing conflict in the Middle East, the Government will provide half-price public transport from June 2026 until the end of the year. This is a temporary measure which will follow free public transport in April and May.</w:t>
      </w:r>
    </w:p>
    <w:p w14:paraId="73B7A03B" w14:textId="77777777" w:rsidR="00900469" w:rsidRPr="001213F7" w:rsidRDefault="00900469">
      <w:r w:rsidRPr="001213F7">
        <w:t>Cheaper public transport will provide direct cost-of-living relief, including to lower</w:t>
      </w:r>
      <w:r w:rsidRPr="001213F7">
        <w:noBreakHyphen/>
        <w:t>income households who use trains, trams and buses to travel to work and study. This includes workers on award wages who commute to the CBD and inner Melbourne – such as hospitality and retail workers. In regional areas, discounted fares will particularly benefit concession card holders, with 63 per cent of bus ‘touch-ons’ in the regions made by concession card holders.</w:t>
      </w:r>
    </w:p>
    <w:p w14:paraId="668AF563" w14:textId="3623266B" w:rsidR="00900469" w:rsidRPr="001213F7" w:rsidRDefault="00900469">
      <w:r w:rsidRPr="001213F7">
        <w:t xml:space="preserve">The cost of transport affects those accessing education as well. Data from the Victorian Integrated Survey of Travel and Activity show that 85 per cent of TAFE and university students living in outer Melbourne rely on public transport to attend study. </w:t>
      </w:r>
    </w:p>
    <w:p w14:paraId="7BF4BDD7" w14:textId="77777777" w:rsidR="00900469" w:rsidRPr="001213F7" w:rsidRDefault="00900469">
      <w:pPr>
        <w:ind w:right="-119"/>
      </w:pPr>
      <w:r w:rsidRPr="001213F7">
        <w:t xml:space="preserve">Discounted public transport fares, along with the high cost of petrol, will encourage some workers to shift from driving to public transport. This should reduce demand for petrol and may put some downward pressure on fuel prices for those Victorians who still need to drive. It could also reduce congestion on the road network for Victorians who need to drive to work and to access essential services, as well as for freight vehicles. This could support faster journeys and greater fuel efficiency, through decreased idling, less stop-start driving and smoother traffic flow for private and commercial vehicles. </w:t>
      </w:r>
    </w:p>
    <w:p w14:paraId="7723CA01" w14:textId="77777777" w:rsidR="00900469" w:rsidRPr="001213F7" w:rsidRDefault="00900469">
      <w:pPr>
        <w:pStyle w:val="Heading2"/>
      </w:pPr>
      <w:r w:rsidRPr="001213F7">
        <w:t xml:space="preserve">Rebates for car registration in 2025-26 </w:t>
      </w:r>
    </w:p>
    <w:p w14:paraId="33096D98" w14:textId="78AC5612" w:rsidR="00900469" w:rsidRPr="001213F7" w:rsidRDefault="00900469">
      <w:r w:rsidRPr="001213F7">
        <w:t>The Government is also providing cost-of-living relief for Victorians who drive, many of whom do not have the option to use public transport to travel to work</w:t>
      </w:r>
      <w:r w:rsidR="00050FC4" w:rsidRPr="001213F7">
        <w:t xml:space="preserve"> or to access essential services</w:t>
      </w:r>
      <w:r w:rsidRPr="001213F7">
        <w:t>. This budget delivers a 20 per cent rebate on the annual cost of up to two</w:t>
      </w:r>
      <w:r w:rsidR="00875CDE" w:rsidRPr="001213F7">
        <w:t> </w:t>
      </w:r>
      <w:r w:rsidRPr="001213F7">
        <w:t xml:space="preserve">light vehicle registrations per person paid in 2025-26. For those who pay registration in metropolitan Melbourne, this equates to a rebate of up to $186 per vehicle. </w:t>
      </w:r>
    </w:p>
    <w:p w14:paraId="0BBE22FC" w14:textId="6DAF6CFA" w:rsidR="00900469" w:rsidRPr="001213F7" w:rsidRDefault="00900469" w:rsidP="00752A55">
      <w:pPr>
        <w:ind w:right="126"/>
      </w:pPr>
      <w:r w:rsidRPr="001213F7">
        <w:t>This provides important relief to those in outer Melbourne and regional Victoria, who are much more reliant on cars than those who live in inner Melbourne – and who tend to earn less too. Because of their more limited access to public transport and greater reliance on private vehicles, households in outer Melbourne and regional Victoria have higher rates of</w:t>
      </w:r>
      <w:r w:rsidR="00752A55" w:rsidRPr="001213F7">
        <w:t xml:space="preserve"> </w:t>
      </w:r>
      <w:r w:rsidRPr="001213F7">
        <w:t>vehicle ownership –</w:t>
      </w:r>
      <w:r w:rsidRPr="001213F7" w:rsidDel="00A575DC">
        <w:t xml:space="preserve"> </w:t>
      </w:r>
      <w:r w:rsidRPr="001213F7">
        <w:t>around 1.8 to 2.0 vehicles per dwelling –</w:t>
      </w:r>
      <w:r w:rsidRPr="001213F7" w:rsidDel="00A575DC">
        <w:t xml:space="preserve"> </w:t>
      </w:r>
      <w:r w:rsidRPr="001213F7">
        <w:t xml:space="preserve">compared with around 1.1 vehicles per dwelling in inner Melbourne. Those who live in outer Melbourne use private vehicles for 85 per cent of trips, compared with just 52 per cent for those in inner Melbourne. </w:t>
      </w:r>
    </w:p>
    <w:p w14:paraId="1850CAF5" w14:textId="04E57350" w:rsidR="00900469" w:rsidRPr="001213F7" w:rsidRDefault="00900469">
      <w:pPr>
        <w:shd w:val="clear" w:color="auto" w:fill="FFFFFF" w:themeFill="background1"/>
      </w:pPr>
      <w:r w:rsidRPr="001213F7">
        <w:lastRenderedPageBreak/>
        <w:t>This is not just a matter of personal choice: Victorians on lower incomes are less able to</w:t>
      </w:r>
      <w:r w:rsidR="00875CDE" w:rsidRPr="001213F7">
        <w:t> </w:t>
      </w:r>
      <w:r w:rsidRPr="001213F7">
        <w:t>afford to live in inner Melbourne where there are more public transport options. The</w:t>
      </w:r>
      <w:r w:rsidR="00875CDE" w:rsidRPr="001213F7">
        <w:t> </w:t>
      </w:r>
      <w:r w:rsidRPr="001213F7">
        <w:t>median household in inner Melbourne earns about 10 per cent more than the median</w:t>
      </w:r>
      <w:r w:rsidR="00875CDE" w:rsidRPr="001213F7">
        <w:t> </w:t>
      </w:r>
      <w:r w:rsidRPr="001213F7">
        <w:t xml:space="preserve">household in outer Melbourne – and about 45 per cent more than households in regional Victoria. </w:t>
      </w:r>
    </w:p>
    <w:p w14:paraId="6E86CF53" w14:textId="77777777" w:rsidR="00900469" w:rsidRPr="001213F7" w:rsidRDefault="00900469">
      <w:pPr>
        <w:shd w:val="clear" w:color="auto" w:fill="FFFFFF" w:themeFill="background1"/>
        <w:rPr>
          <w:rFonts w:asciiTheme="majorHAnsi" w:eastAsiaTheme="majorEastAsia" w:hAnsiTheme="majorHAnsi" w:cstheme="majorBidi"/>
          <w:b/>
          <w:sz w:val="27"/>
          <w:szCs w:val="26"/>
        </w:rPr>
      </w:pPr>
      <w:r w:rsidRPr="001213F7">
        <w:rPr>
          <w:rFonts w:asciiTheme="majorHAnsi" w:eastAsiaTheme="majorEastAsia" w:hAnsiTheme="majorHAnsi" w:cstheme="majorBidi"/>
          <w:b/>
          <w:sz w:val="27"/>
          <w:szCs w:val="26"/>
        </w:rPr>
        <w:t>Cutting the cost of petrol and diesel by reducing the fuel excise</w:t>
      </w:r>
    </w:p>
    <w:p w14:paraId="44CC9771" w14:textId="48C7BAAB" w:rsidR="00900469" w:rsidRPr="001213F7" w:rsidRDefault="00900469">
      <w:pPr>
        <w:shd w:val="clear" w:color="auto" w:fill="FFFFFF" w:themeFill="background1"/>
      </w:pPr>
      <w:r w:rsidRPr="001213F7">
        <w:t>The fuel excise cut is making driving temporarily cheaper for Victorians by cutting the cost of both petrol and diesel</w:t>
      </w:r>
      <w:r w:rsidR="00CA6C8B" w:rsidRPr="001213F7">
        <w:t xml:space="preserve">. </w:t>
      </w:r>
      <w:r w:rsidRPr="001213F7">
        <w:t>On 30 March 2026, the Commonwealth Government announced it would temporarily halve the fuel excise tax on petrol and diesel from April to June 2026. States and territories also agreed to support a further reduction in the fuel excise by 5.7</w:t>
      </w:r>
      <w:r w:rsidR="002709FB" w:rsidRPr="001213F7">
        <w:t> </w:t>
      </w:r>
      <w:r w:rsidRPr="001213F7">
        <w:t>cents per litre over the same period, meaning an overall excise reduction of 32 cents per litre for motorists. This has contributed to lowering the price of fuel</w:t>
      </w:r>
      <w:r w:rsidR="0079751C" w:rsidRPr="001213F7">
        <w:t>,</w:t>
      </w:r>
      <w:r w:rsidRPr="001213F7">
        <w:t xml:space="preserve"> with the Australian Competition and Consumer Commission reporting that between 31 March 2026 and 22 April 2026</w:t>
      </w:r>
      <w:r w:rsidR="0079751C" w:rsidRPr="001213F7">
        <w:t>,</w:t>
      </w:r>
      <w:r w:rsidRPr="001213F7">
        <w:t xml:space="preserve"> the average price of petrol in Melbourne dropped by 66.7 cents per litre, while the average price for diesel dropped by 41.6 cents per litre. </w:t>
      </w:r>
    </w:p>
    <w:p w14:paraId="77DAA04A" w14:textId="647C530D" w:rsidR="00900469" w:rsidRPr="001213F7" w:rsidRDefault="00900469">
      <w:pPr>
        <w:shd w:val="clear" w:color="auto" w:fill="FFFFFF" w:themeFill="background1"/>
      </w:pPr>
      <w:r w:rsidRPr="001213F7">
        <w:t xml:space="preserve">The temporary excise cut </w:t>
      </w:r>
      <w:r w:rsidR="00196198" w:rsidRPr="001213F7">
        <w:t xml:space="preserve">is </w:t>
      </w:r>
      <w:r w:rsidRPr="001213F7">
        <w:t>provid</w:t>
      </w:r>
      <w:r w:rsidR="00196198" w:rsidRPr="001213F7">
        <w:t>ing</w:t>
      </w:r>
      <w:r w:rsidRPr="001213F7">
        <w:t xml:space="preserve"> broad and immediate cost-of-living relief to Victorian motorists, including for lower</w:t>
      </w:r>
      <w:r w:rsidR="00A96747" w:rsidRPr="001213F7">
        <w:t>-</w:t>
      </w:r>
      <w:r w:rsidRPr="001213F7">
        <w:t>income Victorians. The largest direct dollar savings will accrue to households and businesses that purchase the most fuel, including those that travel longer distances, have limited access to public transport, or rely on vehicles for work, caring responsibilities and essential services. Analysis from the Tax and Transfer Policy Institute found that lower-income households tend to own older, less fuel</w:t>
      </w:r>
      <w:r w:rsidR="002709FB" w:rsidRPr="001213F7">
        <w:noBreakHyphen/>
      </w:r>
      <w:r w:rsidRPr="001213F7">
        <w:t xml:space="preserve">efficient vehicles and spend a greater proportion of their income on fuel. </w:t>
      </w:r>
      <w:r w:rsidR="002F56AE" w:rsidRPr="001213F7">
        <w:t>The Bureau of Infrastructure and Transport Research Economics</w:t>
      </w:r>
      <w:r w:rsidRPr="001213F7">
        <w:t xml:space="preserve"> research also found that middle and outer suburban residents tend to have higher rates of fuel consumption than inner city residents, as the latter group tends to own smaller, more fuel-efficient vehicles. The excise reduction will also benefit households in regional Victoria who are more reliant on their vehicles than those living closer to the city. </w:t>
      </w:r>
    </w:p>
    <w:p w14:paraId="194439B6" w14:textId="327A5CAA" w:rsidR="00900469" w:rsidRPr="001213F7" w:rsidRDefault="00900469">
      <w:pPr>
        <w:pStyle w:val="Heading2"/>
      </w:pPr>
      <w:r w:rsidRPr="001213F7">
        <w:t>Protecting work from home benefits Victorian families</w:t>
      </w:r>
    </w:p>
    <w:p w14:paraId="6966B449" w14:textId="5FEC7039" w:rsidR="00900469" w:rsidRPr="001213F7" w:rsidRDefault="00900469" w:rsidP="00875CDE">
      <w:r w:rsidRPr="001213F7">
        <w:t xml:space="preserve">Having a job is foundational for Victorian households’ financial wellbeing and is particularly important when cost-of-living pressures are high. By protecting the right to work from home with new legislation, the Government is helping more Victorians access work, meaning more Victorians can earn a wage. It also means saving Victorians time and money by cutting their commutes – further helping to ease cost-of-living challenges. </w:t>
      </w:r>
    </w:p>
    <w:p w14:paraId="241F4510" w14:textId="1AC25A4A" w:rsidR="00900469" w:rsidRPr="001213F7" w:rsidRDefault="00900469">
      <w:r w:rsidRPr="001213F7">
        <w:t>The number of Victorians reaping the benefits of</w:t>
      </w:r>
      <w:r w:rsidRPr="001213F7" w:rsidDel="00554E05">
        <w:t xml:space="preserve"> </w:t>
      </w:r>
      <w:r w:rsidRPr="001213F7">
        <w:t>employment is growing. Around 300 000</w:t>
      </w:r>
      <w:r w:rsidR="00210184" w:rsidRPr="001213F7">
        <w:t xml:space="preserve"> </w:t>
      </w:r>
      <w:r w:rsidRPr="001213F7">
        <w:t>jobs have been created over the last three years to 2025 – a higher percentage increase than</w:t>
      </w:r>
      <w:r w:rsidR="000B1A7A" w:rsidRPr="001213F7">
        <w:t> </w:t>
      </w:r>
      <w:r w:rsidRPr="001213F7">
        <w:t>the rest of Australia. The proportion of the Victorian working-age population in the labour force is also elevated. Over the past 10 years, participation grew by an average of 0.3</w:t>
      </w:r>
      <w:r w:rsidR="00210184" w:rsidRPr="001213F7">
        <w:t> </w:t>
      </w:r>
      <w:r w:rsidRPr="001213F7">
        <w:t xml:space="preserve">percentage points annually in Victoria and 0.2 percentage points in Australia. More women are entering the workforce aided by increased working-from-home opportunities and structural reforms such as Best Start, Best Life. Women’s participation reached a record high of 64.0 per cent in November 2025. </w:t>
      </w:r>
    </w:p>
    <w:p w14:paraId="5EA949E8" w14:textId="77777777" w:rsidR="00900469" w:rsidRPr="001213F7" w:rsidRDefault="00900469">
      <w:r w:rsidRPr="001213F7">
        <w:lastRenderedPageBreak/>
        <w:t xml:space="preserve">With Victorians facing cost-of-living challenges, it is important that all Victorians can access work opportunities. The new work from home laws will support work opportunities for people who may find it otherwise challenging to enter the labour market, including carers, parents of young children, people with disability, and people living in remote or regional areas where there are often fewer job opportunities in close physical proximity. The Productivity Commission has noted that, before the COVID-19 pandemic, these groups were all less likely to be employed compared with the overall Australian population. The ability to work from home can help these groups access a job, improve equity in economic security, and provide Victorian employers access to a wider pool of talent. CEDA has found that, between 2019 and 2023, participation in jobs where people could work from home rose by nine percentage points for women with young children and by 4.4 percentage points for people with a disability or health condition. </w:t>
      </w:r>
    </w:p>
    <w:p w14:paraId="1F8533FB" w14:textId="77777777" w:rsidR="00900469" w:rsidRPr="001213F7" w:rsidRDefault="00900469">
      <w:r w:rsidRPr="001213F7">
        <w:t>The Government intends to introduce legislation to protect the right to work from home.</w:t>
      </w:r>
      <w:r w:rsidRPr="001213F7">
        <w:rPr>
          <w:rFonts w:ascii="Times New Roman" w:hAnsi="Times New Roman" w:cs="Times New Roman"/>
        </w:rPr>
        <w:t> </w:t>
      </w:r>
      <w:r w:rsidRPr="001213F7">
        <w:t>Under this proposed law, Victorian workers who can reasonably do their job from home will have the right to do so for at least two days a week, regardless of workplace size or industry. Embedding this right in the Equal Opportunity Act will enable many Victorian workers to adopt or increase their work from home practices.</w:t>
      </w:r>
    </w:p>
    <w:p w14:paraId="5427F0D6" w14:textId="6D231DD4" w:rsidR="00900469" w:rsidRPr="001213F7" w:rsidRDefault="00900469">
      <w:r w:rsidRPr="001213F7">
        <w:t>Working from home enables workers to save money on commuting, which is even more important for Victorian families facing significant transport costs. It also frees up extra time for work, leisure and caregiving. According to the Committee for Economic Development of Australia (CEDA), Australian workers save an average of 3.4 hours a week in commuting time when working from home. CEDA estimates the value of this time saving at $5 308, with further savings through lower fuel use and avoided public transport costs. In addition, reduced emissions and congestion on Victorian roads also benefit all Victorians. And less need to drive to work or to the nearest train station saves fuel and money</w:t>
      </w:r>
      <w:r w:rsidR="00C315C9" w:rsidRPr="001213F7">
        <w:t>.</w:t>
      </w:r>
    </w:p>
    <w:p w14:paraId="1B4F149E" w14:textId="77777777" w:rsidR="00900469" w:rsidRPr="001213F7" w:rsidRDefault="00900469">
      <w:pPr>
        <w:pStyle w:val="Heading1"/>
      </w:pPr>
      <w:bookmarkStart w:id="36" w:name="_Toc228294218"/>
      <w:bookmarkStart w:id="37" w:name="_Toc228545300"/>
      <w:r w:rsidRPr="001213F7">
        <w:t>Progress on the fiscal strategy while providing cost</w:t>
      </w:r>
      <w:r w:rsidRPr="001213F7">
        <w:noBreakHyphen/>
        <w:t>of</w:t>
      </w:r>
      <w:r w:rsidRPr="001213F7">
        <w:noBreakHyphen/>
        <w:t>living relief for Victorians</w:t>
      </w:r>
      <w:bookmarkEnd w:id="36"/>
      <w:bookmarkEnd w:id="37"/>
    </w:p>
    <w:p w14:paraId="43D6A0D4" w14:textId="712A1A5E" w:rsidR="00900469" w:rsidRPr="001213F7" w:rsidRDefault="00900469">
      <w:r w:rsidRPr="001213F7">
        <w:t xml:space="preserve">The Government’s economic management, including its response to the COVID-19 pandemic to protect Victorian households and businesses, has provided a strong foundation for recovery and a healthy labour market. Victorians face the current challenges of elevated national inflation and the surge in global oil prices with a historically high share of </w:t>
      </w:r>
      <w:r w:rsidR="003566B3" w:rsidRPr="001213F7">
        <w:t xml:space="preserve">the population </w:t>
      </w:r>
      <w:r w:rsidRPr="001213F7">
        <w:t xml:space="preserve">in employment. </w:t>
      </w:r>
    </w:p>
    <w:p w14:paraId="1BE4BE08" w14:textId="77777777" w:rsidR="00900469" w:rsidRPr="001213F7" w:rsidRDefault="00900469">
      <w:r w:rsidRPr="001213F7">
        <w:t>Through responsible decisions, the Government has made significant progress towards achieving its fiscal strategy, as discussed in Chapter 1</w:t>
      </w:r>
      <w:r w:rsidRPr="001213F7">
        <w:rPr>
          <w:i/>
          <w:iCs/>
        </w:rPr>
        <w:t xml:space="preserve"> Economic</w:t>
      </w:r>
      <w:r w:rsidRPr="001213F7">
        <w:rPr>
          <w:i/>
        </w:rPr>
        <w:t xml:space="preserve"> and </w:t>
      </w:r>
      <w:r w:rsidRPr="001213F7">
        <w:rPr>
          <w:i/>
          <w:iCs/>
        </w:rPr>
        <w:t>fiscal overview.</w:t>
      </w:r>
      <w:r w:rsidRPr="001213F7">
        <w:rPr>
          <w:i/>
        </w:rPr>
        <w:t xml:space="preserve"> </w:t>
      </w:r>
    </w:p>
    <w:p w14:paraId="315B0AA7" w14:textId="77777777" w:rsidR="00900469" w:rsidRPr="001213F7" w:rsidRDefault="00900469">
      <w:r w:rsidRPr="001213F7">
        <w:t xml:space="preserve">This continued focus on delivering its fiscal strategy, including further decisions in this budget to deliver responsible savings through back of house efficiencies, has given the Government the capacity to provide further time-limited cost-of-living support to vulnerable households when they need it most. </w:t>
      </w:r>
    </w:p>
    <w:p w14:paraId="0CB48907" w14:textId="77777777" w:rsidR="00900469" w:rsidRPr="001213F7" w:rsidRDefault="00900469" w:rsidP="00144ADE"/>
    <w:p w14:paraId="04F99BA7" w14:textId="77777777" w:rsidR="00900469" w:rsidRPr="001213F7" w:rsidRDefault="00900469" w:rsidP="00144ADE"/>
    <w:p w14:paraId="76D4FB6E" w14:textId="77777777" w:rsidR="00900469" w:rsidRPr="001213F7" w:rsidRDefault="00900469" w:rsidP="004D6A31">
      <w:pPr>
        <w:pStyle w:val="ChapterHeading"/>
        <w:pageBreakBefore/>
        <w:sectPr w:rsidR="00900469" w:rsidRPr="001213F7" w:rsidSect="00900469">
          <w:footerReference w:type="even" r:id="rId57"/>
          <w:footerReference w:type="default" r:id="rId58"/>
          <w:type w:val="oddPage"/>
          <w:pgSz w:w="9979" w:h="14175"/>
          <w:pgMar w:top="1134" w:right="1069" w:bottom="1134" w:left="1134" w:header="624" w:footer="567" w:gutter="0"/>
          <w:cols w:space="708"/>
          <w:docGrid w:linePitch="360"/>
        </w:sectPr>
      </w:pPr>
      <w:bookmarkStart w:id="38" w:name="_Toc179455709"/>
    </w:p>
    <w:p w14:paraId="161EF261" w14:textId="77777777" w:rsidR="00732BC0" w:rsidRPr="001213F7" w:rsidRDefault="00732BC0" w:rsidP="00D13BFA">
      <w:pPr>
        <w:pStyle w:val="ChapterHeading"/>
        <w:pageBreakBefore/>
      </w:pPr>
      <w:bookmarkStart w:id="39" w:name="_Toc197955069"/>
      <w:bookmarkStart w:id="40" w:name="_Toc228545301"/>
      <w:bookmarkStart w:id="41" w:name="_Toc9436040"/>
      <w:bookmarkStart w:id="42" w:name="_Toc135331261"/>
      <w:bookmarkStart w:id="43" w:name="_Toc152933060"/>
      <w:bookmarkStart w:id="44" w:name="_Toc228294219"/>
      <w:bookmarkEnd w:id="38"/>
      <w:r w:rsidRPr="001213F7">
        <w:rPr>
          <w:rStyle w:val="Chapternumber"/>
        </w:rPr>
        <w:lastRenderedPageBreak/>
        <w:t>Chapter 4</w:t>
      </w:r>
      <w:r w:rsidRPr="001213F7">
        <w:t xml:space="preserve"> – Budget position and outlook</w:t>
      </w:r>
      <w:bookmarkEnd w:id="39"/>
      <w:bookmarkEnd w:id="40"/>
    </w:p>
    <w:p w14:paraId="3C452E0F" w14:textId="77777777" w:rsidR="00732BC0" w:rsidRPr="001213F7" w:rsidRDefault="00732BC0" w:rsidP="00D20C0A">
      <w:pPr>
        <w:pStyle w:val="ShadedBoxBullet"/>
        <w:numPr>
          <w:ilvl w:val="0"/>
          <w:numId w:val="13"/>
        </w:numPr>
      </w:pPr>
      <w:r w:rsidRPr="001213F7">
        <w:t xml:space="preserve">In the </w:t>
      </w:r>
      <w:r w:rsidRPr="001213F7">
        <w:rPr>
          <w:i/>
          <w:iCs/>
        </w:rPr>
        <w:t>2026-27 Budget</w:t>
      </w:r>
      <w:r w:rsidRPr="001213F7">
        <w:t>, the Government continues to deliver on its five-step fiscal strategy to restore the State’s finances following the COVID-19 pandemic.</w:t>
      </w:r>
    </w:p>
    <w:p w14:paraId="4504BF7A" w14:textId="77777777" w:rsidR="00732BC0" w:rsidRPr="001213F7" w:rsidRDefault="00732BC0" w:rsidP="00D20C0A">
      <w:pPr>
        <w:pStyle w:val="ShadedBoxBullet"/>
        <w:numPr>
          <w:ilvl w:val="0"/>
          <w:numId w:val="13"/>
        </w:numPr>
      </w:pPr>
      <w:r w:rsidRPr="001213F7">
        <w:t>Net cash flows from operating activities for the general government sector are forecast to be in a $6.5 billion surplus in 2026</w:t>
      </w:r>
      <w:r w:rsidRPr="001213F7">
        <w:rPr>
          <w:rFonts w:ascii="Times New Roman" w:hAnsi="Times New Roman"/>
        </w:rPr>
        <w:t>‑</w:t>
      </w:r>
      <w:r w:rsidRPr="001213F7">
        <w:t>27 and remain in surplus over the forward estimates, with a $6.5 billion surplus in 2029-30.</w:t>
      </w:r>
    </w:p>
    <w:p w14:paraId="623296D7" w14:textId="4FB9F72C" w:rsidR="00732BC0" w:rsidRPr="001213F7" w:rsidRDefault="00732BC0" w:rsidP="00D20C0A">
      <w:pPr>
        <w:pStyle w:val="ShadedBoxBullet"/>
        <w:numPr>
          <w:ilvl w:val="0"/>
          <w:numId w:val="13"/>
        </w:numPr>
      </w:pPr>
      <w:r w:rsidRPr="001213F7">
        <w:t>The net result from transactions for the general government sector is forecast to be in</w:t>
      </w:r>
      <w:r w:rsidR="0030735E" w:rsidRPr="001213F7">
        <w:t> </w:t>
      </w:r>
      <w:r w:rsidRPr="001213F7">
        <w:t>surplus by $0.7 billion in 2025</w:t>
      </w:r>
      <w:r w:rsidRPr="001213F7">
        <w:rPr>
          <w:color w:val="000000" w:themeColor="text1"/>
        </w:rPr>
        <w:noBreakHyphen/>
      </w:r>
      <w:r w:rsidRPr="001213F7">
        <w:t>26 and $1.0 billion in 2026</w:t>
      </w:r>
      <w:r w:rsidRPr="001213F7">
        <w:rPr>
          <w:color w:val="000000" w:themeColor="text1"/>
        </w:rPr>
        <w:noBreakHyphen/>
      </w:r>
      <w:r w:rsidRPr="001213F7">
        <w:t xml:space="preserve">27. </w:t>
      </w:r>
      <w:r w:rsidRPr="001213F7">
        <w:rPr>
          <w:color w:val="000000" w:themeColor="text1"/>
        </w:rPr>
        <w:t xml:space="preserve">The operating surplus is then forecast to further </w:t>
      </w:r>
      <w:r w:rsidRPr="001213F7">
        <w:t>improve to an average surplus of $1.9 billion across the three years of the forward estimates 2027-28 to 2029-30.</w:t>
      </w:r>
    </w:p>
    <w:p w14:paraId="49D1A90C" w14:textId="1E1073E8" w:rsidR="00732BC0" w:rsidRPr="001213F7" w:rsidRDefault="00732BC0" w:rsidP="00D20C0A">
      <w:pPr>
        <w:pStyle w:val="ShadedBoxBullet"/>
        <w:numPr>
          <w:ilvl w:val="0"/>
          <w:numId w:val="13"/>
        </w:numPr>
      </w:pPr>
      <w:r w:rsidRPr="001213F7">
        <w:t xml:space="preserve">Net debt is expected to be $175.6 billion at June 2027 and increase to $191.1 billion by June 2029. Compared with the </w:t>
      </w:r>
      <w:r w:rsidRPr="001213F7">
        <w:rPr>
          <w:i/>
        </w:rPr>
        <w:t>2025-26 Budget Update</w:t>
      </w:r>
      <w:r w:rsidRPr="001213F7">
        <w:t>, this is an improvement in all</w:t>
      </w:r>
      <w:r w:rsidR="0030735E" w:rsidRPr="001213F7">
        <w:t> </w:t>
      </w:r>
      <w:r w:rsidRPr="001213F7">
        <w:t>years across the budget and forward estimates, including an improvement of $1.5 billion by June 2029. Net debt is then forecast to increase to $199.3 billion by June 2030.</w:t>
      </w:r>
    </w:p>
    <w:p w14:paraId="0B4EFD44" w14:textId="77777777" w:rsidR="00732BC0" w:rsidRPr="001213F7" w:rsidRDefault="00732BC0" w:rsidP="00D20C0A">
      <w:pPr>
        <w:pStyle w:val="ShadedBoxBullet"/>
        <w:numPr>
          <w:ilvl w:val="0"/>
          <w:numId w:val="13"/>
        </w:numPr>
      </w:pPr>
      <w:r w:rsidRPr="001213F7">
        <w:t xml:space="preserve">As a proportion of GSP, net debt is projected to reach 24.9 per cent at June 2027 before declining each year across the forward estimates to 24.4 per cent by June 2030. Compared with the </w:t>
      </w:r>
      <w:r w:rsidRPr="001213F7">
        <w:rPr>
          <w:i/>
        </w:rPr>
        <w:t>2025-26 Budget Update</w:t>
      </w:r>
      <w:r w:rsidRPr="001213F7">
        <w:t>, net debt to GSP is lower across all published years.</w:t>
      </w:r>
    </w:p>
    <w:p w14:paraId="7056CD40" w14:textId="77777777" w:rsidR="00732BC0" w:rsidRPr="001213F7" w:rsidRDefault="00732BC0" w:rsidP="00D20C0A">
      <w:pPr>
        <w:pStyle w:val="ShadedBoxBullet"/>
        <w:numPr>
          <w:ilvl w:val="0"/>
          <w:numId w:val="13"/>
        </w:numPr>
      </w:pPr>
      <w:r w:rsidRPr="001213F7">
        <w:t>Government infrastructure investment (GII) is expected to average $16.5 billion a year over the budget and forward estimates (moderating to $15.3 billion by 2029</w:t>
      </w:r>
      <w:r w:rsidRPr="001213F7">
        <w:noBreakHyphen/>
        <w:t xml:space="preserve">30), reflecting the continuation of Victoria’s Big Build and the Government’s commitment to a moderating and sustainable infrastructure program. </w:t>
      </w:r>
    </w:p>
    <w:p w14:paraId="4D0D0F41" w14:textId="77777777" w:rsidR="00732BC0" w:rsidRPr="001213F7" w:rsidRDefault="00732BC0" w:rsidP="00D20C0A">
      <w:pPr>
        <w:pStyle w:val="ShadedBoxBullet"/>
        <w:numPr>
          <w:ilvl w:val="0"/>
          <w:numId w:val="13"/>
        </w:numPr>
      </w:pPr>
      <w:r w:rsidRPr="001213F7">
        <w:t>Interest expense as a share of total revenue is expected to average 8.6 per cent a year over the budget and forward estimates.</w:t>
      </w:r>
    </w:p>
    <w:p w14:paraId="090F05F6" w14:textId="77777777" w:rsidR="00732BC0" w:rsidRPr="001213F7" w:rsidRDefault="00732BC0" w:rsidP="00D20C0A">
      <w:pPr>
        <w:pStyle w:val="ShadedBoxBullet"/>
        <w:numPr>
          <w:ilvl w:val="0"/>
          <w:numId w:val="13"/>
        </w:numPr>
      </w:pPr>
      <w:r w:rsidRPr="001213F7">
        <w:t>The Government is on track to fully fund the State’s unfunded superannuation liability by 2035.</w:t>
      </w:r>
    </w:p>
    <w:p w14:paraId="20645D93" w14:textId="77777777" w:rsidR="00732BC0" w:rsidRPr="001213F7" w:rsidRDefault="00732BC0">
      <w:pPr>
        <w:spacing w:before="240"/>
      </w:pPr>
      <w:r w:rsidRPr="001213F7">
        <w:t xml:space="preserve">This chapter outlines the budget position of the general government sector. The budget takes into account the financial impacts as at 23 April of all policy decisions made by the Government, as well as other information that may have a material impact on the financial statements. This includes all known Commonwealth funding decisions, especially those related to infrastructure projects, based on information available to the State. This chapter also reconciles and explains any movements since the </w:t>
      </w:r>
      <w:r w:rsidRPr="001213F7">
        <w:rPr>
          <w:i/>
          <w:iCs/>
        </w:rPr>
        <w:t>2025-26 Budget Update</w:t>
      </w:r>
      <w:r w:rsidRPr="001213F7">
        <w:t xml:space="preserve"> that affect the estimated net result from transactions. </w:t>
      </w:r>
    </w:p>
    <w:p w14:paraId="45669483" w14:textId="77777777" w:rsidR="00732BC0" w:rsidRPr="001213F7" w:rsidRDefault="00732BC0" w:rsidP="004D288C">
      <w:pPr>
        <w:pStyle w:val="Heading1"/>
        <w:pageBreakBefore/>
      </w:pPr>
      <w:bookmarkStart w:id="45" w:name="_Toc165467344"/>
      <w:bookmarkStart w:id="46" w:name="_Toc197955070"/>
      <w:bookmarkStart w:id="47" w:name="_Toc228545302"/>
      <w:r w:rsidRPr="001213F7">
        <w:lastRenderedPageBreak/>
        <w:t>General government sector</w:t>
      </w:r>
      <w:bookmarkEnd w:id="45"/>
      <w:bookmarkEnd w:id="46"/>
      <w:bookmarkEnd w:id="47"/>
    </w:p>
    <w:p w14:paraId="0B5C43B4" w14:textId="77777777" w:rsidR="00732BC0" w:rsidRPr="001213F7" w:rsidRDefault="00732BC0" w:rsidP="004A7978">
      <w:pPr>
        <w:pStyle w:val="Heading2"/>
      </w:pPr>
      <w:r w:rsidRPr="001213F7">
        <w:t xml:space="preserve">Overview </w:t>
      </w:r>
    </w:p>
    <w:p w14:paraId="6D9E0942" w14:textId="77777777" w:rsidR="00732BC0" w:rsidRPr="001213F7" w:rsidRDefault="00732BC0" w:rsidP="007F66CB">
      <w:pPr>
        <w:rPr>
          <w:color w:val="000000" w:themeColor="text1"/>
        </w:rPr>
      </w:pPr>
      <w:r w:rsidRPr="001213F7">
        <w:rPr>
          <w:color w:val="000000" w:themeColor="text1"/>
        </w:rPr>
        <w:t xml:space="preserve">As first outlined in the </w:t>
      </w:r>
      <w:r w:rsidRPr="001213F7">
        <w:rPr>
          <w:i/>
          <w:color w:val="000000" w:themeColor="text1"/>
        </w:rPr>
        <w:t>2020-21 Budget</w:t>
      </w:r>
      <w:r w:rsidRPr="001213F7">
        <w:rPr>
          <w:color w:val="000000" w:themeColor="text1"/>
        </w:rPr>
        <w:t>, the Government developed a fiscal strategy in response to the COVID-19 pandemic and to provide a strong foundation for recovery. It involved a four-step plan to support Victorians through the pandemic and to restore the budget over the medium term.</w:t>
      </w:r>
    </w:p>
    <w:p w14:paraId="62D62402" w14:textId="77777777" w:rsidR="00732BC0" w:rsidRPr="001213F7" w:rsidRDefault="00732BC0" w:rsidP="004A7978">
      <w:r w:rsidRPr="001213F7">
        <w:rPr>
          <w:color w:val="000000" w:themeColor="text1"/>
        </w:rPr>
        <w:t xml:space="preserve">In the </w:t>
      </w:r>
      <w:r w:rsidRPr="001213F7">
        <w:rPr>
          <w:i/>
          <w:iCs/>
          <w:color w:val="000000" w:themeColor="text1"/>
        </w:rPr>
        <w:t>2024</w:t>
      </w:r>
      <w:r w:rsidRPr="001213F7">
        <w:rPr>
          <w:i/>
          <w:iCs/>
          <w:color w:val="000000" w:themeColor="text1"/>
        </w:rPr>
        <w:noBreakHyphen/>
        <w:t>25 Budget</w:t>
      </w:r>
      <w:r w:rsidRPr="001213F7">
        <w:rPr>
          <w:color w:val="000000" w:themeColor="text1"/>
        </w:rPr>
        <w:t>, the Government updated the plan to introduce a fifth step. This updated plan continues to provide a clear framework</w:t>
      </w:r>
      <w:r w:rsidRPr="001213F7">
        <w:t>:</w:t>
      </w:r>
    </w:p>
    <w:p w14:paraId="4C304475" w14:textId="77777777" w:rsidR="00732BC0" w:rsidRPr="001213F7" w:rsidRDefault="00732BC0" w:rsidP="00D20C0A">
      <w:pPr>
        <w:pStyle w:val="ListBullet"/>
        <w:numPr>
          <w:ilvl w:val="0"/>
          <w:numId w:val="13"/>
        </w:numPr>
        <w:spacing w:before="100"/>
        <w:ind w:left="346" w:hanging="346"/>
      </w:pPr>
      <w:r w:rsidRPr="001213F7">
        <w:rPr>
          <w:b/>
        </w:rPr>
        <w:t>Step 1</w:t>
      </w:r>
      <w:r w:rsidRPr="001213F7">
        <w:t>: creating jobs, reducing unemployment and restoring economic growth</w:t>
      </w:r>
    </w:p>
    <w:p w14:paraId="72BF0D46" w14:textId="77777777" w:rsidR="00732BC0" w:rsidRPr="001213F7" w:rsidRDefault="00732BC0" w:rsidP="00D20C0A">
      <w:pPr>
        <w:pStyle w:val="ListBullet"/>
        <w:numPr>
          <w:ilvl w:val="0"/>
          <w:numId w:val="13"/>
        </w:numPr>
      </w:pPr>
      <w:r w:rsidRPr="001213F7">
        <w:rPr>
          <w:b/>
        </w:rPr>
        <w:t>Step 2</w:t>
      </w:r>
      <w:r w:rsidRPr="001213F7">
        <w:t>: returning to an operating cash surplus</w:t>
      </w:r>
    </w:p>
    <w:p w14:paraId="266D2F4A" w14:textId="77777777" w:rsidR="00732BC0" w:rsidRPr="001213F7" w:rsidRDefault="00732BC0" w:rsidP="00D20C0A">
      <w:pPr>
        <w:pStyle w:val="ListBullet"/>
        <w:numPr>
          <w:ilvl w:val="0"/>
          <w:numId w:val="13"/>
        </w:numPr>
      </w:pPr>
      <w:r w:rsidRPr="001213F7">
        <w:rPr>
          <w:b/>
        </w:rPr>
        <w:t>Step 3</w:t>
      </w:r>
      <w:r w:rsidRPr="001213F7">
        <w:t>: returning to operating surpluses</w:t>
      </w:r>
    </w:p>
    <w:p w14:paraId="45BC0346" w14:textId="77777777" w:rsidR="00732BC0" w:rsidRPr="001213F7" w:rsidRDefault="00732BC0" w:rsidP="00D20C0A">
      <w:pPr>
        <w:pStyle w:val="ListBullet"/>
        <w:numPr>
          <w:ilvl w:val="0"/>
          <w:numId w:val="13"/>
        </w:numPr>
      </w:pPr>
      <w:r w:rsidRPr="001213F7">
        <w:rPr>
          <w:b/>
        </w:rPr>
        <w:t>Step 4</w:t>
      </w:r>
      <w:r w:rsidRPr="001213F7">
        <w:t>: stabilising net debt levels as a proportion of GSP</w:t>
      </w:r>
    </w:p>
    <w:p w14:paraId="58D662A7" w14:textId="77777777" w:rsidR="00732BC0" w:rsidRPr="001213F7" w:rsidRDefault="00732BC0" w:rsidP="00D20C0A">
      <w:pPr>
        <w:pStyle w:val="ListBullet"/>
        <w:numPr>
          <w:ilvl w:val="0"/>
          <w:numId w:val="13"/>
        </w:numPr>
      </w:pPr>
      <w:r w:rsidRPr="001213F7">
        <w:rPr>
          <w:b/>
          <w:bCs/>
        </w:rPr>
        <w:t>Step 5</w:t>
      </w:r>
      <w:r w:rsidRPr="001213F7">
        <w:t>: reducing net debt as a proportion of GSP.</w:t>
      </w:r>
    </w:p>
    <w:p w14:paraId="339392C9" w14:textId="77777777" w:rsidR="00732BC0" w:rsidRPr="001213F7" w:rsidRDefault="00732BC0" w:rsidP="004A7978">
      <w:r w:rsidRPr="001213F7">
        <w:t>Economic indicators demonstrate the success of step 1. The Victorian economy continues to grow, and unemployment has declined to below pre-pandemic levels.</w:t>
      </w:r>
    </w:p>
    <w:p w14:paraId="3F72F4FF" w14:textId="77777777" w:rsidR="00732BC0" w:rsidRPr="001213F7" w:rsidRDefault="00732BC0">
      <w:r w:rsidRPr="001213F7">
        <w:t xml:space="preserve">The Government has achieved step 2 of the fiscal strategy with operating cash surpluses achieved for the past three years, including an operating cash surplus of $3.2 billion in the </w:t>
      </w:r>
      <w:r w:rsidRPr="001213F7">
        <w:rPr>
          <w:i/>
          <w:iCs/>
        </w:rPr>
        <w:t>2024-25 Financial Report</w:t>
      </w:r>
      <w:r w:rsidRPr="001213F7">
        <w:t>. The Government continues to forecast an operating cash surplus of $6.9 billion in 2025-26, with average operating cash surpluses of $6.4 billion forecast across the budget and forward estimates (see Table 4.1).</w:t>
      </w:r>
    </w:p>
    <w:p w14:paraId="382DBB85" w14:textId="77777777" w:rsidR="00732BC0" w:rsidRPr="001213F7" w:rsidRDefault="00732BC0" w:rsidP="00D55E3E">
      <w:r w:rsidRPr="001213F7">
        <w:t>The net result from transactions for the general government sector remains on track to be an operating surplus of $0.7 billion in 2025</w:t>
      </w:r>
      <w:r w:rsidRPr="001213F7">
        <w:noBreakHyphen/>
        <w:t xml:space="preserve">26 (step 3), the first surplus since the </w:t>
      </w:r>
      <w:r w:rsidRPr="001213F7">
        <w:rPr>
          <w:color w:val="000000" w:themeColor="text1"/>
        </w:rPr>
        <w:t>COVID</w:t>
      </w:r>
      <w:r w:rsidRPr="001213F7">
        <w:rPr>
          <w:color w:val="000000" w:themeColor="text1"/>
        </w:rPr>
        <w:noBreakHyphen/>
        <w:t xml:space="preserve">19 pandemic began. The operating surplus is then estimated to </w:t>
      </w:r>
      <w:r w:rsidRPr="001213F7">
        <w:t>be $1.0 billion in 2026</w:t>
      </w:r>
      <w:r w:rsidRPr="001213F7">
        <w:noBreakHyphen/>
        <w:t>27 and then further improve to an average surplus of $1.9 billion across the three years of the forward estimates 2027-28 to 2029-30.</w:t>
      </w:r>
    </w:p>
    <w:p w14:paraId="4D7FB1D6" w14:textId="77777777" w:rsidR="00732BC0" w:rsidRPr="001213F7" w:rsidRDefault="00732BC0" w:rsidP="00D55E3E">
      <w:r w:rsidRPr="001213F7">
        <w:t xml:space="preserve">The </w:t>
      </w:r>
      <w:r w:rsidRPr="001213F7">
        <w:rPr>
          <w:i/>
          <w:iCs/>
        </w:rPr>
        <w:t>2026</w:t>
      </w:r>
      <w:r w:rsidRPr="001213F7">
        <w:rPr>
          <w:i/>
          <w:iCs/>
        </w:rPr>
        <w:noBreakHyphen/>
        <w:t xml:space="preserve">27 Budget </w:t>
      </w:r>
      <w:r w:rsidRPr="001213F7">
        <w:t>continues to forecast the achievement of steps 4 and 5 of the Government’s fiscal strategy, with net debt as a percentage of GSP stabilising and then declining by the end of the forward estimates. Net debt as a proportion of GSP is projected to reach 24.9 per cent at June 2027 before declining to 24.8 per cent by June 2028, 24.6 per cent by June 2029 and then declining to 24.4 per cent by June 2030.</w:t>
      </w:r>
    </w:p>
    <w:p w14:paraId="36D63463" w14:textId="77777777" w:rsidR="00732BC0" w:rsidRPr="001213F7" w:rsidRDefault="00732BC0" w:rsidP="00BD6EC7">
      <w:pPr>
        <w:pStyle w:val="TableHeading"/>
        <w:pageBreakBefore/>
        <w:ind w:left="1022" w:hanging="1022"/>
      </w:pPr>
      <w:r w:rsidRPr="001213F7">
        <w:lastRenderedPageBreak/>
        <w:t>Table 4.1:</w:t>
      </w:r>
      <w:r w:rsidRPr="001213F7">
        <w:tab/>
        <w:t>General government fiscal aggregates</w:t>
      </w:r>
    </w:p>
    <w:tbl>
      <w:tblPr>
        <w:tblStyle w:val="DTFTableNumeric"/>
        <w:tblW w:w="7710" w:type="dxa"/>
        <w:tblLayout w:type="fixed"/>
        <w:tblLook w:val="06A0" w:firstRow="1" w:lastRow="0" w:firstColumn="1" w:lastColumn="0" w:noHBand="1" w:noVBand="1"/>
        <w:tblDescription w:val="Type:DtfTable|Workbook:https://vicgov.sharepoint.com/sites/VG002735/BP2/Spreadsheets/Link_BP2_Chapter4.xlsx|Table:GG_FiscalAggregates"/>
      </w:tblPr>
      <w:tblGrid>
        <w:gridCol w:w="2160"/>
        <w:gridCol w:w="792"/>
        <w:gridCol w:w="793"/>
        <w:gridCol w:w="793"/>
        <w:gridCol w:w="793"/>
        <w:gridCol w:w="793"/>
        <w:gridCol w:w="793"/>
        <w:gridCol w:w="793"/>
      </w:tblGrid>
      <w:tr w:rsidR="00732BC0" w:rsidRPr="001213F7" w14:paraId="5FFB5336"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160" w:type="dxa"/>
          </w:tcPr>
          <w:p w14:paraId="52A4850B" w14:textId="77777777" w:rsidR="00732BC0" w:rsidRPr="001213F7" w:rsidRDefault="00732BC0">
            <w:pPr>
              <w:keepNext/>
            </w:pPr>
          </w:p>
        </w:tc>
        <w:tc>
          <w:tcPr>
            <w:tcW w:w="792" w:type="dxa"/>
          </w:tcPr>
          <w:p w14:paraId="0C90D0FD" w14:textId="77777777" w:rsidR="00732BC0" w:rsidRPr="001213F7" w:rsidRDefault="00732BC0">
            <w:pPr>
              <w:keepNext/>
              <w:jc w:val="center"/>
              <w:cnfStyle w:val="100000000000" w:firstRow="1" w:lastRow="0" w:firstColumn="0" w:lastColumn="0" w:oddVBand="0" w:evenVBand="0" w:oddHBand="0" w:evenHBand="0" w:firstRowFirstColumn="0" w:firstRowLastColumn="0" w:lastRowFirstColumn="0" w:lastRowLastColumn="0"/>
            </w:pPr>
            <w:r w:rsidRPr="001213F7">
              <w:t>Unit of</w:t>
            </w:r>
          </w:p>
        </w:tc>
        <w:tc>
          <w:tcPr>
            <w:tcW w:w="793" w:type="dxa"/>
          </w:tcPr>
          <w:p w14:paraId="2AAE3328" w14:textId="77777777" w:rsidR="00732BC0" w:rsidRPr="001213F7" w:rsidRDefault="00732BC0">
            <w:pPr>
              <w:keepNext/>
              <w:cnfStyle w:val="100000000000" w:firstRow="1" w:lastRow="0" w:firstColumn="0" w:lastColumn="0" w:oddVBand="0" w:evenVBand="0" w:oddHBand="0" w:evenHBand="0" w:firstRowFirstColumn="0" w:firstRowLastColumn="0" w:lastRowFirstColumn="0" w:lastRowLastColumn="0"/>
            </w:pPr>
            <w:r w:rsidRPr="001213F7">
              <w:t>2024</w:t>
            </w:r>
            <w:r w:rsidRPr="001213F7">
              <w:noBreakHyphen/>
              <w:t>25</w:t>
            </w:r>
          </w:p>
        </w:tc>
        <w:tc>
          <w:tcPr>
            <w:tcW w:w="793" w:type="dxa"/>
          </w:tcPr>
          <w:p w14:paraId="77ED56AD" w14:textId="77777777" w:rsidR="00732BC0" w:rsidRPr="001213F7" w:rsidRDefault="00732BC0">
            <w:pPr>
              <w:keepNext/>
              <w:cnfStyle w:val="100000000000" w:firstRow="1" w:lastRow="0" w:firstColumn="0" w:lastColumn="0" w:oddVBand="0" w:evenVBand="0" w:oddHBand="0" w:evenHBand="0" w:firstRowFirstColumn="0" w:firstRowLastColumn="0" w:lastRowFirstColumn="0" w:lastRowLastColumn="0"/>
            </w:pPr>
            <w:r w:rsidRPr="001213F7">
              <w:t>2025</w:t>
            </w:r>
            <w:r w:rsidRPr="001213F7">
              <w:noBreakHyphen/>
              <w:t>26</w:t>
            </w:r>
          </w:p>
        </w:tc>
        <w:tc>
          <w:tcPr>
            <w:tcW w:w="793" w:type="dxa"/>
          </w:tcPr>
          <w:p w14:paraId="6723202F" w14:textId="77777777" w:rsidR="00732BC0" w:rsidRPr="001213F7" w:rsidRDefault="00732BC0">
            <w:pPr>
              <w:keepNext/>
              <w:cnfStyle w:val="100000000000" w:firstRow="1" w:lastRow="0" w:firstColumn="0" w:lastColumn="0" w:oddVBand="0" w:evenVBand="0" w:oddHBand="0" w:evenHBand="0" w:firstRowFirstColumn="0" w:firstRowLastColumn="0" w:lastRowFirstColumn="0" w:lastRowLastColumn="0"/>
            </w:pPr>
            <w:r w:rsidRPr="001213F7">
              <w:t>2026</w:t>
            </w:r>
            <w:r w:rsidRPr="001213F7">
              <w:noBreakHyphen/>
              <w:t>27</w:t>
            </w:r>
          </w:p>
        </w:tc>
        <w:tc>
          <w:tcPr>
            <w:tcW w:w="793" w:type="dxa"/>
          </w:tcPr>
          <w:p w14:paraId="4996964C" w14:textId="77777777" w:rsidR="00732BC0" w:rsidRPr="001213F7" w:rsidRDefault="00732BC0">
            <w:pPr>
              <w:keepNext/>
              <w:cnfStyle w:val="100000000000" w:firstRow="1" w:lastRow="0" w:firstColumn="0" w:lastColumn="0" w:oddVBand="0" w:evenVBand="0" w:oddHBand="0" w:evenHBand="0" w:firstRowFirstColumn="0" w:firstRowLastColumn="0" w:lastRowFirstColumn="0" w:lastRowLastColumn="0"/>
            </w:pPr>
            <w:r w:rsidRPr="001213F7">
              <w:t>2027</w:t>
            </w:r>
            <w:r w:rsidRPr="001213F7">
              <w:noBreakHyphen/>
              <w:t>28</w:t>
            </w:r>
          </w:p>
        </w:tc>
        <w:tc>
          <w:tcPr>
            <w:tcW w:w="793" w:type="dxa"/>
          </w:tcPr>
          <w:p w14:paraId="3110B8AD" w14:textId="77777777" w:rsidR="00732BC0" w:rsidRPr="001213F7" w:rsidRDefault="00732BC0">
            <w:pPr>
              <w:keepNext/>
              <w:cnfStyle w:val="100000000000" w:firstRow="1" w:lastRow="0" w:firstColumn="0" w:lastColumn="0" w:oddVBand="0" w:evenVBand="0" w:oddHBand="0" w:evenHBand="0" w:firstRowFirstColumn="0" w:firstRowLastColumn="0" w:lastRowFirstColumn="0" w:lastRowLastColumn="0"/>
            </w:pPr>
            <w:r w:rsidRPr="001213F7">
              <w:t>2028</w:t>
            </w:r>
            <w:r w:rsidRPr="001213F7">
              <w:noBreakHyphen/>
              <w:t>29</w:t>
            </w:r>
          </w:p>
        </w:tc>
        <w:tc>
          <w:tcPr>
            <w:tcW w:w="793" w:type="dxa"/>
          </w:tcPr>
          <w:p w14:paraId="6989A13B" w14:textId="77777777" w:rsidR="00732BC0" w:rsidRPr="001213F7" w:rsidRDefault="00732BC0">
            <w:pPr>
              <w:keepNext/>
              <w:cnfStyle w:val="100000000000" w:firstRow="1" w:lastRow="0" w:firstColumn="0" w:lastColumn="0" w:oddVBand="0" w:evenVBand="0" w:oddHBand="0" w:evenHBand="0" w:firstRowFirstColumn="0" w:firstRowLastColumn="0" w:lastRowFirstColumn="0" w:lastRowLastColumn="0"/>
            </w:pPr>
            <w:r w:rsidRPr="001213F7">
              <w:t>2029</w:t>
            </w:r>
            <w:r w:rsidRPr="001213F7">
              <w:noBreakHyphen/>
              <w:t>30</w:t>
            </w:r>
          </w:p>
        </w:tc>
      </w:tr>
      <w:tr w:rsidR="00732BC0" w:rsidRPr="001213F7" w14:paraId="050B231C"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160" w:type="dxa"/>
          </w:tcPr>
          <w:p w14:paraId="47B42558" w14:textId="77777777" w:rsidR="00732BC0" w:rsidRPr="001213F7" w:rsidRDefault="00732BC0">
            <w:pPr>
              <w:keepNext/>
            </w:pPr>
          </w:p>
        </w:tc>
        <w:tc>
          <w:tcPr>
            <w:tcW w:w="792" w:type="dxa"/>
          </w:tcPr>
          <w:p w14:paraId="65097BEE" w14:textId="77777777" w:rsidR="00732BC0" w:rsidRPr="001213F7" w:rsidRDefault="00732BC0">
            <w:pPr>
              <w:keepNext/>
              <w:jc w:val="center"/>
              <w:cnfStyle w:val="100000000000" w:firstRow="1" w:lastRow="0" w:firstColumn="0" w:lastColumn="0" w:oddVBand="0" w:evenVBand="0" w:oddHBand="0" w:evenHBand="0" w:firstRowFirstColumn="0" w:firstRowLastColumn="0" w:lastRowFirstColumn="0" w:lastRowLastColumn="0"/>
            </w:pPr>
            <w:r w:rsidRPr="001213F7">
              <w:t>measure</w:t>
            </w:r>
          </w:p>
        </w:tc>
        <w:tc>
          <w:tcPr>
            <w:tcW w:w="793" w:type="dxa"/>
          </w:tcPr>
          <w:p w14:paraId="37E446EF" w14:textId="77777777" w:rsidR="00732BC0" w:rsidRPr="001213F7" w:rsidRDefault="00732BC0">
            <w:pPr>
              <w:keepNext/>
              <w:cnfStyle w:val="100000000000" w:firstRow="1" w:lastRow="0" w:firstColumn="0" w:lastColumn="0" w:oddVBand="0" w:evenVBand="0" w:oddHBand="0" w:evenHBand="0" w:firstRowFirstColumn="0" w:firstRowLastColumn="0" w:lastRowFirstColumn="0" w:lastRowLastColumn="0"/>
            </w:pPr>
            <w:r w:rsidRPr="001213F7">
              <w:t>actual</w:t>
            </w:r>
          </w:p>
        </w:tc>
        <w:tc>
          <w:tcPr>
            <w:tcW w:w="793" w:type="dxa"/>
          </w:tcPr>
          <w:p w14:paraId="4B8200C3" w14:textId="77777777" w:rsidR="00732BC0" w:rsidRPr="001213F7" w:rsidRDefault="00732BC0">
            <w:pPr>
              <w:keepNext/>
              <w:cnfStyle w:val="100000000000" w:firstRow="1" w:lastRow="0" w:firstColumn="0" w:lastColumn="0" w:oddVBand="0" w:evenVBand="0" w:oddHBand="0" w:evenHBand="0" w:firstRowFirstColumn="0" w:firstRowLastColumn="0" w:lastRowFirstColumn="0" w:lastRowLastColumn="0"/>
            </w:pPr>
            <w:r w:rsidRPr="001213F7">
              <w:t>revised</w:t>
            </w:r>
          </w:p>
        </w:tc>
        <w:tc>
          <w:tcPr>
            <w:tcW w:w="793" w:type="dxa"/>
          </w:tcPr>
          <w:p w14:paraId="55640CAF" w14:textId="77777777" w:rsidR="00732BC0" w:rsidRPr="001213F7" w:rsidRDefault="00732BC0">
            <w:pPr>
              <w:keepNext/>
              <w:cnfStyle w:val="100000000000" w:firstRow="1" w:lastRow="0" w:firstColumn="0" w:lastColumn="0" w:oddVBand="0" w:evenVBand="0" w:oddHBand="0" w:evenHBand="0" w:firstRowFirstColumn="0" w:firstRowLastColumn="0" w:lastRowFirstColumn="0" w:lastRowLastColumn="0"/>
            </w:pPr>
            <w:r w:rsidRPr="001213F7">
              <w:t>budget</w:t>
            </w:r>
          </w:p>
        </w:tc>
        <w:tc>
          <w:tcPr>
            <w:tcW w:w="793" w:type="dxa"/>
          </w:tcPr>
          <w:p w14:paraId="7A47793A" w14:textId="77777777" w:rsidR="00732BC0" w:rsidRPr="001213F7" w:rsidRDefault="00732BC0">
            <w:pPr>
              <w:keepNext/>
              <w:cnfStyle w:val="100000000000" w:firstRow="1" w:lastRow="0" w:firstColumn="0" w:lastColumn="0" w:oddVBand="0" w:evenVBand="0" w:oddHBand="0" w:evenHBand="0" w:firstRowFirstColumn="0" w:firstRowLastColumn="0" w:lastRowFirstColumn="0" w:lastRowLastColumn="0"/>
            </w:pPr>
            <w:r w:rsidRPr="001213F7">
              <w:t>estimate</w:t>
            </w:r>
          </w:p>
        </w:tc>
        <w:tc>
          <w:tcPr>
            <w:tcW w:w="793" w:type="dxa"/>
          </w:tcPr>
          <w:p w14:paraId="2302963D" w14:textId="77777777" w:rsidR="00732BC0" w:rsidRPr="001213F7" w:rsidRDefault="00732BC0">
            <w:pPr>
              <w:keepNext/>
              <w:cnfStyle w:val="100000000000" w:firstRow="1" w:lastRow="0" w:firstColumn="0" w:lastColumn="0" w:oddVBand="0" w:evenVBand="0" w:oddHBand="0" w:evenHBand="0" w:firstRowFirstColumn="0" w:firstRowLastColumn="0" w:lastRowFirstColumn="0" w:lastRowLastColumn="0"/>
            </w:pPr>
            <w:r w:rsidRPr="001213F7">
              <w:t>estimate</w:t>
            </w:r>
          </w:p>
        </w:tc>
        <w:tc>
          <w:tcPr>
            <w:tcW w:w="793" w:type="dxa"/>
          </w:tcPr>
          <w:p w14:paraId="354A78DA" w14:textId="77777777" w:rsidR="00732BC0" w:rsidRPr="001213F7" w:rsidRDefault="00732BC0">
            <w:pPr>
              <w:keepNext/>
              <w:cnfStyle w:val="100000000000" w:firstRow="1" w:lastRow="0" w:firstColumn="0" w:lastColumn="0" w:oddVBand="0" w:evenVBand="0" w:oddHBand="0" w:evenHBand="0" w:firstRowFirstColumn="0" w:firstRowLastColumn="0" w:lastRowFirstColumn="0" w:lastRowLastColumn="0"/>
            </w:pPr>
            <w:r w:rsidRPr="001213F7">
              <w:t>estimate</w:t>
            </w:r>
          </w:p>
        </w:tc>
      </w:tr>
      <w:tr w:rsidR="00732BC0" w:rsidRPr="001213F7" w14:paraId="1D778C95" w14:textId="77777777">
        <w:tc>
          <w:tcPr>
            <w:cnfStyle w:val="001000000000" w:firstRow="0" w:lastRow="0" w:firstColumn="1" w:lastColumn="0" w:oddVBand="0" w:evenVBand="0" w:oddHBand="0" w:evenHBand="0" w:firstRowFirstColumn="0" w:firstRowLastColumn="0" w:lastRowFirstColumn="0" w:lastRowLastColumn="0"/>
            <w:tcW w:w="2160" w:type="dxa"/>
          </w:tcPr>
          <w:p w14:paraId="174E8978" w14:textId="77777777" w:rsidR="00732BC0" w:rsidRPr="001213F7" w:rsidRDefault="00732BC0">
            <w:r w:rsidRPr="001213F7">
              <w:t>Net result from transactions</w:t>
            </w:r>
          </w:p>
        </w:tc>
        <w:tc>
          <w:tcPr>
            <w:tcW w:w="792" w:type="dxa"/>
          </w:tcPr>
          <w:p w14:paraId="3AFC7F16" w14:textId="77777777" w:rsidR="00732BC0" w:rsidRPr="001213F7" w:rsidRDefault="00732BC0">
            <w:pPr>
              <w:jc w:val="center"/>
              <w:cnfStyle w:val="000000000000" w:firstRow="0" w:lastRow="0" w:firstColumn="0" w:lastColumn="0" w:oddVBand="0" w:evenVBand="0" w:oddHBand="0" w:evenHBand="0" w:firstRowFirstColumn="0" w:firstRowLastColumn="0" w:lastRowFirstColumn="0" w:lastRowLastColumn="0"/>
            </w:pPr>
            <w:r w:rsidRPr="001213F7">
              <w:t>$ billion</w:t>
            </w:r>
          </w:p>
        </w:tc>
        <w:tc>
          <w:tcPr>
            <w:tcW w:w="793" w:type="dxa"/>
          </w:tcPr>
          <w:p w14:paraId="03A43534"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(2.6)</w:t>
            </w:r>
          </w:p>
        </w:tc>
        <w:tc>
          <w:tcPr>
            <w:tcW w:w="793" w:type="dxa"/>
          </w:tcPr>
          <w:p w14:paraId="4D99C6EF"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0.7</w:t>
            </w:r>
          </w:p>
        </w:tc>
        <w:tc>
          <w:tcPr>
            <w:tcW w:w="793" w:type="dxa"/>
          </w:tcPr>
          <w:p w14:paraId="1F719DC3"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1.0</w:t>
            </w:r>
          </w:p>
        </w:tc>
        <w:tc>
          <w:tcPr>
            <w:tcW w:w="793" w:type="dxa"/>
          </w:tcPr>
          <w:p w14:paraId="64BDFAA2"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1.9</w:t>
            </w:r>
          </w:p>
        </w:tc>
        <w:tc>
          <w:tcPr>
            <w:tcW w:w="793" w:type="dxa"/>
          </w:tcPr>
          <w:p w14:paraId="67450CEA"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1.9</w:t>
            </w:r>
          </w:p>
        </w:tc>
        <w:tc>
          <w:tcPr>
            <w:tcW w:w="793" w:type="dxa"/>
          </w:tcPr>
          <w:p w14:paraId="5F0D54B5"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2.0</w:t>
            </w:r>
          </w:p>
        </w:tc>
      </w:tr>
      <w:tr w:rsidR="00732BC0" w:rsidRPr="001213F7" w14:paraId="7DE97E58" w14:textId="77777777">
        <w:tc>
          <w:tcPr>
            <w:cnfStyle w:val="001000000000" w:firstRow="0" w:lastRow="0" w:firstColumn="1" w:lastColumn="0" w:oddVBand="0" w:evenVBand="0" w:oddHBand="0" w:evenHBand="0" w:firstRowFirstColumn="0" w:firstRowLastColumn="0" w:lastRowFirstColumn="0" w:lastRowLastColumn="0"/>
            <w:tcW w:w="2160" w:type="dxa"/>
          </w:tcPr>
          <w:p w14:paraId="0E58E807" w14:textId="77777777" w:rsidR="00732BC0" w:rsidRPr="001213F7" w:rsidRDefault="00732BC0">
            <w:r w:rsidRPr="001213F7">
              <w:t>Net cash flows from operating activities</w:t>
            </w:r>
          </w:p>
        </w:tc>
        <w:tc>
          <w:tcPr>
            <w:tcW w:w="792" w:type="dxa"/>
          </w:tcPr>
          <w:p w14:paraId="03CA1B5B" w14:textId="77777777" w:rsidR="00732BC0" w:rsidRPr="001213F7" w:rsidRDefault="00732BC0">
            <w:pPr>
              <w:jc w:val="center"/>
              <w:cnfStyle w:val="000000000000" w:firstRow="0" w:lastRow="0" w:firstColumn="0" w:lastColumn="0" w:oddVBand="0" w:evenVBand="0" w:oddHBand="0" w:evenHBand="0" w:firstRowFirstColumn="0" w:firstRowLastColumn="0" w:lastRowFirstColumn="0" w:lastRowLastColumn="0"/>
            </w:pPr>
            <w:r w:rsidRPr="001213F7">
              <w:t>$ billion</w:t>
            </w:r>
          </w:p>
        </w:tc>
        <w:tc>
          <w:tcPr>
            <w:tcW w:w="793" w:type="dxa"/>
          </w:tcPr>
          <w:p w14:paraId="7B88181E"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3.2</w:t>
            </w:r>
          </w:p>
        </w:tc>
        <w:tc>
          <w:tcPr>
            <w:tcW w:w="793" w:type="dxa"/>
          </w:tcPr>
          <w:p w14:paraId="2F124198"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6.9</w:t>
            </w:r>
          </w:p>
        </w:tc>
        <w:tc>
          <w:tcPr>
            <w:tcW w:w="793" w:type="dxa"/>
          </w:tcPr>
          <w:p w14:paraId="6A6B2016"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6.5</w:t>
            </w:r>
          </w:p>
        </w:tc>
        <w:tc>
          <w:tcPr>
            <w:tcW w:w="793" w:type="dxa"/>
          </w:tcPr>
          <w:p w14:paraId="2ABACADA"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6.3</w:t>
            </w:r>
          </w:p>
        </w:tc>
        <w:tc>
          <w:tcPr>
            <w:tcW w:w="793" w:type="dxa"/>
          </w:tcPr>
          <w:p w14:paraId="5B04E562"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6.5</w:t>
            </w:r>
          </w:p>
        </w:tc>
        <w:tc>
          <w:tcPr>
            <w:tcW w:w="793" w:type="dxa"/>
          </w:tcPr>
          <w:p w14:paraId="65E0D8C9"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6.5</w:t>
            </w:r>
          </w:p>
        </w:tc>
      </w:tr>
      <w:tr w:rsidR="00732BC0" w:rsidRPr="001213F7" w14:paraId="77DDB956" w14:textId="77777777">
        <w:tc>
          <w:tcPr>
            <w:cnfStyle w:val="001000000000" w:firstRow="0" w:lastRow="0" w:firstColumn="1" w:lastColumn="0" w:oddVBand="0" w:evenVBand="0" w:oddHBand="0" w:evenHBand="0" w:firstRowFirstColumn="0" w:firstRowLastColumn="0" w:lastRowFirstColumn="0" w:lastRowLastColumn="0"/>
            <w:tcW w:w="2160" w:type="dxa"/>
          </w:tcPr>
          <w:p w14:paraId="01A0E252" w14:textId="77777777" w:rsidR="00732BC0" w:rsidRPr="001213F7" w:rsidRDefault="00732BC0">
            <w:r w:rsidRPr="001213F7">
              <w:t xml:space="preserve">Government infrastructure investment </w:t>
            </w:r>
            <w:r w:rsidRPr="001213F7">
              <w:rPr>
                <w:vertAlign w:val="superscript"/>
              </w:rPr>
              <w:t>(a)(b)</w:t>
            </w:r>
          </w:p>
        </w:tc>
        <w:tc>
          <w:tcPr>
            <w:tcW w:w="792" w:type="dxa"/>
          </w:tcPr>
          <w:p w14:paraId="14170A15" w14:textId="77777777" w:rsidR="00732BC0" w:rsidRPr="001213F7" w:rsidRDefault="00732BC0">
            <w:pPr>
              <w:jc w:val="center"/>
              <w:cnfStyle w:val="000000000000" w:firstRow="0" w:lastRow="0" w:firstColumn="0" w:lastColumn="0" w:oddVBand="0" w:evenVBand="0" w:oddHBand="0" w:evenHBand="0" w:firstRowFirstColumn="0" w:firstRowLastColumn="0" w:lastRowFirstColumn="0" w:lastRowLastColumn="0"/>
            </w:pPr>
            <w:r w:rsidRPr="001213F7">
              <w:t>$ billion</w:t>
            </w:r>
          </w:p>
        </w:tc>
        <w:tc>
          <w:tcPr>
            <w:tcW w:w="793" w:type="dxa"/>
          </w:tcPr>
          <w:p w14:paraId="52EA7423"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23.5</w:t>
            </w:r>
          </w:p>
        </w:tc>
        <w:tc>
          <w:tcPr>
            <w:tcW w:w="793" w:type="dxa"/>
          </w:tcPr>
          <w:p w14:paraId="07764403"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21.4</w:t>
            </w:r>
          </w:p>
        </w:tc>
        <w:tc>
          <w:tcPr>
            <w:tcW w:w="793" w:type="dxa"/>
          </w:tcPr>
          <w:p w14:paraId="5F1BE86D"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19.4</w:t>
            </w:r>
          </w:p>
        </w:tc>
        <w:tc>
          <w:tcPr>
            <w:tcW w:w="793" w:type="dxa"/>
          </w:tcPr>
          <w:p w14:paraId="4CB0866C"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15.9</w:t>
            </w:r>
          </w:p>
        </w:tc>
        <w:tc>
          <w:tcPr>
            <w:tcW w:w="793" w:type="dxa"/>
          </w:tcPr>
          <w:p w14:paraId="2B21BB7F"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15.5</w:t>
            </w:r>
          </w:p>
        </w:tc>
        <w:tc>
          <w:tcPr>
            <w:tcW w:w="793" w:type="dxa"/>
          </w:tcPr>
          <w:p w14:paraId="4822BDF2"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15.3</w:t>
            </w:r>
          </w:p>
        </w:tc>
      </w:tr>
      <w:tr w:rsidR="00732BC0" w:rsidRPr="001213F7" w14:paraId="3676841C" w14:textId="77777777">
        <w:tc>
          <w:tcPr>
            <w:cnfStyle w:val="001000000000" w:firstRow="0" w:lastRow="0" w:firstColumn="1" w:lastColumn="0" w:oddVBand="0" w:evenVBand="0" w:oddHBand="0" w:evenHBand="0" w:firstRowFirstColumn="0" w:firstRowLastColumn="0" w:lastRowFirstColumn="0" w:lastRowLastColumn="0"/>
            <w:tcW w:w="2160" w:type="dxa"/>
          </w:tcPr>
          <w:p w14:paraId="101C22F0" w14:textId="77777777" w:rsidR="00732BC0" w:rsidRPr="001213F7" w:rsidRDefault="00732BC0">
            <w:r w:rsidRPr="001213F7">
              <w:t>Net debt</w:t>
            </w:r>
          </w:p>
        </w:tc>
        <w:tc>
          <w:tcPr>
            <w:tcW w:w="792" w:type="dxa"/>
          </w:tcPr>
          <w:p w14:paraId="22750D0F" w14:textId="77777777" w:rsidR="00732BC0" w:rsidRPr="001213F7" w:rsidRDefault="00732BC0">
            <w:pPr>
              <w:jc w:val="center"/>
              <w:cnfStyle w:val="000000000000" w:firstRow="0" w:lastRow="0" w:firstColumn="0" w:lastColumn="0" w:oddVBand="0" w:evenVBand="0" w:oddHBand="0" w:evenHBand="0" w:firstRowFirstColumn="0" w:firstRowLastColumn="0" w:lastRowFirstColumn="0" w:lastRowLastColumn="0"/>
            </w:pPr>
            <w:r w:rsidRPr="001213F7">
              <w:t>$ billion</w:t>
            </w:r>
          </w:p>
        </w:tc>
        <w:tc>
          <w:tcPr>
            <w:tcW w:w="793" w:type="dxa"/>
          </w:tcPr>
          <w:p w14:paraId="7F82B0F1"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150.9</w:t>
            </w:r>
          </w:p>
        </w:tc>
        <w:tc>
          <w:tcPr>
            <w:tcW w:w="793" w:type="dxa"/>
          </w:tcPr>
          <w:p w14:paraId="53CB0C1B"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165.3</w:t>
            </w:r>
          </w:p>
        </w:tc>
        <w:tc>
          <w:tcPr>
            <w:tcW w:w="793" w:type="dxa"/>
          </w:tcPr>
          <w:p w14:paraId="2F9C39B5"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175.6</w:t>
            </w:r>
          </w:p>
        </w:tc>
        <w:tc>
          <w:tcPr>
            <w:tcW w:w="793" w:type="dxa"/>
          </w:tcPr>
          <w:p w14:paraId="175E9CB0"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183.2</w:t>
            </w:r>
          </w:p>
        </w:tc>
        <w:tc>
          <w:tcPr>
            <w:tcW w:w="793" w:type="dxa"/>
          </w:tcPr>
          <w:p w14:paraId="23ADCDCD"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191.1</w:t>
            </w:r>
          </w:p>
        </w:tc>
        <w:tc>
          <w:tcPr>
            <w:tcW w:w="793" w:type="dxa"/>
          </w:tcPr>
          <w:p w14:paraId="5DBCFE59"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199.3</w:t>
            </w:r>
          </w:p>
        </w:tc>
      </w:tr>
      <w:tr w:rsidR="00732BC0" w:rsidRPr="001213F7" w14:paraId="25CB78BE" w14:textId="77777777">
        <w:tc>
          <w:tcPr>
            <w:cnfStyle w:val="001000000000" w:firstRow="0" w:lastRow="0" w:firstColumn="1" w:lastColumn="0" w:oddVBand="0" w:evenVBand="0" w:oddHBand="0" w:evenHBand="0" w:firstRowFirstColumn="0" w:firstRowLastColumn="0" w:lastRowFirstColumn="0" w:lastRowLastColumn="0"/>
            <w:tcW w:w="2160" w:type="dxa"/>
            <w:tcBorders>
              <w:bottom w:val="single" w:sz="12" w:space="0" w:color="auto"/>
            </w:tcBorders>
          </w:tcPr>
          <w:p w14:paraId="7BB6EF99" w14:textId="77777777" w:rsidR="00732BC0" w:rsidRPr="001213F7" w:rsidRDefault="00732BC0">
            <w:r w:rsidRPr="001213F7">
              <w:t xml:space="preserve">Net debt to GSP </w:t>
            </w:r>
            <w:r w:rsidRPr="001213F7">
              <w:rPr>
                <w:vertAlign w:val="superscript"/>
              </w:rPr>
              <w:t>(c)</w:t>
            </w:r>
          </w:p>
        </w:tc>
        <w:tc>
          <w:tcPr>
            <w:tcW w:w="792" w:type="dxa"/>
            <w:tcBorders>
              <w:bottom w:val="single" w:sz="12" w:space="0" w:color="auto"/>
            </w:tcBorders>
          </w:tcPr>
          <w:p w14:paraId="3412C116" w14:textId="77777777" w:rsidR="00732BC0" w:rsidRPr="001213F7" w:rsidRDefault="00732BC0">
            <w:pPr>
              <w:jc w:val="center"/>
              <w:cnfStyle w:val="000000000000" w:firstRow="0" w:lastRow="0" w:firstColumn="0" w:lastColumn="0" w:oddVBand="0" w:evenVBand="0" w:oddHBand="0" w:evenHBand="0" w:firstRowFirstColumn="0" w:firstRowLastColumn="0" w:lastRowFirstColumn="0" w:lastRowLastColumn="0"/>
            </w:pPr>
            <w:r w:rsidRPr="001213F7">
              <w:t>per cent</w:t>
            </w:r>
          </w:p>
        </w:tc>
        <w:tc>
          <w:tcPr>
            <w:tcW w:w="793" w:type="dxa"/>
            <w:tcBorders>
              <w:bottom w:val="single" w:sz="12" w:space="0" w:color="auto"/>
            </w:tcBorders>
          </w:tcPr>
          <w:p w14:paraId="4E863040"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23.7</w:t>
            </w:r>
          </w:p>
        </w:tc>
        <w:tc>
          <w:tcPr>
            <w:tcW w:w="793" w:type="dxa"/>
            <w:tcBorders>
              <w:bottom w:val="single" w:sz="12" w:space="0" w:color="auto"/>
            </w:tcBorders>
          </w:tcPr>
          <w:p w14:paraId="0CF5D721"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24.7</w:t>
            </w:r>
          </w:p>
        </w:tc>
        <w:tc>
          <w:tcPr>
            <w:tcW w:w="793" w:type="dxa"/>
            <w:tcBorders>
              <w:bottom w:val="single" w:sz="12" w:space="0" w:color="auto"/>
            </w:tcBorders>
          </w:tcPr>
          <w:p w14:paraId="4E4AB23A"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24.9</w:t>
            </w:r>
          </w:p>
        </w:tc>
        <w:tc>
          <w:tcPr>
            <w:tcW w:w="793" w:type="dxa"/>
            <w:tcBorders>
              <w:bottom w:val="single" w:sz="12" w:space="0" w:color="auto"/>
            </w:tcBorders>
          </w:tcPr>
          <w:p w14:paraId="22A43F7A"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24.8</w:t>
            </w:r>
          </w:p>
        </w:tc>
        <w:tc>
          <w:tcPr>
            <w:tcW w:w="793" w:type="dxa"/>
            <w:tcBorders>
              <w:bottom w:val="single" w:sz="12" w:space="0" w:color="auto"/>
            </w:tcBorders>
          </w:tcPr>
          <w:p w14:paraId="1223EE16"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24.6</w:t>
            </w:r>
          </w:p>
        </w:tc>
        <w:tc>
          <w:tcPr>
            <w:tcW w:w="793" w:type="dxa"/>
            <w:tcBorders>
              <w:bottom w:val="single" w:sz="12" w:space="0" w:color="auto"/>
            </w:tcBorders>
          </w:tcPr>
          <w:p w14:paraId="07716F67"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24.4</w:t>
            </w:r>
          </w:p>
        </w:tc>
      </w:tr>
    </w:tbl>
    <w:p w14:paraId="09E3DEF4" w14:textId="77777777" w:rsidR="00732BC0" w:rsidRPr="001213F7" w:rsidRDefault="00732BC0" w:rsidP="004A7978">
      <w:pPr>
        <w:pStyle w:val="Note"/>
      </w:pPr>
      <w:r w:rsidRPr="001213F7">
        <w:t>Notes:</w:t>
      </w:r>
    </w:p>
    <w:p w14:paraId="05ECE686" w14:textId="77777777" w:rsidR="00732BC0" w:rsidRPr="001213F7" w:rsidRDefault="00732BC0" w:rsidP="004A7978">
      <w:pPr>
        <w:pStyle w:val="Note"/>
      </w:pPr>
      <w:r w:rsidRPr="001213F7">
        <w:t>(a)</w:t>
      </w:r>
      <w:r w:rsidRPr="001213F7">
        <w:tab/>
        <w:t>Includes general government net infrastructure investment and the estimated cash flows for public private partnership projects.</w:t>
      </w:r>
    </w:p>
    <w:p w14:paraId="6C5458C7" w14:textId="77777777" w:rsidR="00732BC0" w:rsidRPr="001213F7" w:rsidRDefault="00732BC0" w:rsidP="004A7978">
      <w:pPr>
        <w:pStyle w:val="Note"/>
      </w:pPr>
      <w:r w:rsidRPr="001213F7">
        <w:t>(b)</w:t>
      </w:r>
      <w:r w:rsidRPr="001213F7">
        <w:tab/>
        <w:t>Includes the estimated private sector construction-related expenditure associated with the North East Link held in the public non</w:t>
      </w:r>
      <w:r w:rsidRPr="001213F7">
        <w:noBreakHyphen/>
        <w:t>financial corporations (PNFC) sector.</w:t>
      </w:r>
    </w:p>
    <w:p w14:paraId="7ADEA9AC" w14:textId="77777777" w:rsidR="00732BC0" w:rsidRPr="001213F7" w:rsidRDefault="00732BC0" w:rsidP="004A7978">
      <w:pPr>
        <w:pStyle w:val="Note"/>
      </w:pPr>
      <w:r w:rsidRPr="001213F7">
        <w:t>(c)</w:t>
      </w:r>
      <w:r w:rsidRPr="001213F7">
        <w:tab/>
        <w:t>The ratios to gross state product (GSP) may vary between publications due to revisions by the Australian Bureau of Statistics to GSP data.</w:t>
      </w:r>
    </w:p>
    <w:p w14:paraId="4B203487" w14:textId="77777777" w:rsidR="00732BC0" w:rsidRPr="001213F7" w:rsidRDefault="00732BC0">
      <w:pPr>
        <w:keepLines w:val="0"/>
      </w:pPr>
      <w:r w:rsidRPr="001213F7">
        <w:t>Total revenue for the general government sector is expected to be $115.6 billion in 2026</w:t>
      </w:r>
      <w:r w:rsidRPr="001213F7">
        <w:noBreakHyphen/>
        <w:t xml:space="preserve">27, an increase of $4.2 billion from the </w:t>
      </w:r>
      <w:r w:rsidRPr="001213F7">
        <w:rPr>
          <w:i/>
          <w:iCs/>
        </w:rPr>
        <w:t>2025-26 Budget Update</w:t>
      </w:r>
      <w:r w:rsidRPr="001213F7">
        <w:t>. Revenue growth is then expected to average 2.7 per cent a year over the forward estimates, reaching $125.4 billion in 2029</w:t>
      </w:r>
      <w:r w:rsidRPr="001213F7">
        <w:noBreakHyphen/>
        <w:t>30.</w:t>
      </w:r>
    </w:p>
    <w:p w14:paraId="2D8C016D" w14:textId="77777777" w:rsidR="00732BC0" w:rsidRPr="001213F7" w:rsidRDefault="00732BC0">
      <w:pPr>
        <w:keepLines w:val="0"/>
        <w:ind w:right="-119"/>
        <w:rPr>
          <w:color w:val="000000" w:themeColor="text1"/>
        </w:rPr>
      </w:pPr>
      <w:r w:rsidRPr="001213F7">
        <w:rPr>
          <w:color w:val="000000" w:themeColor="text1"/>
        </w:rPr>
        <w:t xml:space="preserve">Total general government sector expenditure is expected to be $114.5 billion in </w:t>
      </w:r>
      <w:r w:rsidRPr="001213F7">
        <w:t>2026</w:t>
      </w:r>
      <w:r w:rsidRPr="001213F7">
        <w:rPr>
          <w:rFonts w:ascii="Times New Roman" w:hAnsi="Times New Roman"/>
        </w:rPr>
        <w:noBreakHyphen/>
      </w:r>
      <w:r w:rsidRPr="001213F7">
        <w:t>27</w:t>
      </w:r>
      <w:r w:rsidRPr="001213F7">
        <w:rPr>
          <w:color w:val="000000" w:themeColor="text1"/>
        </w:rPr>
        <w:t xml:space="preserve"> and is expected to grow by an average of 2.5 per cent a year over the forward estimates, reaching $123.4 billion in </w:t>
      </w:r>
      <w:r w:rsidRPr="001213F7">
        <w:t>2029</w:t>
      </w:r>
      <w:r w:rsidRPr="001213F7">
        <w:noBreakHyphen/>
        <w:t>30</w:t>
      </w:r>
      <w:r w:rsidRPr="001213F7">
        <w:rPr>
          <w:color w:val="000000" w:themeColor="text1"/>
        </w:rPr>
        <w:t xml:space="preserve">. This estimated average annual growth in expenditure is slower than average annual economic growth of 5.1 per cent a year over the forward estimates, as measured by nominal GSP. Total expected expenditure includes the impact of all relevant government decisions, including those relating to service delivery and savings. </w:t>
      </w:r>
    </w:p>
    <w:p w14:paraId="6F1F7907" w14:textId="4B236DF4" w:rsidR="00732BC0" w:rsidRPr="001213F7" w:rsidRDefault="00732BC0" w:rsidP="00046C8B">
      <w:pPr>
        <w:ind w:right="-127"/>
      </w:pPr>
      <w:r w:rsidRPr="001213F7">
        <w:t>Government infrastructure investment (GII) peaked at $24.2 billion in 2023-24 and remains projected to progressively moderate across the forward estimates from $21.4 billion</w:t>
      </w:r>
      <w:r w:rsidR="00046C8B" w:rsidRPr="001213F7">
        <w:t xml:space="preserve"> </w:t>
      </w:r>
      <w:r w:rsidRPr="001213F7">
        <w:t>in 2025-26 to $15.3 billion by 2029-30, consistent with a return to pre</w:t>
      </w:r>
      <w:r w:rsidRPr="001213F7">
        <w:noBreakHyphen/>
        <w:t xml:space="preserve">COVID levels of investment. GII averages $16.5 billion a year over the budget and forward estimates period. </w:t>
      </w:r>
    </w:p>
    <w:p w14:paraId="2572F7DB" w14:textId="77777777" w:rsidR="00732BC0" w:rsidRPr="001213F7" w:rsidRDefault="00732BC0" w:rsidP="000C6EDD">
      <w:r w:rsidRPr="001213F7">
        <w:t xml:space="preserve">Net debt is expected to be $175.6 billion at June 2027 and increase to $191.1 billion by June 2029. Compared with the </w:t>
      </w:r>
      <w:r w:rsidRPr="001213F7">
        <w:rPr>
          <w:i/>
        </w:rPr>
        <w:t>2025-26 Budget Update</w:t>
      </w:r>
      <w:r w:rsidRPr="001213F7">
        <w:t xml:space="preserve">, this is an improvement in </w:t>
      </w:r>
      <w:r w:rsidRPr="001213F7" w:rsidDel="001A4FF3">
        <w:t xml:space="preserve">all </w:t>
      </w:r>
      <w:r w:rsidRPr="001213F7" w:rsidDel="00EE68B6">
        <w:t>years across the budget and forward estimates</w:t>
      </w:r>
      <w:r w:rsidRPr="001213F7">
        <w:t>, including an improvement of $1.5 billion by June 2029. Net debt is then forecast to increase to $199.3 billion by June 2030.</w:t>
      </w:r>
    </w:p>
    <w:p w14:paraId="469B5F34" w14:textId="77777777" w:rsidR="00732BC0" w:rsidRPr="001213F7" w:rsidRDefault="00732BC0" w:rsidP="000C6EDD">
      <w:r w:rsidRPr="001213F7">
        <w:t xml:space="preserve">As a proportion of GSP, net debt is projected to reach 24.9 per cent at June 2027 before declining to 24.8 per cent by June 2028, 24.6 per cent by June 2029 and then declining further to 24.4 per cent by June 2030. Compared with the </w:t>
      </w:r>
      <w:r w:rsidRPr="001213F7">
        <w:rPr>
          <w:i/>
        </w:rPr>
        <w:t>2025-26 Budget Update</w:t>
      </w:r>
      <w:r w:rsidRPr="001213F7">
        <w:t>, net debt to GSP is lower across all published years.</w:t>
      </w:r>
    </w:p>
    <w:p w14:paraId="51A03524" w14:textId="77777777" w:rsidR="00732BC0" w:rsidRPr="001213F7" w:rsidRDefault="00732BC0" w:rsidP="00DC72BF">
      <w:r w:rsidRPr="001213F7">
        <w:t xml:space="preserve">Interest expense as a share of total revenue is expected to average 8.6 per cent a year over the budget and forward estimates. </w:t>
      </w:r>
    </w:p>
    <w:p w14:paraId="0A238B76" w14:textId="77777777" w:rsidR="00732BC0" w:rsidRPr="001213F7" w:rsidRDefault="00732BC0" w:rsidP="004A7978">
      <w:pPr>
        <w:pStyle w:val="Heading1"/>
        <w:pageBreakBefore/>
      </w:pPr>
      <w:bookmarkStart w:id="48" w:name="_Toc165467345"/>
      <w:bookmarkStart w:id="49" w:name="_Toc197955071"/>
      <w:bookmarkStart w:id="50" w:name="_Toc228545303"/>
      <w:r w:rsidRPr="001213F7">
        <w:lastRenderedPageBreak/>
        <w:t>Budget and forward estimates outlook</w:t>
      </w:r>
      <w:bookmarkEnd w:id="48"/>
      <w:bookmarkEnd w:id="49"/>
      <w:bookmarkEnd w:id="50"/>
    </w:p>
    <w:p w14:paraId="10A9D821" w14:textId="738B99B1" w:rsidR="00732BC0" w:rsidRPr="001213F7" w:rsidRDefault="00732BC0" w:rsidP="004A7978">
      <w:r w:rsidRPr="001213F7">
        <w:t xml:space="preserve">Table 4.2 summarises the operating statement for the general government sector. A comprehensive operating statement is presented in Budget Paper No. 5, Chapter 1 </w:t>
      </w:r>
      <w:r w:rsidRPr="001213F7">
        <w:rPr>
          <w:i/>
          <w:iCs/>
        </w:rPr>
        <w:t xml:space="preserve">Estimated </w:t>
      </w:r>
      <w:r w:rsidR="00C91626" w:rsidRPr="001213F7">
        <w:rPr>
          <w:i/>
          <w:iCs/>
        </w:rPr>
        <w:t xml:space="preserve">financial statements </w:t>
      </w:r>
      <w:r w:rsidRPr="001213F7">
        <w:rPr>
          <w:i/>
          <w:iCs/>
        </w:rPr>
        <w:t>for the general government sector</w:t>
      </w:r>
      <w:r w:rsidRPr="001213F7">
        <w:t>.</w:t>
      </w:r>
    </w:p>
    <w:p w14:paraId="5ED52E8C" w14:textId="77777777" w:rsidR="00732BC0" w:rsidRPr="001213F7" w:rsidRDefault="00732BC0" w:rsidP="00D13BFA">
      <w:pPr>
        <w:pStyle w:val="TableHeading"/>
      </w:pPr>
      <w:r w:rsidRPr="001213F7">
        <w:t>Table 4.2:</w:t>
      </w:r>
      <w:r w:rsidRPr="001213F7">
        <w:tab/>
        <w:t xml:space="preserve">Summary operating statement for the general government sector </w:t>
      </w:r>
      <w:r w:rsidRPr="001213F7">
        <w:rPr>
          <w:vertAlign w:val="superscript"/>
        </w:rPr>
        <w:t>(a)</w:t>
      </w:r>
      <w:r w:rsidRPr="001213F7">
        <w:t xml:space="preserve"> </w:t>
      </w:r>
      <w:r w:rsidRPr="001213F7">
        <w:tab/>
        <w:t>($ million)</w:t>
      </w:r>
    </w:p>
    <w:tbl>
      <w:tblPr>
        <w:tblStyle w:val="DTFTableNumeric"/>
        <w:tblW w:w="7710" w:type="dxa"/>
        <w:tblLayout w:type="fixed"/>
        <w:tblLook w:val="06A0" w:firstRow="1" w:lastRow="0" w:firstColumn="1" w:lastColumn="0" w:noHBand="1" w:noVBand="1"/>
        <w:tblDescription w:val="Type:DtfTable|Workbook:https://vicgov.sharepoint.com/sites/VG002735/BP2/Spreadsheets/Link_BP2_Chapter4.xlsx|Table:GG_SummaryOS"/>
      </w:tblPr>
      <w:tblGrid>
        <w:gridCol w:w="2946"/>
        <w:gridCol w:w="794"/>
        <w:gridCol w:w="794"/>
        <w:gridCol w:w="794"/>
        <w:gridCol w:w="794"/>
        <w:gridCol w:w="794"/>
        <w:gridCol w:w="794"/>
      </w:tblGrid>
      <w:tr w:rsidR="00732BC0" w:rsidRPr="001213F7" w14:paraId="4056AE5F"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946" w:type="dxa"/>
          </w:tcPr>
          <w:p w14:paraId="3367926B" w14:textId="77777777" w:rsidR="00732BC0" w:rsidRPr="001213F7" w:rsidRDefault="00732BC0">
            <w:pPr>
              <w:keepNext/>
            </w:pPr>
          </w:p>
        </w:tc>
        <w:tc>
          <w:tcPr>
            <w:tcW w:w="794" w:type="dxa"/>
          </w:tcPr>
          <w:p w14:paraId="2768D961" w14:textId="77777777" w:rsidR="00732BC0" w:rsidRPr="001213F7" w:rsidRDefault="00732BC0">
            <w:pPr>
              <w:keepNext/>
              <w:cnfStyle w:val="100000000000" w:firstRow="1" w:lastRow="0" w:firstColumn="0" w:lastColumn="0" w:oddVBand="0" w:evenVBand="0" w:oddHBand="0" w:evenHBand="0" w:firstRowFirstColumn="0" w:firstRowLastColumn="0" w:lastRowFirstColumn="0" w:lastRowLastColumn="0"/>
            </w:pPr>
            <w:r w:rsidRPr="001213F7">
              <w:t>2024</w:t>
            </w:r>
            <w:r w:rsidRPr="001213F7">
              <w:noBreakHyphen/>
              <w:t>25</w:t>
            </w:r>
          </w:p>
        </w:tc>
        <w:tc>
          <w:tcPr>
            <w:tcW w:w="794" w:type="dxa"/>
          </w:tcPr>
          <w:p w14:paraId="7C683527" w14:textId="77777777" w:rsidR="00732BC0" w:rsidRPr="001213F7" w:rsidRDefault="00732BC0">
            <w:pPr>
              <w:keepNext/>
              <w:cnfStyle w:val="100000000000" w:firstRow="1" w:lastRow="0" w:firstColumn="0" w:lastColumn="0" w:oddVBand="0" w:evenVBand="0" w:oddHBand="0" w:evenHBand="0" w:firstRowFirstColumn="0" w:firstRowLastColumn="0" w:lastRowFirstColumn="0" w:lastRowLastColumn="0"/>
            </w:pPr>
            <w:r w:rsidRPr="001213F7">
              <w:t>2025</w:t>
            </w:r>
            <w:r w:rsidRPr="001213F7">
              <w:noBreakHyphen/>
              <w:t>26</w:t>
            </w:r>
          </w:p>
        </w:tc>
        <w:tc>
          <w:tcPr>
            <w:tcW w:w="794" w:type="dxa"/>
          </w:tcPr>
          <w:p w14:paraId="44CC0DFB" w14:textId="77777777" w:rsidR="00732BC0" w:rsidRPr="001213F7" w:rsidRDefault="00732BC0">
            <w:pPr>
              <w:keepNext/>
              <w:cnfStyle w:val="100000000000" w:firstRow="1" w:lastRow="0" w:firstColumn="0" w:lastColumn="0" w:oddVBand="0" w:evenVBand="0" w:oddHBand="0" w:evenHBand="0" w:firstRowFirstColumn="0" w:firstRowLastColumn="0" w:lastRowFirstColumn="0" w:lastRowLastColumn="0"/>
            </w:pPr>
            <w:r w:rsidRPr="001213F7">
              <w:t>2026</w:t>
            </w:r>
            <w:r w:rsidRPr="001213F7">
              <w:noBreakHyphen/>
              <w:t>27</w:t>
            </w:r>
          </w:p>
        </w:tc>
        <w:tc>
          <w:tcPr>
            <w:tcW w:w="794" w:type="dxa"/>
          </w:tcPr>
          <w:p w14:paraId="634136EA" w14:textId="77777777" w:rsidR="00732BC0" w:rsidRPr="001213F7" w:rsidRDefault="00732BC0">
            <w:pPr>
              <w:keepNext/>
              <w:cnfStyle w:val="100000000000" w:firstRow="1" w:lastRow="0" w:firstColumn="0" w:lastColumn="0" w:oddVBand="0" w:evenVBand="0" w:oddHBand="0" w:evenHBand="0" w:firstRowFirstColumn="0" w:firstRowLastColumn="0" w:lastRowFirstColumn="0" w:lastRowLastColumn="0"/>
            </w:pPr>
            <w:r w:rsidRPr="001213F7">
              <w:t>2027</w:t>
            </w:r>
            <w:r w:rsidRPr="001213F7">
              <w:noBreakHyphen/>
              <w:t>28</w:t>
            </w:r>
          </w:p>
        </w:tc>
        <w:tc>
          <w:tcPr>
            <w:tcW w:w="794" w:type="dxa"/>
          </w:tcPr>
          <w:p w14:paraId="57E49BF4" w14:textId="77777777" w:rsidR="00732BC0" w:rsidRPr="001213F7" w:rsidRDefault="00732BC0">
            <w:pPr>
              <w:keepNext/>
              <w:cnfStyle w:val="100000000000" w:firstRow="1" w:lastRow="0" w:firstColumn="0" w:lastColumn="0" w:oddVBand="0" w:evenVBand="0" w:oddHBand="0" w:evenHBand="0" w:firstRowFirstColumn="0" w:firstRowLastColumn="0" w:lastRowFirstColumn="0" w:lastRowLastColumn="0"/>
            </w:pPr>
            <w:r w:rsidRPr="001213F7">
              <w:t>2028</w:t>
            </w:r>
            <w:r w:rsidRPr="001213F7">
              <w:noBreakHyphen/>
              <w:t>29</w:t>
            </w:r>
          </w:p>
        </w:tc>
        <w:tc>
          <w:tcPr>
            <w:tcW w:w="794" w:type="dxa"/>
          </w:tcPr>
          <w:p w14:paraId="783FBD86" w14:textId="77777777" w:rsidR="00732BC0" w:rsidRPr="001213F7" w:rsidRDefault="00732BC0">
            <w:pPr>
              <w:keepNext/>
              <w:cnfStyle w:val="100000000000" w:firstRow="1" w:lastRow="0" w:firstColumn="0" w:lastColumn="0" w:oddVBand="0" w:evenVBand="0" w:oddHBand="0" w:evenHBand="0" w:firstRowFirstColumn="0" w:firstRowLastColumn="0" w:lastRowFirstColumn="0" w:lastRowLastColumn="0"/>
            </w:pPr>
            <w:r w:rsidRPr="001213F7">
              <w:t>2029</w:t>
            </w:r>
            <w:r w:rsidRPr="001213F7">
              <w:noBreakHyphen/>
              <w:t>30</w:t>
            </w:r>
          </w:p>
        </w:tc>
      </w:tr>
      <w:tr w:rsidR="00732BC0" w:rsidRPr="001213F7" w14:paraId="43430F68"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946" w:type="dxa"/>
          </w:tcPr>
          <w:p w14:paraId="586C538B" w14:textId="77777777" w:rsidR="00732BC0" w:rsidRPr="001213F7" w:rsidRDefault="00732BC0">
            <w:pPr>
              <w:keepNext/>
            </w:pPr>
          </w:p>
        </w:tc>
        <w:tc>
          <w:tcPr>
            <w:tcW w:w="794" w:type="dxa"/>
          </w:tcPr>
          <w:p w14:paraId="4ECDDDF4" w14:textId="77777777" w:rsidR="00732BC0" w:rsidRPr="001213F7" w:rsidRDefault="00732BC0">
            <w:pPr>
              <w:keepNext/>
              <w:cnfStyle w:val="100000000000" w:firstRow="1" w:lastRow="0" w:firstColumn="0" w:lastColumn="0" w:oddVBand="0" w:evenVBand="0" w:oddHBand="0" w:evenHBand="0" w:firstRowFirstColumn="0" w:firstRowLastColumn="0" w:lastRowFirstColumn="0" w:lastRowLastColumn="0"/>
            </w:pPr>
            <w:r w:rsidRPr="001213F7">
              <w:t>actual</w:t>
            </w:r>
          </w:p>
        </w:tc>
        <w:tc>
          <w:tcPr>
            <w:tcW w:w="794" w:type="dxa"/>
          </w:tcPr>
          <w:p w14:paraId="4AC8A70B" w14:textId="77777777" w:rsidR="00732BC0" w:rsidRPr="001213F7" w:rsidRDefault="00732BC0">
            <w:pPr>
              <w:keepNext/>
              <w:cnfStyle w:val="100000000000" w:firstRow="1" w:lastRow="0" w:firstColumn="0" w:lastColumn="0" w:oddVBand="0" w:evenVBand="0" w:oddHBand="0" w:evenHBand="0" w:firstRowFirstColumn="0" w:firstRowLastColumn="0" w:lastRowFirstColumn="0" w:lastRowLastColumn="0"/>
            </w:pPr>
            <w:r w:rsidRPr="001213F7">
              <w:t>revised</w:t>
            </w:r>
          </w:p>
        </w:tc>
        <w:tc>
          <w:tcPr>
            <w:tcW w:w="794" w:type="dxa"/>
          </w:tcPr>
          <w:p w14:paraId="0EBD1CD4" w14:textId="77777777" w:rsidR="00732BC0" w:rsidRPr="001213F7" w:rsidRDefault="00732BC0">
            <w:pPr>
              <w:keepNext/>
              <w:cnfStyle w:val="100000000000" w:firstRow="1" w:lastRow="0" w:firstColumn="0" w:lastColumn="0" w:oddVBand="0" w:evenVBand="0" w:oddHBand="0" w:evenHBand="0" w:firstRowFirstColumn="0" w:firstRowLastColumn="0" w:lastRowFirstColumn="0" w:lastRowLastColumn="0"/>
            </w:pPr>
            <w:r w:rsidRPr="001213F7">
              <w:t>budget</w:t>
            </w:r>
          </w:p>
        </w:tc>
        <w:tc>
          <w:tcPr>
            <w:tcW w:w="794" w:type="dxa"/>
          </w:tcPr>
          <w:p w14:paraId="08079D9A" w14:textId="77777777" w:rsidR="00732BC0" w:rsidRPr="001213F7" w:rsidRDefault="00732BC0">
            <w:pPr>
              <w:keepNext/>
              <w:cnfStyle w:val="100000000000" w:firstRow="1" w:lastRow="0" w:firstColumn="0" w:lastColumn="0" w:oddVBand="0" w:evenVBand="0" w:oddHBand="0" w:evenHBand="0" w:firstRowFirstColumn="0" w:firstRowLastColumn="0" w:lastRowFirstColumn="0" w:lastRowLastColumn="0"/>
            </w:pPr>
            <w:r w:rsidRPr="001213F7">
              <w:t>estimate</w:t>
            </w:r>
          </w:p>
        </w:tc>
        <w:tc>
          <w:tcPr>
            <w:tcW w:w="794" w:type="dxa"/>
          </w:tcPr>
          <w:p w14:paraId="2735D358" w14:textId="77777777" w:rsidR="00732BC0" w:rsidRPr="001213F7" w:rsidRDefault="00732BC0">
            <w:pPr>
              <w:keepNext/>
              <w:cnfStyle w:val="100000000000" w:firstRow="1" w:lastRow="0" w:firstColumn="0" w:lastColumn="0" w:oddVBand="0" w:evenVBand="0" w:oddHBand="0" w:evenHBand="0" w:firstRowFirstColumn="0" w:firstRowLastColumn="0" w:lastRowFirstColumn="0" w:lastRowLastColumn="0"/>
            </w:pPr>
            <w:r w:rsidRPr="001213F7">
              <w:t>estimate</w:t>
            </w:r>
          </w:p>
        </w:tc>
        <w:tc>
          <w:tcPr>
            <w:tcW w:w="794" w:type="dxa"/>
          </w:tcPr>
          <w:p w14:paraId="56F9ABDD" w14:textId="77777777" w:rsidR="00732BC0" w:rsidRPr="001213F7" w:rsidRDefault="00732BC0">
            <w:pPr>
              <w:keepNext/>
              <w:cnfStyle w:val="100000000000" w:firstRow="1" w:lastRow="0" w:firstColumn="0" w:lastColumn="0" w:oddVBand="0" w:evenVBand="0" w:oddHBand="0" w:evenHBand="0" w:firstRowFirstColumn="0" w:firstRowLastColumn="0" w:lastRowFirstColumn="0" w:lastRowLastColumn="0"/>
            </w:pPr>
            <w:r w:rsidRPr="001213F7">
              <w:t>estimate</w:t>
            </w:r>
          </w:p>
        </w:tc>
      </w:tr>
      <w:tr w:rsidR="00732BC0" w:rsidRPr="001213F7" w14:paraId="044B6031" w14:textId="77777777">
        <w:tc>
          <w:tcPr>
            <w:cnfStyle w:val="001000000000" w:firstRow="0" w:lastRow="0" w:firstColumn="1" w:lastColumn="0" w:oddVBand="0" w:evenVBand="0" w:oddHBand="0" w:evenHBand="0" w:firstRowFirstColumn="0" w:firstRowLastColumn="0" w:lastRowFirstColumn="0" w:lastRowLastColumn="0"/>
            <w:tcW w:w="2946" w:type="dxa"/>
          </w:tcPr>
          <w:p w14:paraId="7EB2E59D" w14:textId="77777777" w:rsidR="00732BC0" w:rsidRPr="001213F7" w:rsidRDefault="00732BC0">
            <w:r w:rsidRPr="001213F7">
              <w:rPr>
                <w:b/>
              </w:rPr>
              <w:t>Revenue and income from transactions</w:t>
            </w:r>
          </w:p>
        </w:tc>
        <w:tc>
          <w:tcPr>
            <w:tcW w:w="794" w:type="dxa"/>
          </w:tcPr>
          <w:p w14:paraId="301FBA43"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p>
        </w:tc>
        <w:tc>
          <w:tcPr>
            <w:tcW w:w="794" w:type="dxa"/>
          </w:tcPr>
          <w:p w14:paraId="4C396A7D"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p>
        </w:tc>
        <w:tc>
          <w:tcPr>
            <w:tcW w:w="794" w:type="dxa"/>
          </w:tcPr>
          <w:p w14:paraId="51B7288F"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p>
        </w:tc>
        <w:tc>
          <w:tcPr>
            <w:tcW w:w="794" w:type="dxa"/>
          </w:tcPr>
          <w:p w14:paraId="7A9BC60B"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p>
        </w:tc>
        <w:tc>
          <w:tcPr>
            <w:tcW w:w="794" w:type="dxa"/>
          </w:tcPr>
          <w:p w14:paraId="45099ADE"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p>
        </w:tc>
        <w:tc>
          <w:tcPr>
            <w:tcW w:w="794" w:type="dxa"/>
          </w:tcPr>
          <w:p w14:paraId="1C870EB1"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p>
        </w:tc>
      </w:tr>
      <w:tr w:rsidR="00732BC0" w:rsidRPr="001213F7" w14:paraId="595F6E4D" w14:textId="77777777">
        <w:tc>
          <w:tcPr>
            <w:cnfStyle w:val="001000000000" w:firstRow="0" w:lastRow="0" w:firstColumn="1" w:lastColumn="0" w:oddVBand="0" w:evenVBand="0" w:oddHBand="0" w:evenHBand="0" w:firstRowFirstColumn="0" w:firstRowLastColumn="0" w:lastRowFirstColumn="0" w:lastRowLastColumn="0"/>
            <w:tcW w:w="2946" w:type="dxa"/>
          </w:tcPr>
          <w:p w14:paraId="5AB5DAA4" w14:textId="77777777" w:rsidR="00732BC0" w:rsidRPr="001213F7" w:rsidRDefault="00732BC0">
            <w:r w:rsidRPr="001213F7">
              <w:t>Taxation</w:t>
            </w:r>
          </w:p>
        </w:tc>
        <w:tc>
          <w:tcPr>
            <w:tcW w:w="794" w:type="dxa"/>
          </w:tcPr>
          <w:p w14:paraId="0D91B12E"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38 942</w:t>
            </w:r>
          </w:p>
        </w:tc>
        <w:tc>
          <w:tcPr>
            <w:tcW w:w="794" w:type="dxa"/>
          </w:tcPr>
          <w:p w14:paraId="2946DEE5"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41 518</w:t>
            </w:r>
          </w:p>
        </w:tc>
        <w:tc>
          <w:tcPr>
            <w:tcW w:w="794" w:type="dxa"/>
          </w:tcPr>
          <w:p w14:paraId="1EE1BEFA"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43 179</w:t>
            </w:r>
          </w:p>
        </w:tc>
        <w:tc>
          <w:tcPr>
            <w:tcW w:w="794" w:type="dxa"/>
          </w:tcPr>
          <w:p w14:paraId="556830BF"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46 345</w:t>
            </w:r>
          </w:p>
        </w:tc>
        <w:tc>
          <w:tcPr>
            <w:tcW w:w="794" w:type="dxa"/>
          </w:tcPr>
          <w:p w14:paraId="1922E482"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47 960</w:t>
            </w:r>
          </w:p>
        </w:tc>
        <w:tc>
          <w:tcPr>
            <w:tcW w:w="794" w:type="dxa"/>
          </w:tcPr>
          <w:p w14:paraId="6AA50FE3"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50 175</w:t>
            </w:r>
          </w:p>
        </w:tc>
      </w:tr>
      <w:tr w:rsidR="00732BC0" w:rsidRPr="001213F7" w14:paraId="1A241A3E" w14:textId="77777777">
        <w:tc>
          <w:tcPr>
            <w:cnfStyle w:val="001000000000" w:firstRow="0" w:lastRow="0" w:firstColumn="1" w:lastColumn="0" w:oddVBand="0" w:evenVBand="0" w:oddHBand="0" w:evenHBand="0" w:firstRowFirstColumn="0" w:firstRowLastColumn="0" w:lastRowFirstColumn="0" w:lastRowLastColumn="0"/>
            <w:tcW w:w="2946" w:type="dxa"/>
          </w:tcPr>
          <w:p w14:paraId="3D175CF6" w14:textId="77777777" w:rsidR="00732BC0" w:rsidRPr="001213F7" w:rsidRDefault="00732BC0">
            <w:r w:rsidRPr="001213F7">
              <w:t xml:space="preserve">Dividends, TER and interest </w:t>
            </w:r>
            <w:r w:rsidRPr="001213F7">
              <w:rPr>
                <w:vertAlign w:val="superscript"/>
              </w:rPr>
              <w:t>(b)</w:t>
            </w:r>
          </w:p>
        </w:tc>
        <w:tc>
          <w:tcPr>
            <w:tcW w:w="794" w:type="dxa"/>
          </w:tcPr>
          <w:p w14:paraId="44560CCD"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3 830</w:t>
            </w:r>
          </w:p>
        </w:tc>
        <w:tc>
          <w:tcPr>
            <w:tcW w:w="794" w:type="dxa"/>
          </w:tcPr>
          <w:p w14:paraId="34360098"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3 483</w:t>
            </w:r>
          </w:p>
        </w:tc>
        <w:tc>
          <w:tcPr>
            <w:tcW w:w="794" w:type="dxa"/>
          </w:tcPr>
          <w:p w14:paraId="16C1A52F"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3 810</w:t>
            </w:r>
          </w:p>
        </w:tc>
        <w:tc>
          <w:tcPr>
            <w:tcW w:w="794" w:type="dxa"/>
          </w:tcPr>
          <w:p w14:paraId="1DEAA703"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2 629</w:t>
            </w:r>
          </w:p>
        </w:tc>
        <w:tc>
          <w:tcPr>
            <w:tcW w:w="794" w:type="dxa"/>
          </w:tcPr>
          <w:p w14:paraId="4E15D4A3"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3 506</w:t>
            </w:r>
          </w:p>
        </w:tc>
        <w:tc>
          <w:tcPr>
            <w:tcW w:w="794" w:type="dxa"/>
          </w:tcPr>
          <w:p w14:paraId="368B540C"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3 458</w:t>
            </w:r>
          </w:p>
        </w:tc>
      </w:tr>
      <w:tr w:rsidR="00732BC0" w:rsidRPr="001213F7" w14:paraId="75D4238F" w14:textId="77777777">
        <w:tc>
          <w:tcPr>
            <w:cnfStyle w:val="001000000000" w:firstRow="0" w:lastRow="0" w:firstColumn="1" w:lastColumn="0" w:oddVBand="0" w:evenVBand="0" w:oddHBand="0" w:evenHBand="0" w:firstRowFirstColumn="0" w:firstRowLastColumn="0" w:lastRowFirstColumn="0" w:lastRowLastColumn="0"/>
            <w:tcW w:w="2946" w:type="dxa"/>
          </w:tcPr>
          <w:p w14:paraId="760F73BE" w14:textId="77777777" w:rsidR="00732BC0" w:rsidRPr="001213F7" w:rsidRDefault="00732BC0">
            <w:r w:rsidRPr="001213F7">
              <w:t>Sales of goods and services</w:t>
            </w:r>
          </w:p>
        </w:tc>
        <w:tc>
          <w:tcPr>
            <w:tcW w:w="794" w:type="dxa"/>
          </w:tcPr>
          <w:p w14:paraId="49D83B35"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6 893</w:t>
            </w:r>
          </w:p>
        </w:tc>
        <w:tc>
          <w:tcPr>
            <w:tcW w:w="794" w:type="dxa"/>
          </w:tcPr>
          <w:p w14:paraId="07642B69"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7 682</w:t>
            </w:r>
          </w:p>
        </w:tc>
        <w:tc>
          <w:tcPr>
            <w:tcW w:w="794" w:type="dxa"/>
          </w:tcPr>
          <w:p w14:paraId="28E215BD"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8 307</w:t>
            </w:r>
          </w:p>
        </w:tc>
        <w:tc>
          <w:tcPr>
            <w:tcW w:w="794" w:type="dxa"/>
          </w:tcPr>
          <w:p w14:paraId="0468CF27"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8 731</w:t>
            </w:r>
          </w:p>
        </w:tc>
        <w:tc>
          <w:tcPr>
            <w:tcW w:w="794" w:type="dxa"/>
          </w:tcPr>
          <w:p w14:paraId="43DFB654"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8 799</w:t>
            </w:r>
          </w:p>
        </w:tc>
        <w:tc>
          <w:tcPr>
            <w:tcW w:w="794" w:type="dxa"/>
          </w:tcPr>
          <w:p w14:paraId="78627FF7"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8 973</w:t>
            </w:r>
          </w:p>
        </w:tc>
      </w:tr>
      <w:tr w:rsidR="00732BC0" w:rsidRPr="001213F7" w14:paraId="4F93EE09" w14:textId="77777777">
        <w:tc>
          <w:tcPr>
            <w:cnfStyle w:val="001000000000" w:firstRow="0" w:lastRow="0" w:firstColumn="1" w:lastColumn="0" w:oddVBand="0" w:evenVBand="0" w:oddHBand="0" w:evenHBand="0" w:firstRowFirstColumn="0" w:firstRowLastColumn="0" w:lastRowFirstColumn="0" w:lastRowLastColumn="0"/>
            <w:tcW w:w="2946" w:type="dxa"/>
          </w:tcPr>
          <w:p w14:paraId="66651677" w14:textId="77777777" w:rsidR="00732BC0" w:rsidRPr="001213F7" w:rsidRDefault="00732BC0">
            <w:r w:rsidRPr="001213F7">
              <w:t>Grants</w:t>
            </w:r>
          </w:p>
        </w:tc>
        <w:tc>
          <w:tcPr>
            <w:tcW w:w="794" w:type="dxa"/>
          </w:tcPr>
          <w:p w14:paraId="4F1BB443"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47 304</w:t>
            </w:r>
          </w:p>
        </w:tc>
        <w:tc>
          <w:tcPr>
            <w:tcW w:w="794" w:type="dxa"/>
          </w:tcPr>
          <w:p w14:paraId="74DF50CB"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55 230</w:t>
            </w:r>
          </w:p>
        </w:tc>
        <w:tc>
          <w:tcPr>
            <w:tcW w:w="794" w:type="dxa"/>
          </w:tcPr>
          <w:p w14:paraId="362B6F83"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56 366</w:t>
            </w:r>
          </w:p>
        </w:tc>
        <w:tc>
          <w:tcPr>
            <w:tcW w:w="794" w:type="dxa"/>
          </w:tcPr>
          <w:p w14:paraId="3B61C07E"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55 679</w:t>
            </w:r>
          </w:p>
        </w:tc>
        <w:tc>
          <w:tcPr>
            <w:tcW w:w="794" w:type="dxa"/>
          </w:tcPr>
          <w:p w14:paraId="30227BB0"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57 030</w:t>
            </w:r>
          </w:p>
        </w:tc>
        <w:tc>
          <w:tcPr>
            <w:tcW w:w="794" w:type="dxa"/>
          </w:tcPr>
          <w:p w14:paraId="35EFE794"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58 946</w:t>
            </w:r>
          </w:p>
        </w:tc>
      </w:tr>
      <w:tr w:rsidR="00732BC0" w:rsidRPr="001213F7" w14:paraId="1D895E3D" w14:textId="77777777">
        <w:tc>
          <w:tcPr>
            <w:cnfStyle w:val="001000000000" w:firstRow="0" w:lastRow="0" w:firstColumn="1" w:lastColumn="0" w:oddVBand="0" w:evenVBand="0" w:oddHBand="0" w:evenHBand="0" w:firstRowFirstColumn="0" w:firstRowLastColumn="0" w:lastRowFirstColumn="0" w:lastRowLastColumn="0"/>
            <w:tcW w:w="2946" w:type="dxa"/>
            <w:tcBorders>
              <w:bottom w:val="single" w:sz="6" w:space="0" w:color="auto"/>
            </w:tcBorders>
          </w:tcPr>
          <w:p w14:paraId="791F9DDE" w14:textId="77777777" w:rsidR="00732BC0" w:rsidRPr="001213F7" w:rsidRDefault="00732BC0">
            <w:r w:rsidRPr="001213F7">
              <w:t>Other revenue and income</w:t>
            </w:r>
          </w:p>
        </w:tc>
        <w:tc>
          <w:tcPr>
            <w:tcW w:w="794" w:type="dxa"/>
            <w:tcBorders>
              <w:bottom w:val="single" w:sz="6" w:space="0" w:color="auto"/>
            </w:tcBorders>
          </w:tcPr>
          <w:p w14:paraId="4CF83C3E"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4 411</w:t>
            </w:r>
          </w:p>
        </w:tc>
        <w:tc>
          <w:tcPr>
            <w:tcW w:w="794" w:type="dxa"/>
            <w:tcBorders>
              <w:bottom w:val="single" w:sz="6" w:space="0" w:color="auto"/>
            </w:tcBorders>
          </w:tcPr>
          <w:p w14:paraId="6A2BF442"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4 001</w:t>
            </w:r>
          </w:p>
        </w:tc>
        <w:tc>
          <w:tcPr>
            <w:tcW w:w="794" w:type="dxa"/>
            <w:tcBorders>
              <w:bottom w:val="single" w:sz="6" w:space="0" w:color="auto"/>
            </w:tcBorders>
          </w:tcPr>
          <w:p w14:paraId="33466ABC"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3 903</w:t>
            </w:r>
          </w:p>
        </w:tc>
        <w:tc>
          <w:tcPr>
            <w:tcW w:w="794" w:type="dxa"/>
            <w:tcBorders>
              <w:bottom w:val="single" w:sz="6" w:space="0" w:color="auto"/>
            </w:tcBorders>
          </w:tcPr>
          <w:p w14:paraId="2F797136"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3 675</w:t>
            </w:r>
          </w:p>
        </w:tc>
        <w:tc>
          <w:tcPr>
            <w:tcW w:w="794" w:type="dxa"/>
            <w:tcBorders>
              <w:bottom w:val="single" w:sz="6" w:space="0" w:color="auto"/>
            </w:tcBorders>
          </w:tcPr>
          <w:p w14:paraId="60F8DFF5"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3 726</w:t>
            </w:r>
          </w:p>
        </w:tc>
        <w:tc>
          <w:tcPr>
            <w:tcW w:w="794" w:type="dxa"/>
            <w:tcBorders>
              <w:bottom w:val="single" w:sz="6" w:space="0" w:color="auto"/>
            </w:tcBorders>
          </w:tcPr>
          <w:p w14:paraId="46B4B4D0"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3 806</w:t>
            </w:r>
          </w:p>
        </w:tc>
      </w:tr>
      <w:tr w:rsidR="00732BC0" w:rsidRPr="001213F7" w14:paraId="68C30DB1" w14:textId="77777777">
        <w:tc>
          <w:tcPr>
            <w:cnfStyle w:val="001000000000" w:firstRow="0" w:lastRow="0" w:firstColumn="1" w:lastColumn="0" w:oddVBand="0" w:evenVBand="0" w:oddHBand="0" w:evenHBand="0" w:firstRowFirstColumn="0" w:firstRowLastColumn="0" w:lastRowFirstColumn="0" w:lastRowLastColumn="0"/>
            <w:tcW w:w="2946" w:type="dxa"/>
            <w:tcBorders>
              <w:top w:val="single" w:sz="6" w:space="0" w:color="auto"/>
            </w:tcBorders>
          </w:tcPr>
          <w:p w14:paraId="39F1195C" w14:textId="77777777" w:rsidR="00732BC0" w:rsidRPr="001213F7" w:rsidRDefault="00732BC0">
            <w:r w:rsidRPr="001213F7">
              <w:rPr>
                <w:b/>
              </w:rPr>
              <w:t>Total revenue and income from transactions</w:t>
            </w:r>
          </w:p>
        </w:tc>
        <w:tc>
          <w:tcPr>
            <w:tcW w:w="794" w:type="dxa"/>
            <w:tcBorders>
              <w:top w:val="single" w:sz="6" w:space="0" w:color="auto"/>
            </w:tcBorders>
          </w:tcPr>
          <w:p w14:paraId="7166B809"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rPr>
                <w:b/>
              </w:rPr>
              <w:t>101 380</w:t>
            </w:r>
          </w:p>
        </w:tc>
        <w:tc>
          <w:tcPr>
            <w:tcW w:w="794" w:type="dxa"/>
            <w:tcBorders>
              <w:top w:val="single" w:sz="6" w:space="0" w:color="auto"/>
            </w:tcBorders>
          </w:tcPr>
          <w:p w14:paraId="0CAF1467"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rPr>
                <w:b/>
              </w:rPr>
              <w:t>111 914</w:t>
            </w:r>
          </w:p>
        </w:tc>
        <w:tc>
          <w:tcPr>
            <w:tcW w:w="794" w:type="dxa"/>
            <w:tcBorders>
              <w:top w:val="single" w:sz="6" w:space="0" w:color="auto"/>
            </w:tcBorders>
          </w:tcPr>
          <w:p w14:paraId="33AE72E2"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rPr>
                <w:b/>
              </w:rPr>
              <w:t>115 564</w:t>
            </w:r>
          </w:p>
        </w:tc>
        <w:tc>
          <w:tcPr>
            <w:tcW w:w="794" w:type="dxa"/>
            <w:tcBorders>
              <w:top w:val="single" w:sz="6" w:space="0" w:color="auto"/>
            </w:tcBorders>
          </w:tcPr>
          <w:p w14:paraId="467A1C2C"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rPr>
                <w:b/>
              </w:rPr>
              <w:t>117 059</w:t>
            </w:r>
          </w:p>
        </w:tc>
        <w:tc>
          <w:tcPr>
            <w:tcW w:w="794" w:type="dxa"/>
            <w:tcBorders>
              <w:top w:val="single" w:sz="6" w:space="0" w:color="auto"/>
            </w:tcBorders>
          </w:tcPr>
          <w:p w14:paraId="5597962E"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rPr>
                <w:b/>
              </w:rPr>
              <w:t>121 022</w:t>
            </w:r>
          </w:p>
        </w:tc>
        <w:tc>
          <w:tcPr>
            <w:tcW w:w="794" w:type="dxa"/>
            <w:tcBorders>
              <w:top w:val="single" w:sz="6" w:space="0" w:color="auto"/>
            </w:tcBorders>
          </w:tcPr>
          <w:p w14:paraId="33694684"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rPr>
                <w:b/>
              </w:rPr>
              <w:t>125 358</w:t>
            </w:r>
          </w:p>
        </w:tc>
      </w:tr>
      <w:tr w:rsidR="00732BC0" w:rsidRPr="001213F7" w14:paraId="51C6E8B2" w14:textId="77777777">
        <w:tc>
          <w:tcPr>
            <w:cnfStyle w:val="001000000000" w:firstRow="0" w:lastRow="0" w:firstColumn="1" w:lastColumn="0" w:oddVBand="0" w:evenVBand="0" w:oddHBand="0" w:evenHBand="0" w:firstRowFirstColumn="0" w:firstRowLastColumn="0" w:lastRowFirstColumn="0" w:lastRowLastColumn="0"/>
            <w:tcW w:w="2946" w:type="dxa"/>
          </w:tcPr>
          <w:p w14:paraId="1DF1340B" w14:textId="77777777" w:rsidR="00732BC0" w:rsidRPr="001213F7" w:rsidRDefault="00732BC0">
            <w:r w:rsidRPr="001213F7">
              <w:rPr>
                <w:i/>
              </w:rPr>
              <w:t>% change</w:t>
            </w:r>
          </w:p>
        </w:tc>
        <w:tc>
          <w:tcPr>
            <w:tcW w:w="794" w:type="dxa"/>
          </w:tcPr>
          <w:p w14:paraId="49663D52"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p>
        </w:tc>
        <w:tc>
          <w:tcPr>
            <w:tcW w:w="794" w:type="dxa"/>
          </w:tcPr>
          <w:p w14:paraId="724B5CE3"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rPr>
                <w:i/>
              </w:rPr>
              <w:t>10.4</w:t>
            </w:r>
          </w:p>
        </w:tc>
        <w:tc>
          <w:tcPr>
            <w:tcW w:w="794" w:type="dxa"/>
          </w:tcPr>
          <w:p w14:paraId="50375219"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rPr>
                <w:i/>
              </w:rPr>
              <w:t>3.3</w:t>
            </w:r>
          </w:p>
        </w:tc>
        <w:tc>
          <w:tcPr>
            <w:tcW w:w="794" w:type="dxa"/>
          </w:tcPr>
          <w:p w14:paraId="755556A1"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rPr>
                <w:i/>
              </w:rPr>
              <w:t>1.3</w:t>
            </w:r>
          </w:p>
        </w:tc>
        <w:tc>
          <w:tcPr>
            <w:tcW w:w="794" w:type="dxa"/>
          </w:tcPr>
          <w:p w14:paraId="65E95E9D"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rPr>
                <w:i/>
              </w:rPr>
              <w:t>3.4</w:t>
            </w:r>
          </w:p>
        </w:tc>
        <w:tc>
          <w:tcPr>
            <w:tcW w:w="794" w:type="dxa"/>
          </w:tcPr>
          <w:p w14:paraId="44DF9E40"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rPr>
                <w:i/>
              </w:rPr>
              <w:t>3.6</w:t>
            </w:r>
          </w:p>
        </w:tc>
      </w:tr>
      <w:tr w:rsidR="00732BC0" w:rsidRPr="001213F7" w14:paraId="157A3BC0" w14:textId="77777777">
        <w:tc>
          <w:tcPr>
            <w:cnfStyle w:val="001000000000" w:firstRow="0" w:lastRow="0" w:firstColumn="1" w:lastColumn="0" w:oddVBand="0" w:evenVBand="0" w:oddHBand="0" w:evenHBand="0" w:firstRowFirstColumn="0" w:firstRowLastColumn="0" w:lastRowFirstColumn="0" w:lastRowLastColumn="0"/>
            <w:tcW w:w="2946" w:type="dxa"/>
          </w:tcPr>
          <w:p w14:paraId="56D9E0A2" w14:textId="77777777" w:rsidR="00732BC0" w:rsidRPr="001213F7" w:rsidRDefault="00732BC0">
            <w:r w:rsidRPr="001213F7">
              <w:rPr>
                <w:b/>
              </w:rPr>
              <w:t>Expenses from transactions</w:t>
            </w:r>
          </w:p>
        </w:tc>
        <w:tc>
          <w:tcPr>
            <w:tcW w:w="794" w:type="dxa"/>
          </w:tcPr>
          <w:p w14:paraId="7F8B9D3C"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p>
        </w:tc>
        <w:tc>
          <w:tcPr>
            <w:tcW w:w="794" w:type="dxa"/>
          </w:tcPr>
          <w:p w14:paraId="2A1C06B3"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p>
        </w:tc>
        <w:tc>
          <w:tcPr>
            <w:tcW w:w="794" w:type="dxa"/>
          </w:tcPr>
          <w:p w14:paraId="1039DD44"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p>
        </w:tc>
        <w:tc>
          <w:tcPr>
            <w:tcW w:w="794" w:type="dxa"/>
          </w:tcPr>
          <w:p w14:paraId="16EA442F"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p>
        </w:tc>
        <w:tc>
          <w:tcPr>
            <w:tcW w:w="794" w:type="dxa"/>
          </w:tcPr>
          <w:p w14:paraId="344687AE"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p>
        </w:tc>
        <w:tc>
          <w:tcPr>
            <w:tcW w:w="794" w:type="dxa"/>
          </w:tcPr>
          <w:p w14:paraId="10CFF86E"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p>
        </w:tc>
      </w:tr>
      <w:tr w:rsidR="00732BC0" w:rsidRPr="001213F7" w14:paraId="061BDD22" w14:textId="77777777">
        <w:tc>
          <w:tcPr>
            <w:cnfStyle w:val="001000000000" w:firstRow="0" w:lastRow="0" w:firstColumn="1" w:lastColumn="0" w:oddVBand="0" w:evenVBand="0" w:oddHBand="0" w:evenHBand="0" w:firstRowFirstColumn="0" w:firstRowLastColumn="0" w:lastRowFirstColumn="0" w:lastRowLastColumn="0"/>
            <w:tcW w:w="2946" w:type="dxa"/>
          </w:tcPr>
          <w:p w14:paraId="0D52F98A" w14:textId="77777777" w:rsidR="00732BC0" w:rsidRPr="001213F7" w:rsidRDefault="00732BC0">
            <w:r w:rsidRPr="001213F7">
              <w:t>Employee expenses</w:t>
            </w:r>
          </w:p>
        </w:tc>
        <w:tc>
          <w:tcPr>
            <w:tcW w:w="794" w:type="dxa"/>
          </w:tcPr>
          <w:p w14:paraId="433BCCDE"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38 515</w:t>
            </w:r>
          </w:p>
        </w:tc>
        <w:tc>
          <w:tcPr>
            <w:tcW w:w="794" w:type="dxa"/>
          </w:tcPr>
          <w:p w14:paraId="682F4127"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40 225</w:t>
            </w:r>
          </w:p>
        </w:tc>
        <w:tc>
          <w:tcPr>
            <w:tcW w:w="794" w:type="dxa"/>
          </w:tcPr>
          <w:p w14:paraId="77E37392"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41 134</w:t>
            </w:r>
          </w:p>
        </w:tc>
        <w:tc>
          <w:tcPr>
            <w:tcW w:w="794" w:type="dxa"/>
          </w:tcPr>
          <w:p w14:paraId="6BD59249"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42 874</w:t>
            </w:r>
          </w:p>
        </w:tc>
        <w:tc>
          <w:tcPr>
            <w:tcW w:w="794" w:type="dxa"/>
          </w:tcPr>
          <w:p w14:paraId="7B59EA3C"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44 402</w:t>
            </w:r>
          </w:p>
        </w:tc>
        <w:tc>
          <w:tcPr>
            <w:tcW w:w="794" w:type="dxa"/>
          </w:tcPr>
          <w:p w14:paraId="437BF968"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45 504</w:t>
            </w:r>
          </w:p>
        </w:tc>
      </w:tr>
      <w:tr w:rsidR="00732BC0" w:rsidRPr="001213F7" w14:paraId="4EDF338B" w14:textId="77777777">
        <w:tc>
          <w:tcPr>
            <w:cnfStyle w:val="001000000000" w:firstRow="0" w:lastRow="0" w:firstColumn="1" w:lastColumn="0" w:oddVBand="0" w:evenVBand="0" w:oddHBand="0" w:evenHBand="0" w:firstRowFirstColumn="0" w:firstRowLastColumn="0" w:lastRowFirstColumn="0" w:lastRowLastColumn="0"/>
            <w:tcW w:w="2946" w:type="dxa"/>
          </w:tcPr>
          <w:p w14:paraId="75FF065D" w14:textId="77777777" w:rsidR="00732BC0" w:rsidRPr="001213F7" w:rsidRDefault="00732BC0">
            <w:r w:rsidRPr="001213F7">
              <w:t xml:space="preserve">Superannuation </w:t>
            </w:r>
            <w:r w:rsidRPr="001213F7">
              <w:rPr>
                <w:vertAlign w:val="superscript"/>
              </w:rPr>
              <w:t>(c)</w:t>
            </w:r>
          </w:p>
        </w:tc>
        <w:tc>
          <w:tcPr>
            <w:tcW w:w="794" w:type="dxa"/>
          </w:tcPr>
          <w:p w14:paraId="53A413A6"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5 307</w:t>
            </w:r>
          </w:p>
        </w:tc>
        <w:tc>
          <w:tcPr>
            <w:tcW w:w="794" w:type="dxa"/>
          </w:tcPr>
          <w:p w14:paraId="58929681"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5 503</w:t>
            </w:r>
          </w:p>
        </w:tc>
        <w:tc>
          <w:tcPr>
            <w:tcW w:w="794" w:type="dxa"/>
          </w:tcPr>
          <w:p w14:paraId="0AA4AC7B"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5 463</w:t>
            </w:r>
          </w:p>
        </w:tc>
        <w:tc>
          <w:tcPr>
            <w:tcW w:w="794" w:type="dxa"/>
          </w:tcPr>
          <w:p w14:paraId="6A79A773"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5 646</w:t>
            </w:r>
          </w:p>
        </w:tc>
        <w:tc>
          <w:tcPr>
            <w:tcW w:w="794" w:type="dxa"/>
          </w:tcPr>
          <w:p w14:paraId="5819CC87"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5 736</w:t>
            </w:r>
          </w:p>
        </w:tc>
        <w:tc>
          <w:tcPr>
            <w:tcW w:w="794" w:type="dxa"/>
          </w:tcPr>
          <w:p w14:paraId="70C84A81"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5 810</w:t>
            </w:r>
          </w:p>
        </w:tc>
      </w:tr>
      <w:tr w:rsidR="00732BC0" w:rsidRPr="001213F7" w14:paraId="19BD8D9F" w14:textId="77777777">
        <w:tc>
          <w:tcPr>
            <w:cnfStyle w:val="001000000000" w:firstRow="0" w:lastRow="0" w:firstColumn="1" w:lastColumn="0" w:oddVBand="0" w:evenVBand="0" w:oddHBand="0" w:evenHBand="0" w:firstRowFirstColumn="0" w:firstRowLastColumn="0" w:lastRowFirstColumn="0" w:lastRowLastColumn="0"/>
            <w:tcW w:w="2946" w:type="dxa"/>
          </w:tcPr>
          <w:p w14:paraId="63C93EED" w14:textId="77777777" w:rsidR="00732BC0" w:rsidRPr="001213F7" w:rsidRDefault="00732BC0">
            <w:r w:rsidRPr="001213F7">
              <w:t>Depreciation</w:t>
            </w:r>
          </w:p>
        </w:tc>
        <w:tc>
          <w:tcPr>
            <w:tcW w:w="794" w:type="dxa"/>
          </w:tcPr>
          <w:p w14:paraId="3A7FE55C"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5 462</w:t>
            </w:r>
          </w:p>
        </w:tc>
        <w:tc>
          <w:tcPr>
            <w:tcW w:w="794" w:type="dxa"/>
          </w:tcPr>
          <w:p w14:paraId="578EDD67"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6 243</w:t>
            </w:r>
          </w:p>
        </w:tc>
        <w:tc>
          <w:tcPr>
            <w:tcW w:w="794" w:type="dxa"/>
          </w:tcPr>
          <w:p w14:paraId="1ED0903C"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6 497</w:t>
            </w:r>
          </w:p>
        </w:tc>
        <w:tc>
          <w:tcPr>
            <w:tcW w:w="794" w:type="dxa"/>
          </w:tcPr>
          <w:p w14:paraId="423A2324"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6 597</w:t>
            </w:r>
          </w:p>
        </w:tc>
        <w:tc>
          <w:tcPr>
            <w:tcW w:w="794" w:type="dxa"/>
          </w:tcPr>
          <w:p w14:paraId="4B62F1A5"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6 741</w:t>
            </w:r>
          </w:p>
        </w:tc>
        <w:tc>
          <w:tcPr>
            <w:tcW w:w="794" w:type="dxa"/>
          </w:tcPr>
          <w:p w14:paraId="2DDD316A"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6 949</w:t>
            </w:r>
          </w:p>
        </w:tc>
      </w:tr>
      <w:tr w:rsidR="00732BC0" w:rsidRPr="001213F7" w14:paraId="7DC7279C" w14:textId="77777777">
        <w:tc>
          <w:tcPr>
            <w:cnfStyle w:val="001000000000" w:firstRow="0" w:lastRow="0" w:firstColumn="1" w:lastColumn="0" w:oddVBand="0" w:evenVBand="0" w:oddHBand="0" w:evenHBand="0" w:firstRowFirstColumn="0" w:firstRowLastColumn="0" w:lastRowFirstColumn="0" w:lastRowLastColumn="0"/>
            <w:tcW w:w="2946" w:type="dxa"/>
          </w:tcPr>
          <w:p w14:paraId="17EEC5A3" w14:textId="77777777" w:rsidR="00732BC0" w:rsidRPr="001213F7" w:rsidRDefault="00732BC0">
            <w:r w:rsidRPr="001213F7">
              <w:t>Interest expense</w:t>
            </w:r>
          </w:p>
        </w:tc>
        <w:tc>
          <w:tcPr>
            <w:tcW w:w="794" w:type="dxa"/>
          </w:tcPr>
          <w:p w14:paraId="3E20AC85"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6 774</w:t>
            </w:r>
          </w:p>
        </w:tc>
        <w:tc>
          <w:tcPr>
            <w:tcW w:w="794" w:type="dxa"/>
          </w:tcPr>
          <w:p w14:paraId="06874DE6"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7 853</w:t>
            </w:r>
          </w:p>
        </w:tc>
        <w:tc>
          <w:tcPr>
            <w:tcW w:w="794" w:type="dxa"/>
          </w:tcPr>
          <w:p w14:paraId="0FC43365"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8 904</w:t>
            </w:r>
          </w:p>
        </w:tc>
        <w:tc>
          <w:tcPr>
            <w:tcW w:w="794" w:type="dxa"/>
          </w:tcPr>
          <w:p w14:paraId="74F45E10"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9 672</w:t>
            </w:r>
          </w:p>
        </w:tc>
        <w:tc>
          <w:tcPr>
            <w:tcW w:w="794" w:type="dxa"/>
          </w:tcPr>
          <w:p w14:paraId="5DC98ABD"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10 660</w:t>
            </w:r>
          </w:p>
        </w:tc>
        <w:tc>
          <w:tcPr>
            <w:tcW w:w="794" w:type="dxa"/>
          </w:tcPr>
          <w:p w14:paraId="17DC697A"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11 820</w:t>
            </w:r>
          </w:p>
        </w:tc>
      </w:tr>
      <w:tr w:rsidR="00732BC0" w:rsidRPr="001213F7" w14:paraId="4AF8F47A" w14:textId="77777777">
        <w:tc>
          <w:tcPr>
            <w:cnfStyle w:val="001000000000" w:firstRow="0" w:lastRow="0" w:firstColumn="1" w:lastColumn="0" w:oddVBand="0" w:evenVBand="0" w:oddHBand="0" w:evenHBand="0" w:firstRowFirstColumn="0" w:firstRowLastColumn="0" w:lastRowFirstColumn="0" w:lastRowLastColumn="0"/>
            <w:tcW w:w="2946" w:type="dxa"/>
          </w:tcPr>
          <w:p w14:paraId="5C479803" w14:textId="77777777" w:rsidR="00732BC0" w:rsidRPr="001213F7" w:rsidRDefault="00732BC0">
            <w:r w:rsidRPr="001213F7">
              <w:t>Grant expense</w:t>
            </w:r>
          </w:p>
        </w:tc>
        <w:tc>
          <w:tcPr>
            <w:tcW w:w="794" w:type="dxa"/>
          </w:tcPr>
          <w:p w14:paraId="419F8D2C"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17 221</w:t>
            </w:r>
          </w:p>
        </w:tc>
        <w:tc>
          <w:tcPr>
            <w:tcW w:w="794" w:type="dxa"/>
          </w:tcPr>
          <w:p w14:paraId="20F7A1E9"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18 315</w:t>
            </w:r>
          </w:p>
        </w:tc>
        <w:tc>
          <w:tcPr>
            <w:tcW w:w="794" w:type="dxa"/>
          </w:tcPr>
          <w:p w14:paraId="570B21B6"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19 466</w:t>
            </w:r>
          </w:p>
        </w:tc>
        <w:tc>
          <w:tcPr>
            <w:tcW w:w="794" w:type="dxa"/>
          </w:tcPr>
          <w:p w14:paraId="61193A8D"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18 434</w:t>
            </w:r>
          </w:p>
        </w:tc>
        <w:tc>
          <w:tcPr>
            <w:tcW w:w="794" w:type="dxa"/>
          </w:tcPr>
          <w:p w14:paraId="1FE82198"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18 772</w:t>
            </w:r>
          </w:p>
        </w:tc>
        <w:tc>
          <w:tcPr>
            <w:tcW w:w="794" w:type="dxa"/>
          </w:tcPr>
          <w:p w14:paraId="275D8D0D"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19 262</w:t>
            </w:r>
          </w:p>
        </w:tc>
      </w:tr>
      <w:tr w:rsidR="00732BC0" w:rsidRPr="001213F7" w14:paraId="5DAC3115" w14:textId="77777777">
        <w:tc>
          <w:tcPr>
            <w:cnfStyle w:val="001000000000" w:firstRow="0" w:lastRow="0" w:firstColumn="1" w:lastColumn="0" w:oddVBand="0" w:evenVBand="0" w:oddHBand="0" w:evenHBand="0" w:firstRowFirstColumn="0" w:firstRowLastColumn="0" w:lastRowFirstColumn="0" w:lastRowLastColumn="0"/>
            <w:tcW w:w="2946" w:type="dxa"/>
            <w:tcBorders>
              <w:bottom w:val="single" w:sz="6" w:space="0" w:color="auto"/>
            </w:tcBorders>
          </w:tcPr>
          <w:p w14:paraId="4BC7D478" w14:textId="77777777" w:rsidR="00732BC0" w:rsidRPr="001213F7" w:rsidRDefault="00732BC0">
            <w:r w:rsidRPr="001213F7">
              <w:t>Other operating expenses</w:t>
            </w:r>
          </w:p>
        </w:tc>
        <w:tc>
          <w:tcPr>
            <w:tcW w:w="794" w:type="dxa"/>
            <w:tcBorders>
              <w:bottom w:val="single" w:sz="6" w:space="0" w:color="auto"/>
            </w:tcBorders>
          </w:tcPr>
          <w:p w14:paraId="4C2EEBDD"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30 726</w:t>
            </w:r>
          </w:p>
        </w:tc>
        <w:tc>
          <w:tcPr>
            <w:tcW w:w="794" w:type="dxa"/>
            <w:tcBorders>
              <w:bottom w:val="single" w:sz="6" w:space="0" w:color="auto"/>
            </w:tcBorders>
          </w:tcPr>
          <w:p w14:paraId="3F1B692F"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33 048</w:t>
            </w:r>
          </w:p>
        </w:tc>
        <w:tc>
          <w:tcPr>
            <w:tcW w:w="794" w:type="dxa"/>
            <w:tcBorders>
              <w:bottom w:val="single" w:sz="6" w:space="0" w:color="auto"/>
            </w:tcBorders>
          </w:tcPr>
          <w:p w14:paraId="199EF922"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33 052</w:t>
            </w:r>
          </w:p>
        </w:tc>
        <w:tc>
          <w:tcPr>
            <w:tcW w:w="794" w:type="dxa"/>
            <w:tcBorders>
              <w:bottom w:val="single" w:sz="6" w:space="0" w:color="auto"/>
            </w:tcBorders>
          </w:tcPr>
          <w:p w14:paraId="02C844A7"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31 972</w:t>
            </w:r>
          </w:p>
        </w:tc>
        <w:tc>
          <w:tcPr>
            <w:tcW w:w="794" w:type="dxa"/>
            <w:tcBorders>
              <w:bottom w:val="single" w:sz="6" w:space="0" w:color="auto"/>
            </w:tcBorders>
          </w:tcPr>
          <w:p w14:paraId="57FE7017"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32 774</w:t>
            </w:r>
          </w:p>
        </w:tc>
        <w:tc>
          <w:tcPr>
            <w:tcW w:w="794" w:type="dxa"/>
            <w:tcBorders>
              <w:bottom w:val="single" w:sz="6" w:space="0" w:color="auto"/>
            </w:tcBorders>
          </w:tcPr>
          <w:p w14:paraId="571F0FC1"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34 041</w:t>
            </w:r>
          </w:p>
        </w:tc>
      </w:tr>
      <w:tr w:rsidR="00732BC0" w:rsidRPr="001213F7" w14:paraId="0222351C" w14:textId="77777777">
        <w:tc>
          <w:tcPr>
            <w:cnfStyle w:val="001000000000" w:firstRow="0" w:lastRow="0" w:firstColumn="1" w:lastColumn="0" w:oddVBand="0" w:evenVBand="0" w:oddHBand="0" w:evenHBand="0" w:firstRowFirstColumn="0" w:firstRowLastColumn="0" w:lastRowFirstColumn="0" w:lastRowLastColumn="0"/>
            <w:tcW w:w="2946" w:type="dxa"/>
            <w:tcBorders>
              <w:top w:val="single" w:sz="6" w:space="0" w:color="auto"/>
            </w:tcBorders>
          </w:tcPr>
          <w:p w14:paraId="31E3E7E5" w14:textId="77777777" w:rsidR="00732BC0" w:rsidRPr="001213F7" w:rsidRDefault="00732BC0">
            <w:r w:rsidRPr="001213F7">
              <w:rPr>
                <w:b/>
              </w:rPr>
              <w:t>Total expenses from transactions</w:t>
            </w:r>
          </w:p>
        </w:tc>
        <w:tc>
          <w:tcPr>
            <w:tcW w:w="794" w:type="dxa"/>
            <w:tcBorders>
              <w:top w:val="single" w:sz="6" w:space="0" w:color="auto"/>
            </w:tcBorders>
          </w:tcPr>
          <w:p w14:paraId="0F43F9F0"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rPr>
                <w:b/>
              </w:rPr>
              <w:t>104 006</w:t>
            </w:r>
          </w:p>
        </w:tc>
        <w:tc>
          <w:tcPr>
            <w:tcW w:w="794" w:type="dxa"/>
            <w:tcBorders>
              <w:top w:val="single" w:sz="6" w:space="0" w:color="auto"/>
            </w:tcBorders>
          </w:tcPr>
          <w:p w14:paraId="3DD81313"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rPr>
                <w:b/>
              </w:rPr>
              <w:t>111 186</w:t>
            </w:r>
          </w:p>
        </w:tc>
        <w:tc>
          <w:tcPr>
            <w:tcW w:w="794" w:type="dxa"/>
            <w:tcBorders>
              <w:top w:val="single" w:sz="6" w:space="0" w:color="auto"/>
            </w:tcBorders>
          </w:tcPr>
          <w:p w14:paraId="2560A429"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rPr>
                <w:b/>
              </w:rPr>
              <w:t>114 516</w:t>
            </w:r>
          </w:p>
        </w:tc>
        <w:tc>
          <w:tcPr>
            <w:tcW w:w="794" w:type="dxa"/>
            <w:tcBorders>
              <w:top w:val="single" w:sz="6" w:space="0" w:color="auto"/>
            </w:tcBorders>
          </w:tcPr>
          <w:p w14:paraId="07866DB9"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rPr>
                <w:b/>
              </w:rPr>
              <w:t>115 194</w:t>
            </w:r>
          </w:p>
        </w:tc>
        <w:tc>
          <w:tcPr>
            <w:tcW w:w="794" w:type="dxa"/>
            <w:tcBorders>
              <w:top w:val="single" w:sz="6" w:space="0" w:color="auto"/>
            </w:tcBorders>
          </w:tcPr>
          <w:p w14:paraId="4B2C07DB"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rPr>
                <w:b/>
              </w:rPr>
              <w:t>119 085</w:t>
            </w:r>
          </w:p>
        </w:tc>
        <w:tc>
          <w:tcPr>
            <w:tcW w:w="794" w:type="dxa"/>
            <w:tcBorders>
              <w:top w:val="single" w:sz="6" w:space="0" w:color="auto"/>
            </w:tcBorders>
          </w:tcPr>
          <w:p w14:paraId="7336387E"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rPr>
                <w:b/>
              </w:rPr>
              <w:t>123 386</w:t>
            </w:r>
          </w:p>
        </w:tc>
      </w:tr>
      <w:tr w:rsidR="00732BC0" w:rsidRPr="001213F7" w14:paraId="1C988232" w14:textId="77777777">
        <w:tc>
          <w:tcPr>
            <w:cnfStyle w:val="001000000000" w:firstRow="0" w:lastRow="0" w:firstColumn="1" w:lastColumn="0" w:oddVBand="0" w:evenVBand="0" w:oddHBand="0" w:evenHBand="0" w:firstRowFirstColumn="0" w:firstRowLastColumn="0" w:lastRowFirstColumn="0" w:lastRowLastColumn="0"/>
            <w:tcW w:w="2946" w:type="dxa"/>
            <w:tcBorders>
              <w:bottom w:val="single" w:sz="6" w:space="0" w:color="auto"/>
            </w:tcBorders>
          </w:tcPr>
          <w:p w14:paraId="755C260C" w14:textId="77777777" w:rsidR="00732BC0" w:rsidRPr="001213F7" w:rsidRDefault="00732BC0">
            <w:r w:rsidRPr="001213F7">
              <w:rPr>
                <w:i/>
              </w:rPr>
              <w:t>% change</w:t>
            </w:r>
          </w:p>
        </w:tc>
        <w:tc>
          <w:tcPr>
            <w:tcW w:w="794" w:type="dxa"/>
            <w:tcBorders>
              <w:bottom w:val="single" w:sz="6" w:space="0" w:color="auto"/>
            </w:tcBorders>
          </w:tcPr>
          <w:p w14:paraId="6B2C8103"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p>
        </w:tc>
        <w:tc>
          <w:tcPr>
            <w:tcW w:w="794" w:type="dxa"/>
            <w:tcBorders>
              <w:bottom w:val="single" w:sz="6" w:space="0" w:color="auto"/>
            </w:tcBorders>
          </w:tcPr>
          <w:p w14:paraId="255E3B2A"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rPr>
                <w:i/>
              </w:rPr>
              <w:t>6.9</w:t>
            </w:r>
          </w:p>
        </w:tc>
        <w:tc>
          <w:tcPr>
            <w:tcW w:w="794" w:type="dxa"/>
            <w:tcBorders>
              <w:bottom w:val="single" w:sz="6" w:space="0" w:color="auto"/>
            </w:tcBorders>
          </w:tcPr>
          <w:p w14:paraId="2B108377"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rPr>
                <w:i/>
              </w:rPr>
              <w:t>3.0</w:t>
            </w:r>
          </w:p>
        </w:tc>
        <w:tc>
          <w:tcPr>
            <w:tcW w:w="794" w:type="dxa"/>
            <w:tcBorders>
              <w:bottom w:val="single" w:sz="6" w:space="0" w:color="auto"/>
            </w:tcBorders>
          </w:tcPr>
          <w:p w14:paraId="33903177"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rPr>
                <w:i/>
              </w:rPr>
              <w:t>0.6</w:t>
            </w:r>
          </w:p>
        </w:tc>
        <w:tc>
          <w:tcPr>
            <w:tcW w:w="794" w:type="dxa"/>
            <w:tcBorders>
              <w:bottom w:val="single" w:sz="6" w:space="0" w:color="auto"/>
            </w:tcBorders>
          </w:tcPr>
          <w:p w14:paraId="3DC675C7"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rPr>
                <w:i/>
              </w:rPr>
              <w:t>3.4</w:t>
            </w:r>
          </w:p>
        </w:tc>
        <w:tc>
          <w:tcPr>
            <w:tcW w:w="794" w:type="dxa"/>
            <w:tcBorders>
              <w:bottom w:val="single" w:sz="6" w:space="0" w:color="auto"/>
            </w:tcBorders>
          </w:tcPr>
          <w:p w14:paraId="01A11B14"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rPr>
                <w:i/>
              </w:rPr>
              <w:t>3.6</w:t>
            </w:r>
          </w:p>
        </w:tc>
      </w:tr>
      <w:tr w:rsidR="00732BC0" w:rsidRPr="001213F7" w14:paraId="1DA87B99" w14:textId="77777777">
        <w:tc>
          <w:tcPr>
            <w:cnfStyle w:val="001000000000" w:firstRow="0" w:lastRow="0" w:firstColumn="1" w:lastColumn="0" w:oddVBand="0" w:evenVBand="0" w:oddHBand="0" w:evenHBand="0" w:firstRowFirstColumn="0" w:firstRowLastColumn="0" w:lastRowFirstColumn="0" w:lastRowLastColumn="0"/>
            <w:tcW w:w="2946" w:type="dxa"/>
            <w:tcBorders>
              <w:top w:val="single" w:sz="6" w:space="0" w:color="auto"/>
              <w:bottom w:val="single" w:sz="6" w:space="0" w:color="auto"/>
            </w:tcBorders>
          </w:tcPr>
          <w:p w14:paraId="21C766EC" w14:textId="77777777" w:rsidR="00732BC0" w:rsidRPr="001213F7" w:rsidRDefault="00732BC0">
            <w:r w:rsidRPr="001213F7">
              <w:rPr>
                <w:b/>
              </w:rPr>
              <w:t>Net result from transactions – net operating balance</w:t>
            </w:r>
          </w:p>
        </w:tc>
        <w:tc>
          <w:tcPr>
            <w:tcW w:w="794" w:type="dxa"/>
            <w:tcBorders>
              <w:top w:val="single" w:sz="6" w:space="0" w:color="auto"/>
              <w:bottom w:val="single" w:sz="6" w:space="0" w:color="auto"/>
            </w:tcBorders>
          </w:tcPr>
          <w:p w14:paraId="79C437E5"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rPr>
                <w:b/>
              </w:rPr>
              <w:t>(2 626)</w:t>
            </w:r>
          </w:p>
        </w:tc>
        <w:tc>
          <w:tcPr>
            <w:tcW w:w="794" w:type="dxa"/>
            <w:tcBorders>
              <w:top w:val="single" w:sz="6" w:space="0" w:color="auto"/>
              <w:bottom w:val="single" w:sz="6" w:space="0" w:color="auto"/>
            </w:tcBorders>
          </w:tcPr>
          <w:p w14:paraId="77A151AC"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rPr>
                <w:b/>
              </w:rPr>
              <w:t>727</w:t>
            </w:r>
          </w:p>
        </w:tc>
        <w:tc>
          <w:tcPr>
            <w:tcW w:w="794" w:type="dxa"/>
            <w:tcBorders>
              <w:top w:val="single" w:sz="6" w:space="0" w:color="auto"/>
              <w:bottom w:val="single" w:sz="6" w:space="0" w:color="auto"/>
            </w:tcBorders>
          </w:tcPr>
          <w:p w14:paraId="02C7374A"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rPr>
                <w:b/>
              </w:rPr>
              <w:t>1 048</w:t>
            </w:r>
          </w:p>
        </w:tc>
        <w:tc>
          <w:tcPr>
            <w:tcW w:w="794" w:type="dxa"/>
            <w:tcBorders>
              <w:top w:val="single" w:sz="6" w:space="0" w:color="auto"/>
              <w:bottom w:val="single" w:sz="6" w:space="0" w:color="auto"/>
            </w:tcBorders>
          </w:tcPr>
          <w:p w14:paraId="2FA0B27A"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rPr>
                <w:b/>
              </w:rPr>
              <w:t>1 864</w:t>
            </w:r>
          </w:p>
        </w:tc>
        <w:tc>
          <w:tcPr>
            <w:tcW w:w="794" w:type="dxa"/>
            <w:tcBorders>
              <w:top w:val="single" w:sz="6" w:space="0" w:color="auto"/>
              <w:bottom w:val="single" w:sz="6" w:space="0" w:color="auto"/>
            </w:tcBorders>
          </w:tcPr>
          <w:p w14:paraId="42EBCCB0"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rPr>
                <w:b/>
              </w:rPr>
              <w:t>1 936</w:t>
            </w:r>
          </w:p>
        </w:tc>
        <w:tc>
          <w:tcPr>
            <w:tcW w:w="794" w:type="dxa"/>
            <w:tcBorders>
              <w:top w:val="single" w:sz="6" w:space="0" w:color="auto"/>
              <w:bottom w:val="single" w:sz="6" w:space="0" w:color="auto"/>
            </w:tcBorders>
          </w:tcPr>
          <w:p w14:paraId="6B1848A9"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rPr>
                <w:b/>
              </w:rPr>
              <w:t>1 972</w:t>
            </w:r>
          </w:p>
        </w:tc>
      </w:tr>
      <w:tr w:rsidR="00732BC0" w:rsidRPr="001213F7" w14:paraId="07900451" w14:textId="77777777">
        <w:tc>
          <w:tcPr>
            <w:cnfStyle w:val="001000000000" w:firstRow="0" w:lastRow="0" w:firstColumn="1" w:lastColumn="0" w:oddVBand="0" w:evenVBand="0" w:oddHBand="0" w:evenHBand="0" w:firstRowFirstColumn="0" w:firstRowLastColumn="0" w:lastRowFirstColumn="0" w:lastRowLastColumn="0"/>
            <w:tcW w:w="2946" w:type="dxa"/>
            <w:tcBorders>
              <w:top w:val="single" w:sz="6" w:space="0" w:color="auto"/>
              <w:bottom w:val="single" w:sz="6" w:space="0" w:color="auto"/>
            </w:tcBorders>
          </w:tcPr>
          <w:p w14:paraId="639A6E54" w14:textId="77777777" w:rsidR="00732BC0" w:rsidRPr="001213F7" w:rsidRDefault="00732BC0">
            <w:r w:rsidRPr="001213F7">
              <w:rPr>
                <w:b/>
              </w:rPr>
              <w:t xml:space="preserve">Total other economic flows included in net result </w:t>
            </w:r>
            <w:r w:rsidRPr="001213F7">
              <w:rPr>
                <w:b/>
                <w:vertAlign w:val="superscript"/>
              </w:rPr>
              <w:t>(d)</w:t>
            </w:r>
          </w:p>
        </w:tc>
        <w:tc>
          <w:tcPr>
            <w:tcW w:w="794" w:type="dxa"/>
            <w:tcBorders>
              <w:top w:val="single" w:sz="6" w:space="0" w:color="auto"/>
              <w:bottom w:val="single" w:sz="6" w:space="0" w:color="auto"/>
            </w:tcBorders>
          </w:tcPr>
          <w:p w14:paraId="36876CE0"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rPr>
                <w:b/>
              </w:rPr>
              <w:t>596</w:t>
            </w:r>
          </w:p>
        </w:tc>
        <w:tc>
          <w:tcPr>
            <w:tcW w:w="794" w:type="dxa"/>
            <w:tcBorders>
              <w:top w:val="single" w:sz="6" w:space="0" w:color="auto"/>
              <w:bottom w:val="single" w:sz="6" w:space="0" w:color="auto"/>
            </w:tcBorders>
          </w:tcPr>
          <w:p w14:paraId="0468977C"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rPr>
                <w:b/>
              </w:rPr>
              <w:t>(697)</w:t>
            </w:r>
          </w:p>
        </w:tc>
        <w:tc>
          <w:tcPr>
            <w:tcW w:w="794" w:type="dxa"/>
            <w:tcBorders>
              <w:top w:val="single" w:sz="6" w:space="0" w:color="auto"/>
              <w:bottom w:val="single" w:sz="6" w:space="0" w:color="auto"/>
            </w:tcBorders>
          </w:tcPr>
          <w:p w14:paraId="3B8815D0"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rPr>
                <w:b/>
              </w:rPr>
              <w:t>(155)</w:t>
            </w:r>
          </w:p>
        </w:tc>
        <w:tc>
          <w:tcPr>
            <w:tcW w:w="794" w:type="dxa"/>
            <w:tcBorders>
              <w:top w:val="single" w:sz="6" w:space="0" w:color="auto"/>
              <w:bottom w:val="single" w:sz="6" w:space="0" w:color="auto"/>
            </w:tcBorders>
          </w:tcPr>
          <w:p w14:paraId="6EB99504"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rPr>
                <w:b/>
              </w:rPr>
              <w:t>86</w:t>
            </w:r>
          </w:p>
        </w:tc>
        <w:tc>
          <w:tcPr>
            <w:tcW w:w="794" w:type="dxa"/>
            <w:tcBorders>
              <w:top w:val="single" w:sz="6" w:space="0" w:color="auto"/>
              <w:bottom w:val="single" w:sz="6" w:space="0" w:color="auto"/>
            </w:tcBorders>
          </w:tcPr>
          <w:p w14:paraId="6096AD17"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rPr>
                <w:b/>
              </w:rPr>
              <w:t>(91)</w:t>
            </w:r>
          </w:p>
        </w:tc>
        <w:tc>
          <w:tcPr>
            <w:tcW w:w="794" w:type="dxa"/>
            <w:tcBorders>
              <w:top w:val="single" w:sz="6" w:space="0" w:color="auto"/>
              <w:bottom w:val="single" w:sz="6" w:space="0" w:color="auto"/>
            </w:tcBorders>
          </w:tcPr>
          <w:p w14:paraId="0F7B4844"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rPr>
                <w:b/>
              </w:rPr>
              <w:t>(55)</w:t>
            </w:r>
          </w:p>
        </w:tc>
      </w:tr>
      <w:tr w:rsidR="00732BC0" w:rsidRPr="001213F7" w14:paraId="78136678" w14:textId="77777777">
        <w:tc>
          <w:tcPr>
            <w:cnfStyle w:val="001000000000" w:firstRow="0" w:lastRow="0" w:firstColumn="1" w:lastColumn="0" w:oddVBand="0" w:evenVBand="0" w:oddHBand="0" w:evenHBand="0" w:firstRowFirstColumn="0" w:firstRowLastColumn="0" w:lastRowFirstColumn="0" w:lastRowLastColumn="0"/>
            <w:tcW w:w="2946" w:type="dxa"/>
            <w:tcBorders>
              <w:top w:val="single" w:sz="6" w:space="0" w:color="auto"/>
              <w:bottom w:val="single" w:sz="12" w:space="0" w:color="auto"/>
            </w:tcBorders>
          </w:tcPr>
          <w:p w14:paraId="3B023FF6" w14:textId="77777777" w:rsidR="00732BC0" w:rsidRPr="001213F7" w:rsidRDefault="00732BC0">
            <w:r w:rsidRPr="001213F7">
              <w:rPr>
                <w:b/>
              </w:rPr>
              <w:t>Net result</w:t>
            </w:r>
          </w:p>
        </w:tc>
        <w:tc>
          <w:tcPr>
            <w:tcW w:w="794" w:type="dxa"/>
            <w:tcBorders>
              <w:top w:val="single" w:sz="6" w:space="0" w:color="auto"/>
              <w:bottom w:val="single" w:sz="12" w:space="0" w:color="auto"/>
            </w:tcBorders>
          </w:tcPr>
          <w:p w14:paraId="605CA478"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rPr>
                <w:b/>
              </w:rPr>
              <w:t>(2 030)</w:t>
            </w:r>
          </w:p>
        </w:tc>
        <w:tc>
          <w:tcPr>
            <w:tcW w:w="794" w:type="dxa"/>
            <w:tcBorders>
              <w:top w:val="single" w:sz="6" w:space="0" w:color="auto"/>
              <w:bottom w:val="single" w:sz="12" w:space="0" w:color="auto"/>
            </w:tcBorders>
          </w:tcPr>
          <w:p w14:paraId="5D1E8335"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rPr>
                <w:b/>
              </w:rPr>
              <w:t>30</w:t>
            </w:r>
          </w:p>
        </w:tc>
        <w:tc>
          <w:tcPr>
            <w:tcW w:w="794" w:type="dxa"/>
            <w:tcBorders>
              <w:top w:val="single" w:sz="6" w:space="0" w:color="auto"/>
              <w:bottom w:val="single" w:sz="12" w:space="0" w:color="auto"/>
            </w:tcBorders>
          </w:tcPr>
          <w:p w14:paraId="769C6C81"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rPr>
                <w:b/>
              </w:rPr>
              <w:t>892</w:t>
            </w:r>
          </w:p>
        </w:tc>
        <w:tc>
          <w:tcPr>
            <w:tcW w:w="794" w:type="dxa"/>
            <w:tcBorders>
              <w:top w:val="single" w:sz="6" w:space="0" w:color="auto"/>
              <w:bottom w:val="single" w:sz="12" w:space="0" w:color="auto"/>
            </w:tcBorders>
          </w:tcPr>
          <w:p w14:paraId="69FB9269"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rPr>
                <w:b/>
              </w:rPr>
              <w:t>1 950</w:t>
            </w:r>
          </w:p>
        </w:tc>
        <w:tc>
          <w:tcPr>
            <w:tcW w:w="794" w:type="dxa"/>
            <w:tcBorders>
              <w:top w:val="single" w:sz="6" w:space="0" w:color="auto"/>
              <w:bottom w:val="single" w:sz="12" w:space="0" w:color="auto"/>
            </w:tcBorders>
          </w:tcPr>
          <w:p w14:paraId="732CC898"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rPr>
                <w:b/>
              </w:rPr>
              <w:t>1 846</w:t>
            </w:r>
          </w:p>
        </w:tc>
        <w:tc>
          <w:tcPr>
            <w:tcW w:w="794" w:type="dxa"/>
            <w:tcBorders>
              <w:top w:val="single" w:sz="6" w:space="0" w:color="auto"/>
              <w:bottom w:val="single" w:sz="12" w:space="0" w:color="auto"/>
            </w:tcBorders>
          </w:tcPr>
          <w:p w14:paraId="18185220"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rPr>
                <w:b/>
              </w:rPr>
              <w:t>1 916</w:t>
            </w:r>
          </w:p>
        </w:tc>
      </w:tr>
    </w:tbl>
    <w:p w14:paraId="1B4F096D" w14:textId="77777777" w:rsidR="00732BC0" w:rsidRPr="001213F7" w:rsidRDefault="00732BC0" w:rsidP="004A7978">
      <w:pPr>
        <w:pStyle w:val="Note"/>
      </w:pPr>
      <w:r w:rsidRPr="001213F7">
        <w:t>Notes:</w:t>
      </w:r>
    </w:p>
    <w:p w14:paraId="42294994" w14:textId="77777777" w:rsidR="00732BC0" w:rsidRPr="001213F7" w:rsidRDefault="00732BC0" w:rsidP="004A7978">
      <w:pPr>
        <w:pStyle w:val="Note"/>
      </w:pPr>
      <w:r w:rsidRPr="001213F7">
        <w:t xml:space="preserve">(a) </w:t>
      </w:r>
      <w:r w:rsidRPr="001213F7">
        <w:tab/>
        <w:t>Figures in this table are rounded to the nearest million and may not add up to totals.</w:t>
      </w:r>
    </w:p>
    <w:p w14:paraId="44F88855" w14:textId="77777777" w:rsidR="00732BC0" w:rsidRPr="001213F7" w:rsidRDefault="00732BC0" w:rsidP="004A7978">
      <w:pPr>
        <w:pStyle w:val="Note"/>
      </w:pPr>
      <w:r w:rsidRPr="001213F7">
        <w:t>(b)</w:t>
      </w:r>
      <w:r w:rsidRPr="001213F7">
        <w:tab/>
        <w:t>Comprises dividends, income tax and rate equivalent revenue (TER) and interest.</w:t>
      </w:r>
    </w:p>
    <w:p w14:paraId="0D930F5B" w14:textId="77777777" w:rsidR="00732BC0" w:rsidRPr="001213F7" w:rsidRDefault="00732BC0" w:rsidP="004A7978">
      <w:pPr>
        <w:pStyle w:val="Note"/>
      </w:pPr>
      <w:r w:rsidRPr="001213F7">
        <w:t>(c)</w:t>
      </w:r>
      <w:r w:rsidRPr="001213F7">
        <w:tab/>
        <w:t>Comprises superannuation interest expense and other superannuation expenses.</w:t>
      </w:r>
    </w:p>
    <w:p w14:paraId="5DC0CDCE" w14:textId="77777777" w:rsidR="00732BC0" w:rsidRPr="001213F7" w:rsidRDefault="00732BC0" w:rsidP="004A7978">
      <w:pPr>
        <w:pStyle w:val="Note"/>
      </w:pPr>
      <w:r w:rsidRPr="001213F7">
        <w:t>(d)</w:t>
      </w:r>
      <w:r w:rsidRPr="001213F7">
        <w:tab/>
        <w:t>This typically includes gains and losses from the disposal of non-financial assets, adjustments for bad and doubtful debts and revaluations of financial assets and liabilities.</w:t>
      </w:r>
    </w:p>
    <w:p w14:paraId="48A43712" w14:textId="77777777" w:rsidR="00732BC0" w:rsidRPr="001213F7" w:rsidRDefault="00732BC0">
      <w:pPr>
        <w:keepLines w:val="0"/>
        <w:rPr>
          <w:rFonts w:asciiTheme="majorHAnsi" w:hAnsiTheme="majorHAnsi"/>
          <w:i/>
          <w:sz w:val="14"/>
        </w:rPr>
      </w:pPr>
      <w:r w:rsidRPr="001213F7">
        <w:br w:type="page"/>
      </w:r>
    </w:p>
    <w:p w14:paraId="5EE18235" w14:textId="77777777" w:rsidR="00732BC0" w:rsidRPr="001213F7" w:rsidRDefault="00732BC0" w:rsidP="004A7978">
      <w:pPr>
        <w:pStyle w:val="Heading2"/>
        <w:rPr>
          <w:sz w:val="23"/>
          <w:szCs w:val="23"/>
        </w:rPr>
      </w:pPr>
      <w:r w:rsidRPr="001213F7">
        <w:rPr>
          <w:sz w:val="23"/>
          <w:szCs w:val="23"/>
        </w:rPr>
        <w:lastRenderedPageBreak/>
        <w:t>Revenue outlook</w:t>
      </w:r>
    </w:p>
    <w:p w14:paraId="0C4D0ED6" w14:textId="77777777" w:rsidR="00732BC0" w:rsidRPr="001213F7" w:rsidRDefault="00732BC0" w:rsidP="004A7978">
      <w:r w:rsidRPr="001213F7">
        <w:t>Total revenue for the general government sector is forecast to be $115.6 billion in 2026</w:t>
      </w:r>
      <w:r w:rsidRPr="001213F7">
        <w:noBreakHyphen/>
        <w:t>27. Total revenue is then expected to grow by an average of 2.7 per cent a year over the forward estimates, reaching $125.4 billion in 2029-30.</w:t>
      </w:r>
    </w:p>
    <w:p w14:paraId="033EEA95" w14:textId="77777777" w:rsidR="00732BC0" w:rsidRPr="001213F7" w:rsidRDefault="00732BC0" w:rsidP="004A7978">
      <w:pPr>
        <w:pStyle w:val="Heading3"/>
      </w:pPr>
      <w:r w:rsidRPr="001213F7">
        <w:t>Taxation</w:t>
      </w:r>
    </w:p>
    <w:p w14:paraId="1FBA0A82" w14:textId="77777777" w:rsidR="00732BC0" w:rsidRPr="001213F7" w:rsidRDefault="00732BC0" w:rsidP="0098633C">
      <w:pPr>
        <w:keepNext/>
        <w:rPr>
          <w:rFonts w:cstheme="minorHAnsi"/>
        </w:rPr>
      </w:pPr>
      <w:bookmarkStart w:id="51" w:name="_Hlk163811914"/>
      <w:r w:rsidRPr="001213F7">
        <w:rPr>
          <w:rFonts w:cstheme="minorHAnsi"/>
        </w:rPr>
        <w:t>Taxation revenue is forecast to be $43.2 billion in 2026-27 and grow by an average of 5.1</w:t>
      </w:r>
      <w:r w:rsidRPr="001213F7">
        <w:rPr>
          <w:rFonts w:ascii="Times New Roman" w:hAnsi="Times New Roman"/>
        </w:rPr>
        <w:t> </w:t>
      </w:r>
      <w:r w:rsidRPr="001213F7">
        <w:rPr>
          <w:rFonts w:cstheme="minorHAnsi"/>
        </w:rPr>
        <w:t>per cent a year over the forward estimates.</w:t>
      </w:r>
      <w:bookmarkEnd w:id="51"/>
    </w:p>
    <w:p w14:paraId="3F31CF6E" w14:textId="77777777" w:rsidR="00732BC0" w:rsidRPr="001213F7" w:rsidRDefault="00732BC0" w:rsidP="00D20C0A">
      <w:pPr>
        <w:pStyle w:val="ListBullet"/>
        <w:numPr>
          <w:ilvl w:val="0"/>
          <w:numId w:val="13"/>
        </w:numPr>
      </w:pPr>
      <w:r w:rsidRPr="001213F7">
        <w:t xml:space="preserve">Revenue from taxes on employers’ payroll and labour force, inclusive of payroll tax, the COVID Debt Levy Payroll 10m+, and the Mental Health and Wellbeing Levy, is forecast to be $12.5 billion in 2026-27, and is expected to grow by an average of 5.0 per cent a year over the forward estimates. The Victorian labour market remains healthy and continues to support the near-term revenue outlook, with growth in employment and solid wages growth expected in 2026-27. Over the forward estimates, employment is expected to continue to grow and, in combination with continuing wages growth, support revenue growth at around trend levels. </w:t>
      </w:r>
    </w:p>
    <w:p w14:paraId="74EF9443" w14:textId="77777777" w:rsidR="00732BC0" w:rsidRPr="001213F7" w:rsidRDefault="00732BC0" w:rsidP="00D20C0A">
      <w:pPr>
        <w:pStyle w:val="ListBullet"/>
        <w:numPr>
          <w:ilvl w:val="0"/>
          <w:numId w:val="13"/>
        </w:numPr>
      </w:pPr>
      <w:r w:rsidRPr="001213F7">
        <w:t xml:space="preserve">Revenue from land taxes, comprising land tax, the Absentee Owner Surcharge, Vacant Residential Land Tax and the COVID Debt Levy – Landholdings, is forecast to be $7.7 billion in 2026-27 and grow by an average of 5.0 per cent a year over the forward estimates. Land taxes revenue in 2026-27 is expected to rebound, consistent with the increase in land values across 2025. Revenue growth is expected to increase more modestly in 2027-28 before returning to trend by 2028-29. Non-residential land values are expected to increase, driven by prevailing strength in the industrial sector and the continued recovery of CBD retail and office sectors. </w:t>
      </w:r>
    </w:p>
    <w:p w14:paraId="2617BE5C" w14:textId="77777777" w:rsidR="00732BC0" w:rsidRPr="001213F7" w:rsidRDefault="00732BC0" w:rsidP="00D20C0A">
      <w:pPr>
        <w:pStyle w:val="ListBullet"/>
        <w:numPr>
          <w:ilvl w:val="0"/>
          <w:numId w:val="13"/>
        </w:numPr>
      </w:pPr>
      <w:r w:rsidRPr="001213F7">
        <w:t xml:space="preserve">Revenue from land transfer duty is forecast to be $10.0 billion in 2026-27 and grow by an average of 7.4 per cent a year over the forward estimates. Revenue is forecast to decrease in 2026-27, reflecting a cyclical decline in property market activity amid higher interest rates. Over the forward estimates, Victorian dwelling prices are forecast to return to historical average growth rates and, in combination with population and income growth, support land transfer duty revenue at around historical trend levels. </w:t>
      </w:r>
    </w:p>
    <w:p w14:paraId="77EE982D" w14:textId="77777777" w:rsidR="00732BC0" w:rsidRPr="001213F7" w:rsidRDefault="00732BC0" w:rsidP="00D20C0A">
      <w:pPr>
        <w:pStyle w:val="ListBullet"/>
        <w:numPr>
          <w:ilvl w:val="0"/>
          <w:numId w:val="13"/>
        </w:numPr>
      </w:pPr>
      <w:r w:rsidRPr="001213F7">
        <w:t xml:space="preserve">Revenue from gambling taxes is forecast to be $2.9 billion in 2026-27 and grow by an average of 0.4 per cent a year over the forward estimates. Over the forward estimates, sustained growth in lotteries revenue is expected to be largely offset by a decline in electronic gaming machine revenue as gambling harm minimisation measures take effect in hotels and clubs. </w:t>
      </w:r>
    </w:p>
    <w:p w14:paraId="1750DE80" w14:textId="7E2405DE" w:rsidR="00732BC0" w:rsidRPr="001213F7" w:rsidRDefault="00732BC0" w:rsidP="00D20C0A">
      <w:pPr>
        <w:pStyle w:val="ListBullet"/>
        <w:numPr>
          <w:ilvl w:val="0"/>
          <w:numId w:val="13"/>
        </w:numPr>
      </w:pPr>
      <w:r w:rsidRPr="001213F7">
        <w:t>Revenue from motor vehicle taxes</w:t>
      </w:r>
      <w:r w:rsidR="0064301F" w:rsidRPr="001213F7">
        <w:t xml:space="preserve">, </w:t>
      </w:r>
      <w:r w:rsidR="00D25EB0" w:rsidRPr="001213F7">
        <w:t>including v</w:t>
      </w:r>
      <w:r w:rsidR="0064301F" w:rsidRPr="001213F7">
        <w:t xml:space="preserve">ehicle registration fees and </w:t>
      </w:r>
      <w:r w:rsidR="00D25EB0" w:rsidRPr="001213F7">
        <w:t>d</w:t>
      </w:r>
      <w:r w:rsidR="0064301F" w:rsidRPr="001213F7">
        <w:t>uty on registrations and transfers,</w:t>
      </w:r>
      <w:r w:rsidRPr="001213F7">
        <w:t xml:space="preserve"> is forecast to be $3.9 billion in 2026-27 and grow by an average of 6.1 per cent a year over the forward estimates. Over the forward estimates, duty on vehicle registrations and transfers is expected to be driven by vehicle price inflation and wage growth. Additionally, the Government is providing cost-of-living relief to provide a 20 per cent rebate for the cost of up to two light vehicle registrations per person in the 2025-26 financial year.</w:t>
      </w:r>
    </w:p>
    <w:p w14:paraId="14749A90" w14:textId="43505BBC" w:rsidR="00732BC0" w:rsidRPr="001213F7" w:rsidRDefault="00732BC0" w:rsidP="00D20C0A">
      <w:pPr>
        <w:pStyle w:val="ListBullet"/>
        <w:numPr>
          <w:ilvl w:val="0"/>
          <w:numId w:val="13"/>
        </w:numPr>
      </w:pPr>
      <w:r w:rsidRPr="001213F7">
        <w:lastRenderedPageBreak/>
        <w:t>Revenue from the short stay levy is expected to be $87 million in 2026-27. Short stay levy revenue is expected to grow by an average of 2.6 per cent a year over the forward estimates, reflecting forecast growth in booking fees. All revenue raised by the levy is transferred to Homes Victoria to support social and affordable housing across the state, with 25 per cent invested in regional Victoria.</w:t>
      </w:r>
    </w:p>
    <w:p w14:paraId="585A336B" w14:textId="5EC4C41C" w:rsidR="00732BC0" w:rsidRPr="001213F7" w:rsidRDefault="00732BC0" w:rsidP="00D20C0A">
      <w:pPr>
        <w:pStyle w:val="ListBullet"/>
        <w:numPr>
          <w:ilvl w:val="0"/>
          <w:numId w:val="13"/>
        </w:numPr>
      </w:pPr>
      <w:r w:rsidRPr="001213F7">
        <w:t>Revenue from insurance tax</w:t>
      </w:r>
      <w:r w:rsidR="00283372" w:rsidRPr="001213F7">
        <w:t>es</w:t>
      </w:r>
      <w:r w:rsidRPr="001213F7">
        <w:t xml:space="preserve"> is forecast to be $2.3 billion in 2026-27 and grow by an</w:t>
      </w:r>
      <w:r w:rsidR="00904B41" w:rsidRPr="001213F7">
        <w:t> </w:t>
      </w:r>
      <w:r w:rsidRPr="001213F7">
        <w:t>average of 4.6 per cent over the forward estimates. Growth in insurance taxes over the budget and forward estimates is expected to be driven by growth in insurance premium prices returning to its long-term trend, offset by the implementation of a gradual</w:t>
      </w:r>
      <w:r w:rsidRPr="001213F7" w:rsidDel="00DC70E6">
        <w:t xml:space="preserve"> </w:t>
      </w:r>
      <w:r w:rsidRPr="001213F7">
        <w:t xml:space="preserve">reduction in the business insurance duty rate. </w:t>
      </w:r>
    </w:p>
    <w:p w14:paraId="1773770D" w14:textId="77777777" w:rsidR="00732BC0" w:rsidRPr="001213F7" w:rsidRDefault="00732BC0" w:rsidP="004A7978">
      <w:pPr>
        <w:pStyle w:val="Heading3"/>
      </w:pPr>
      <w:r w:rsidRPr="001213F7">
        <w:t>Dividends, income tax equivalent and interest</w:t>
      </w:r>
    </w:p>
    <w:p w14:paraId="43AAE5C5" w14:textId="77777777" w:rsidR="00732BC0" w:rsidRPr="001213F7" w:rsidRDefault="00732BC0" w:rsidP="004A7978">
      <w:pPr>
        <w:keepNext/>
      </w:pPr>
      <w:r w:rsidRPr="001213F7">
        <w:t xml:space="preserve">Dividends and income tax equivalent revenue is projected to be $2.2 billion in </w:t>
      </w:r>
      <w:r w:rsidRPr="001213F7">
        <w:rPr>
          <w:rFonts w:cstheme="minorHAnsi"/>
        </w:rPr>
        <w:t xml:space="preserve">2026-27 </w:t>
      </w:r>
      <w:r w:rsidRPr="001213F7">
        <w:t xml:space="preserve">and moderate to $2.0 billion by 2029-30. </w:t>
      </w:r>
    </w:p>
    <w:p w14:paraId="0E3D8B50" w14:textId="5C71A1FE" w:rsidR="00732BC0" w:rsidRPr="001213F7" w:rsidRDefault="00732BC0" w:rsidP="004A7978">
      <w:r w:rsidRPr="001213F7">
        <w:t xml:space="preserve">Note 1.2.2 of Budget Paper No. 5, Chapter 1 </w:t>
      </w:r>
      <w:r w:rsidRPr="001213F7">
        <w:rPr>
          <w:i/>
          <w:iCs/>
        </w:rPr>
        <w:t xml:space="preserve">Estimated </w:t>
      </w:r>
      <w:r w:rsidR="00514650" w:rsidRPr="001213F7">
        <w:rPr>
          <w:i/>
          <w:iCs/>
        </w:rPr>
        <w:t xml:space="preserve">financial statements </w:t>
      </w:r>
      <w:r w:rsidRPr="001213F7">
        <w:rPr>
          <w:i/>
          <w:iCs/>
        </w:rPr>
        <w:t>for the general government sector</w:t>
      </w:r>
      <w:r w:rsidRPr="001213F7">
        <w:t xml:space="preserve"> contains further details of dividends and income tax equivalent revenue by sector and entity.</w:t>
      </w:r>
    </w:p>
    <w:p w14:paraId="6A16403F" w14:textId="77777777" w:rsidR="00732BC0" w:rsidRPr="001213F7" w:rsidRDefault="00732BC0">
      <w:r w:rsidRPr="001213F7">
        <w:t xml:space="preserve">Interest revenue is received on the cash and deposits held by the Government. Total interest is expected to be $1.6 billion in </w:t>
      </w:r>
      <w:r w:rsidRPr="001213F7">
        <w:rPr>
          <w:rFonts w:cstheme="minorHAnsi"/>
        </w:rPr>
        <w:t xml:space="preserve">2026-27 </w:t>
      </w:r>
      <w:r w:rsidRPr="001213F7">
        <w:t>before moderating to $1.4 billion by 2029-30. The movement in interest income is, in part, due to an estimated decline in the net Centralised Banking System (CBS) balance from 2026-27 to 2029-30.</w:t>
      </w:r>
    </w:p>
    <w:p w14:paraId="72AB95F6" w14:textId="77777777" w:rsidR="00732BC0" w:rsidRPr="001213F7" w:rsidRDefault="00732BC0" w:rsidP="004A7978">
      <w:pPr>
        <w:pStyle w:val="Heading3"/>
      </w:pPr>
      <w:r w:rsidRPr="001213F7">
        <w:t>Sales of goods and services</w:t>
      </w:r>
    </w:p>
    <w:p w14:paraId="3BA4FFD8" w14:textId="77777777" w:rsidR="00732BC0" w:rsidRPr="001213F7" w:rsidRDefault="00732BC0" w:rsidP="004A7978">
      <w:r w:rsidRPr="001213F7">
        <w:t>Revenue generated by the sales of goods and services is expected to increase to $8.3 billion in 2026-27 and</w:t>
      </w:r>
      <w:r w:rsidRPr="001213F7" w:rsidDel="00D526D9">
        <w:t xml:space="preserve"> </w:t>
      </w:r>
      <w:r w:rsidRPr="001213F7">
        <w:t>grow by an average of 2.6 per cent a year over the forward estimates, reaching $9.0 billion in 2029-30.</w:t>
      </w:r>
    </w:p>
    <w:p w14:paraId="43F7D683" w14:textId="77777777" w:rsidR="00732BC0" w:rsidRPr="001213F7" w:rsidRDefault="00732BC0" w:rsidP="004A7978">
      <w:pPr>
        <w:pStyle w:val="Heading3"/>
      </w:pPr>
      <w:r w:rsidRPr="001213F7">
        <w:t>Grants</w:t>
      </w:r>
    </w:p>
    <w:p w14:paraId="15ED3FA7" w14:textId="77777777" w:rsidR="00732BC0" w:rsidRPr="001213F7" w:rsidRDefault="00732BC0">
      <w:pPr>
        <w:rPr>
          <w:rFonts w:cstheme="minorHAnsi"/>
        </w:rPr>
      </w:pPr>
      <w:r w:rsidRPr="001213F7">
        <w:rPr>
          <w:rFonts w:cstheme="minorHAnsi"/>
        </w:rPr>
        <w:t>Total grant revenue is expected to be $56.4 billion in 2026-27 and increase by an average of 1.5 per cent a year over the forward estimates, reaching $58.9 billion in 2029-30.</w:t>
      </w:r>
    </w:p>
    <w:p w14:paraId="49AF97E6" w14:textId="77777777" w:rsidR="00732BC0" w:rsidRPr="001213F7" w:rsidRDefault="00732BC0">
      <w:pPr>
        <w:rPr>
          <w:rFonts w:cstheme="minorHAnsi"/>
        </w:rPr>
      </w:pPr>
      <w:r w:rsidRPr="001213F7">
        <w:rPr>
          <w:rFonts w:cstheme="minorHAnsi"/>
        </w:rPr>
        <w:t xml:space="preserve">General purpose grants (or GST) revenue is Victoria’s largest source of grant revenue and is forecast to be $29.2 billion in 2026-27, and then grow by an average of 0.5 per cent a year over the forward estimates. This is primarily driven by growth in the national GST pool across the forecast period, which is offset by expected declines in Victoria’s GST relativity. The Commonwealth Grants Commission (CGC) has recommended that Victoria’s GST relativity (GST relativity under the new GST distribution system) decline in 2026-27. This reflects a reduction in Victoria’s assessed GST needs, primarily owing to COVID-19 spending dropping out of the assessment period, and lower mining royalty revenues in Western Australia and Queensland in 2024-25, with these factors being partly offset by data revisions that have increased Victoria’s share of national expenses. </w:t>
      </w:r>
    </w:p>
    <w:p w14:paraId="70632F2A" w14:textId="612FE526" w:rsidR="00732BC0" w:rsidRPr="001213F7" w:rsidRDefault="00732BC0">
      <w:pPr>
        <w:rPr>
          <w:rFonts w:cstheme="minorHAnsi"/>
        </w:rPr>
      </w:pPr>
      <w:r w:rsidRPr="001213F7">
        <w:rPr>
          <w:rFonts w:cstheme="minorHAnsi"/>
        </w:rPr>
        <w:t>Victoria’s GST relativity is forecast to continue to decline over 2027-28 and 2028-29, due</w:t>
      </w:r>
      <w:r w:rsidR="00904B41" w:rsidRPr="001213F7">
        <w:rPr>
          <w:rFonts w:cstheme="minorHAnsi"/>
        </w:rPr>
        <w:t> </w:t>
      </w:r>
      <w:r w:rsidRPr="001213F7">
        <w:rPr>
          <w:rFonts w:cstheme="minorHAnsi"/>
        </w:rPr>
        <w:t>to further declines in other jurisdictions’ assessed mining royalty revenues and an increase in Victoria’s share of assessed Commonwealth payments driven by increased funding for road and rail infrastructure.</w:t>
      </w:r>
    </w:p>
    <w:p w14:paraId="28154B94" w14:textId="77777777" w:rsidR="00732BC0" w:rsidRPr="001213F7" w:rsidRDefault="00732BC0" w:rsidP="004A7978">
      <w:pPr>
        <w:pStyle w:val="Heading3"/>
      </w:pPr>
      <w:r w:rsidRPr="001213F7">
        <w:lastRenderedPageBreak/>
        <w:t>Other revenue and income</w:t>
      </w:r>
    </w:p>
    <w:p w14:paraId="54014734" w14:textId="77777777" w:rsidR="00732BC0" w:rsidRPr="001213F7" w:rsidRDefault="00732BC0" w:rsidP="0098633C">
      <w:pPr>
        <w:keepNext/>
      </w:pPr>
      <w:r w:rsidRPr="001213F7">
        <w:t xml:space="preserve">Other revenue and income includes fines, royalties, donations and gifts, assets received free of charge and other miscellaneous revenues. Other revenue and income is expected to be $3.9 billion in 2026-27, moderating to $3.8 billion in 2029-30. </w:t>
      </w:r>
    </w:p>
    <w:p w14:paraId="501578F2" w14:textId="77777777" w:rsidR="00732BC0" w:rsidRPr="001213F7" w:rsidRDefault="00732BC0" w:rsidP="004A7978">
      <w:pPr>
        <w:ind w:right="-119"/>
      </w:pPr>
      <w:r w:rsidRPr="001213F7">
        <w:t xml:space="preserve">Budget Paper No. 5, Chapter 4 </w:t>
      </w:r>
      <w:r w:rsidRPr="001213F7">
        <w:rPr>
          <w:i/>
          <w:iCs/>
        </w:rPr>
        <w:t>State revenue</w:t>
      </w:r>
      <w:r w:rsidRPr="001213F7">
        <w:t xml:space="preserve"> contains further details of expected movements in the major categories of general government revenue.</w:t>
      </w:r>
    </w:p>
    <w:p w14:paraId="62CDBAB2" w14:textId="77777777" w:rsidR="00732BC0" w:rsidRPr="001213F7" w:rsidRDefault="00732BC0">
      <w:pPr>
        <w:pStyle w:val="Heading2"/>
      </w:pPr>
      <w:r w:rsidRPr="001213F7">
        <w:t>Expenses outlook</w:t>
      </w:r>
    </w:p>
    <w:p w14:paraId="09803641" w14:textId="77777777" w:rsidR="00732BC0" w:rsidRPr="001213F7" w:rsidRDefault="00732BC0" w:rsidP="004A7978">
      <w:r w:rsidRPr="001213F7">
        <w:t>Total expenses for the general government sector are forecast to be $114.5 billion in 2026</w:t>
      </w:r>
      <w:r w:rsidRPr="001213F7">
        <w:noBreakHyphen/>
        <w:t>27 and increase by an average of 2.5 per cent a year over the forward estimates to $123.4 billion in 2029-30.</w:t>
      </w:r>
    </w:p>
    <w:p w14:paraId="16AE0B32" w14:textId="77777777" w:rsidR="00732BC0" w:rsidRPr="001213F7" w:rsidRDefault="00732BC0" w:rsidP="004A7978">
      <w:r w:rsidRPr="001213F7">
        <w:t>Moderation of expenditure growth over the forward estimates supports the Government’s fiscal strategy to achieve an operating surplus by 2025-26 and beyond.</w:t>
      </w:r>
    </w:p>
    <w:p w14:paraId="2DF03DC1" w14:textId="77777777" w:rsidR="00732BC0" w:rsidRPr="001213F7" w:rsidRDefault="00732BC0" w:rsidP="00D20C0A">
      <w:pPr>
        <w:pStyle w:val="ListBullet"/>
        <w:numPr>
          <w:ilvl w:val="0"/>
          <w:numId w:val="13"/>
        </w:numPr>
      </w:pPr>
      <w:r w:rsidRPr="001213F7">
        <w:t>Employee expenses (including superannuation) are forecast to be $46.6 billion in 2026</w:t>
      </w:r>
      <w:r w:rsidRPr="001213F7">
        <w:noBreakHyphen/>
        <w:t>27. Average growth over the forward estimates of 3.3 per cent a year is forecast, consistent with the requirements of service delivery and enterprise bargaining agreements.</w:t>
      </w:r>
    </w:p>
    <w:p w14:paraId="747DDE9D" w14:textId="77777777" w:rsidR="00732BC0" w:rsidRPr="001213F7" w:rsidRDefault="00732BC0" w:rsidP="00D20C0A">
      <w:pPr>
        <w:pStyle w:val="ListBullet"/>
        <w:numPr>
          <w:ilvl w:val="0"/>
          <w:numId w:val="13"/>
        </w:numPr>
      </w:pPr>
      <w:r w:rsidRPr="001213F7">
        <w:t xml:space="preserve">Depreciation expense is forecast to grow to $6.5 billion in 2026-27, and by an average of 2.3 per cent a year over the forward estimates, to $6.9 billion by 2029-30. Growth in depreciation is broadly in line with continuing significant investment in infrastructure and the size of the State’s asset base. </w:t>
      </w:r>
    </w:p>
    <w:p w14:paraId="1BD23482" w14:textId="77777777" w:rsidR="00732BC0" w:rsidRPr="001213F7" w:rsidRDefault="00732BC0" w:rsidP="00D20C0A">
      <w:pPr>
        <w:pStyle w:val="ListBullet"/>
        <w:numPr>
          <w:ilvl w:val="0"/>
          <w:numId w:val="13"/>
        </w:numPr>
      </w:pPr>
      <w:r w:rsidRPr="001213F7">
        <w:t>Interest expense is forecast to grow to $8.9 billion in 2026-27, and to $11.8 billion by 2029</w:t>
      </w:r>
      <w:r w:rsidRPr="001213F7">
        <w:noBreakHyphen/>
        <w:t>30, as the Government continues to borrow to invest in infrastructure as set out in the Capital Expenditure section below. Interest expense as a share of total revenue is expected to average 8.6 per cent a year over the budget and forward estimates.</w:t>
      </w:r>
    </w:p>
    <w:p w14:paraId="6A352249" w14:textId="77777777" w:rsidR="00732BC0" w:rsidRPr="001213F7" w:rsidRDefault="00732BC0" w:rsidP="00D20C0A">
      <w:pPr>
        <w:pStyle w:val="ListBullet"/>
        <w:numPr>
          <w:ilvl w:val="0"/>
          <w:numId w:val="13"/>
        </w:numPr>
      </w:pPr>
      <w:r w:rsidRPr="001213F7">
        <w:t>Grant expenses are forecast to grow to $19.5 billion in 2026-27, largely due to new government initiatives announced as part of this budget. Grant expenses are then expected to decline by an average of 0.4 per cent a year over the forward estimates.</w:t>
      </w:r>
    </w:p>
    <w:p w14:paraId="13713A2A" w14:textId="77777777" w:rsidR="00732BC0" w:rsidRPr="001213F7" w:rsidRDefault="00732BC0" w:rsidP="00D20C0A">
      <w:pPr>
        <w:pStyle w:val="ListBullet"/>
        <w:numPr>
          <w:ilvl w:val="0"/>
          <w:numId w:val="13"/>
        </w:numPr>
      </w:pPr>
      <w:r w:rsidRPr="001213F7">
        <w:t>Other operating expenses are forecast to be $33.1 billion in 2026</w:t>
      </w:r>
      <w:r w:rsidRPr="001213F7">
        <w:noBreakHyphen/>
        <w:t>27. Other operating expenses are then expected to increase by an average of 1.0 per cent a year over the forward estimates.</w:t>
      </w:r>
    </w:p>
    <w:p w14:paraId="79D12975" w14:textId="38F8E30D" w:rsidR="00732BC0" w:rsidRPr="001213F7" w:rsidRDefault="00732BC0" w:rsidP="004A7978">
      <w:r w:rsidRPr="001213F7">
        <w:t xml:space="preserve">Budget Paper No. 5, Chapter 1 </w:t>
      </w:r>
      <w:r w:rsidRPr="001213F7">
        <w:rPr>
          <w:i/>
          <w:iCs/>
        </w:rPr>
        <w:t xml:space="preserve">Estimated </w:t>
      </w:r>
      <w:r w:rsidR="00514650" w:rsidRPr="001213F7">
        <w:rPr>
          <w:i/>
          <w:iCs/>
        </w:rPr>
        <w:t xml:space="preserve">financial statements </w:t>
      </w:r>
      <w:r w:rsidRPr="001213F7">
        <w:rPr>
          <w:i/>
          <w:iCs/>
        </w:rPr>
        <w:t>for the general government sector</w:t>
      </w:r>
      <w:r w:rsidRPr="001213F7">
        <w:t xml:space="preserve"> contains further details of major components of expenditure incurred by the State for the</w:t>
      </w:r>
      <w:r w:rsidR="00904B41" w:rsidRPr="001213F7">
        <w:t> </w:t>
      </w:r>
      <w:r w:rsidRPr="001213F7">
        <w:t>delivery of services.</w:t>
      </w:r>
    </w:p>
    <w:p w14:paraId="6830634A" w14:textId="77777777" w:rsidR="00732BC0" w:rsidRPr="001213F7" w:rsidRDefault="00732BC0" w:rsidP="0023596A">
      <w:pPr>
        <w:pStyle w:val="Heading2"/>
        <w:pageBreakBefore/>
      </w:pPr>
      <w:r w:rsidRPr="001213F7">
        <w:lastRenderedPageBreak/>
        <w:t xml:space="preserve">Reconciliation of estimates with the </w:t>
      </w:r>
      <w:r w:rsidRPr="001213F7">
        <w:rPr>
          <w:i/>
          <w:iCs/>
        </w:rPr>
        <w:t>2025-26 Budget Update</w:t>
      </w:r>
    </w:p>
    <w:p w14:paraId="235DFC67" w14:textId="77777777" w:rsidR="00732BC0" w:rsidRPr="001213F7" w:rsidRDefault="00732BC0" w:rsidP="0023596A">
      <w:r w:rsidRPr="001213F7">
        <w:t xml:space="preserve">Relative to the </w:t>
      </w:r>
      <w:r w:rsidRPr="001213F7">
        <w:rPr>
          <w:rFonts w:cstheme="minorHAnsi"/>
          <w:i/>
          <w:iCs/>
        </w:rPr>
        <w:t>2025-26</w:t>
      </w:r>
      <w:r w:rsidRPr="001213F7">
        <w:rPr>
          <w:rFonts w:cstheme="minorHAnsi"/>
          <w:i/>
        </w:rPr>
        <w:t xml:space="preserve"> </w:t>
      </w:r>
      <w:r w:rsidRPr="001213F7">
        <w:rPr>
          <w:i/>
          <w:iCs/>
        </w:rPr>
        <w:t>Budget Update</w:t>
      </w:r>
      <w:r w:rsidRPr="001213F7">
        <w:t>, the net result from transactions has been revised down by $896 million in 2026-27 and by $534 million in 2027-28, and revised up by $388 million in 2028</w:t>
      </w:r>
      <w:r w:rsidRPr="001213F7">
        <w:noBreakHyphen/>
        <w:t>29 (see Table 4.3).</w:t>
      </w:r>
    </w:p>
    <w:p w14:paraId="67A8D22F" w14:textId="77777777" w:rsidR="00732BC0" w:rsidRPr="001213F7" w:rsidRDefault="00732BC0">
      <w:pPr>
        <w:pStyle w:val="TableHeading"/>
      </w:pPr>
      <w:r w:rsidRPr="001213F7">
        <w:t xml:space="preserve">Table 4.3: </w:t>
      </w:r>
      <w:r w:rsidRPr="001213F7">
        <w:tab/>
        <w:t xml:space="preserve">Reconciliation of estimates with the </w:t>
      </w:r>
      <w:r w:rsidRPr="001213F7">
        <w:rPr>
          <w:i/>
          <w:iCs w:val="0"/>
        </w:rPr>
        <w:t>2025-26 Budget Update</w:t>
      </w:r>
      <w:r w:rsidRPr="001213F7">
        <w:t xml:space="preserve"> </w:t>
      </w:r>
      <w:r w:rsidRPr="001213F7">
        <w:rPr>
          <w:vertAlign w:val="superscript"/>
        </w:rPr>
        <w:t>(a)</w:t>
      </w:r>
      <w:r w:rsidRPr="001213F7">
        <w:tab/>
        <w:t>($ million)</w:t>
      </w:r>
    </w:p>
    <w:tbl>
      <w:tblPr>
        <w:tblStyle w:val="DTFTableNumeric"/>
        <w:tblW w:w="7710" w:type="dxa"/>
        <w:tblLayout w:type="fixed"/>
        <w:tblLook w:val="06A0" w:firstRow="1" w:lastRow="0" w:firstColumn="1" w:lastColumn="0" w:noHBand="1" w:noVBand="1"/>
        <w:tblDescription w:val="Type:DtfTable|Workbook:https://vicgov.sharepoint.com/sites/VG002735/BP2/Spreadsheets/Link_BP2_Chapter4.xlsx|Table:ReconciliationOfEstimates"/>
      </w:tblPr>
      <w:tblGrid>
        <w:gridCol w:w="5328"/>
        <w:gridCol w:w="794"/>
        <w:gridCol w:w="794"/>
        <w:gridCol w:w="794"/>
      </w:tblGrid>
      <w:tr w:rsidR="00732BC0" w:rsidRPr="001213F7" w14:paraId="6DC123F1"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328" w:type="dxa"/>
            <w:tcBorders>
              <w:top w:val="single" w:sz="0" w:space="0" w:color="auto"/>
              <w:bottom w:val="single" w:sz="12" w:space="0" w:color="auto"/>
            </w:tcBorders>
          </w:tcPr>
          <w:p w14:paraId="52943BF3" w14:textId="77777777" w:rsidR="00732BC0" w:rsidRPr="001213F7" w:rsidRDefault="00732BC0">
            <w:pPr>
              <w:keepNext/>
            </w:pPr>
          </w:p>
        </w:tc>
        <w:tc>
          <w:tcPr>
            <w:tcW w:w="794" w:type="dxa"/>
            <w:tcBorders>
              <w:top w:val="single" w:sz="0" w:space="0" w:color="auto"/>
              <w:bottom w:val="single" w:sz="12" w:space="0" w:color="auto"/>
            </w:tcBorders>
          </w:tcPr>
          <w:p w14:paraId="1BCCC22E" w14:textId="77777777" w:rsidR="00732BC0" w:rsidRPr="001213F7" w:rsidRDefault="00732BC0">
            <w:pPr>
              <w:keepNext/>
              <w:cnfStyle w:val="100000000000" w:firstRow="1" w:lastRow="0" w:firstColumn="0" w:lastColumn="0" w:oddVBand="0" w:evenVBand="0" w:oddHBand="0" w:evenHBand="0" w:firstRowFirstColumn="0" w:firstRowLastColumn="0" w:lastRowFirstColumn="0" w:lastRowLastColumn="0"/>
            </w:pPr>
            <w:r w:rsidRPr="001213F7">
              <w:t>2026</w:t>
            </w:r>
            <w:r w:rsidRPr="001213F7">
              <w:noBreakHyphen/>
              <w:t>27</w:t>
            </w:r>
          </w:p>
        </w:tc>
        <w:tc>
          <w:tcPr>
            <w:tcW w:w="794" w:type="dxa"/>
            <w:tcBorders>
              <w:top w:val="single" w:sz="0" w:space="0" w:color="auto"/>
              <w:bottom w:val="single" w:sz="12" w:space="0" w:color="auto"/>
            </w:tcBorders>
          </w:tcPr>
          <w:p w14:paraId="19421D94" w14:textId="77777777" w:rsidR="00732BC0" w:rsidRPr="001213F7" w:rsidRDefault="00732BC0">
            <w:pPr>
              <w:keepNext/>
              <w:cnfStyle w:val="100000000000" w:firstRow="1" w:lastRow="0" w:firstColumn="0" w:lastColumn="0" w:oddVBand="0" w:evenVBand="0" w:oddHBand="0" w:evenHBand="0" w:firstRowFirstColumn="0" w:firstRowLastColumn="0" w:lastRowFirstColumn="0" w:lastRowLastColumn="0"/>
            </w:pPr>
            <w:r w:rsidRPr="001213F7">
              <w:t>2027</w:t>
            </w:r>
            <w:r w:rsidRPr="001213F7">
              <w:noBreakHyphen/>
              <w:t>28</w:t>
            </w:r>
          </w:p>
        </w:tc>
        <w:tc>
          <w:tcPr>
            <w:tcW w:w="794" w:type="dxa"/>
            <w:tcBorders>
              <w:top w:val="single" w:sz="0" w:space="0" w:color="auto"/>
              <w:bottom w:val="single" w:sz="12" w:space="0" w:color="auto"/>
            </w:tcBorders>
          </w:tcPr>
          <w:p w14:paraId="18757974" w14:textId="77777777" w:rsidR="00732BC0" w:rsidRPr="001213F7" w:rsidRDefault="00732BC0">
            <w:pPr>
              <w:keepNext/>
              <w:cnfStyle w:val="100000000000" w:firstRow="1" w:lastRow="0" w:firstColumn="0" w:lastColumn="0" w:oddVBand="0" w:evenVBand="0" w:oddHBand="0" w:evenHBand="0" w:firstRowFirstColumn="0" w:firstRowLastColumn="0" w:lastRowFirstColumn="0" w:lastRowLastColumn="0"/>
            </w:pPr>
            <w:r w:rsidRPr="001213F7">
              <w:t>2028</w:t>
            </w:r>
            <w:r w:rsidRPr="001213F7">
              <w:noBreakHyphen/>
              <w:t>29</w:t>
            </w:r>
          </w:p>
        </w:tc>
      </w:tr>
      <w:tr w:rsidR="00732BC0" w:rsidRPr="001213F7" w14:paraId="294727A8"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328" w:type="dxa"/>
            <w:tcBorders>
              <w:top w:val="single" w:sz="0" w:space="0" w:color="auto"/>
            </w:tcBorders>
          </w:tcPr>
          <w:p w14:paraId="258CB55C" w14:textId="77777777" w:rsidR="00732BC0" w:rsidRPr="001213F7" w:rsidRDefault="00732BC0">
            <w:pPr>
              <w:keepNext/>
            </w:pPr>
          </w:p>
        </w:tc>
        <w:tc>
          <w:tcPr>
            <w:tcW w:w="794" w:type="dxa"/>
            <w:tcBorders>
              <w:top w:val="single" w:sz="0" w:space="0" w:color="auto"/>
            </w:tcBorders>
          </w:tcPr>
          <w:p w14:paraId="221657FA" w14:textId="77777777" w:rsidR="00732BC0" w:rsidRPr="001213F7" w:rsidRDefault="00732BC0">
            <w:pPr>
              <w:keepNext/>
              <w:cnfStyle w:val="100000000000" w:firstRow="1" w:lastRow="0" w:firstColumn="0" w:lastColumn="0" w:oddVBand="0" w:evenVBand="0" w:oddHBand="0" w:evenHBand="0" w:firstRowFirstColumn="0" w:firstRowLastColumn="0" w:lastRowFirstColumn="0" w:lastRowLastColumn="0"/>
            </w:pPr>
            <w:r w:rsidRPr="001213F7">
              <w:t>budget</w:t>
            </w:r>
          </w:p>
        </w:tc>
        <w:tc>
          <w:tcPr>
            <w:tcW w:w="794" w:type="dxa"/>
            <w:tcBorders>
              <w:top w:val="single" w:sz="0" w:space="0" w:color="auto"/>
            </w:tcBorders>
          </w:tcPr>
          <w:p w14:paraId="4E39C538" w14:textId="77777777" w:rsidR="00732BC0" w:rsidRPr="001213F7" w:rsidRDefault="00732BC0">
            <w:pPr>
              <w:keepNext/>
              <w:cnfStyle w:val="100000000000" w:firstRow="1" w:lastRow="0" w:firstColumn="0" w:lastColumn="0" w:oddVBand="0" w:evenVBand="0" w:oddHBand="0" w:evenHBand="0" w:firstRowFirstColumn="0" w:firstRowLastColumn="0" w:lastRowFirstColumn="0" w:lastRowLastColumn="0"/>
            </w:pPr>
            <w:r w:rsidRPr="001213F7">
              <w:t>estimate</w:t>
            </w:r>
          </w:p>
        </w:tc>
        <w:tc>
          <w:tcPr>
            <w:tcW w:w="794" w:type="dxa"/>
            <w:tcBorders>
              <w:top w:val="single" w:sz="0" w:space="0" w:color="auto"/>
            </w:tcBorders>
          </w:tcPr>
          <w:p w14:paraId="194FE66A" w14:textId="77777777" w:rsidR="00732BC0" w:rsidRPr="001213F7" w:rsidRDefault="00732BC0">
            <w:pPr>
              <w:keepNext/>
              <w:cnfStyle w:val="100000000000" w:firstRow="1" w:lastRow="0" w:firstColumn="0" w:lastColumn="0" w:oddVBand="0" w:evenVBand="0" w:oddHBand="0" w:evenHBand="0" w:firstRowFirstColumn="0" w:firstRowLastColumn="0" w:lastRowFirstColumn="0" w:lastRowLastColumn="0"/>
            </w:pPr>
            <w:r w:rsidRPr="001213F7">
              <w:t>estimate</w:t>
            </w:r>
          </w:p>
        </w:tc>
      </w:tr>
      <w:tr w:rsidR="00732BC0" w:rsidRPr="001213F7" w14:paraId="1F8023B8" w14:textId="77777777">
        <w:tc>
          <w:tcPr>
            <w:cnfStyle w:val="001000000000" w:firstRow="0" w:lastRow="0" w:firstColumn="1" w:lastColumn="0" w:oddVBand="0" w:evenVBand="0" w:oddHBand="0" w:evenHBand="0" w:firstRowFirstColumn="0" w:firstRowLastColumn="0" w:lastRowFirstColumn="0" w:lastRowLastColumn="0"/>
            <w:tcW w:w="5328" w:type="dxa"/>
          </w:tcPr>
          <w:p w14:paraId="29C925E2" w14:textId="77777777" w:rsidR="00732BC0" w:rsidRPr="001213F7" w:rsidRDefault="00732BC0">
            <w:r w:rsidRPr="001213F7">
              <w:rPr>
                <w:b/>
              </w:rPr>
              <w:t xml:space="preserve">Net result from transactions: </w:t>
            </w:r>
            <w:r w:rsidRPr="001213F7">
              <w:rPr>
                <w:b/>
                <w:i/>
              </w:rPr>
              <w:t>2025</w:t>
            </w:r>
            <w:r w:rsidRPr="001213F7">
              <w:rPr>
                <w:b/>
                <w:i/>
              </w:rPr>
              <w:noBreakHyphen/>
              <w:t>26 Budget Update</w:t>
            </w:r>
          </w:p>
        </w:tc>
        <w:tc>
          <w:tcPr>
            <w:tcW w:w="794" w:type="dxa"/>
          </w:tcPr>
          <w:p w14:paraId="24BF1E61"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rPr>
                <w:b/>
              </w:rPr>
              <w:t>1 943</w:t>
            </w:r>
          </w:p>
        </w:tc>
        <w:tc>
          <w:tcPr>
            <w:tcW w:w="794" w:type="dxa"/>
          </w:tcPr>
          <w:p w14:paraId="52FD2975"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rPr>
                <w:b/>
              </w:rPr>
              <w:t>2 398</w:t>
            </w:r>
          </w:p>
        </w:tc>
        <w:tc>
          <w:tcPr>
            <w:tcW w:w="794" w:type="dxa"/>
          </w:tcPr>
          <w:p w14:paraId="552C4C83"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rPr>
                <w:b/>
              </w:rPr>
              <w:t>1 549</w:t>
            </w:r>
          </w:p>
        </w:tc>
      </w:tr>
      <w:tr w:rsidR="00732BC0" w:rsidRPr="001213F7" w14:paraId="546D4A7F" w14:textId="77777777">
        <w:tc>
          <w:tcPr>
            <w:cnfStyle w:val="001000000000" w:firstRow="0" w:lastRow="0" w:firstColumn="1" w:lastColumn="0" w:oddVBand="0" w:evenVBand="0" w:oddHBand="0" w:evenHBand="0" w:firstRowFirstColumn="0" w:firstRowLastColumn="0" w:lastRowFirstColumn="0" w:lastRowLastColumn="0"/>
            <w:tcW w:w="5328" w:type="dxa"/>
          </w:tcPr>
          <w:p w14:paraId="11E7136D" w14:textId="77777777" w:rsidR="00732BC0" w:rsidRPr="001213F7" w:rsidRDefault="00732BC0">
            <w:r w:rsidRPr="001213F7">
              <w:rPr>
                <w:b/>
              </w:rPr>
              <w:t>Policy variations</w:t>
            </w:r>
          </w:p>
        </w:tc>
        <w:tc>
          <w:tcPr>
            <w:tcW w:w="794" w:type="dxa"/>
          </w:tcPr>
          <w:p w14:paraId="68E0FE4F"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p>
        </w:tc>
        <w:tc>
          <w:tcPr>
            <w:tcW w:w="794" w:type="dxa"/>
          </w:tcPr>
          <w:p w14:paraId="1A890201"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p>
        </w:tc>
        <w:tc>
          <w:tcPr>
            <w:tcW w:w="794" w:type="dxa"/>
          </w:tcPr>
          <w:p w14:paraId="151EAA05"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p>
        </w:tc>
      </w:tr>
      <w:tr w:rsidR="00732BC0" w:rsidRPr="001213F7" w14:paraId="069F55F7" w14:textId="77777777">
        <w:tc>
          <w:tcPr>
            <w:cnfStyle w:val="001000000000" w:firstRow="0" w:lastRow="0" w:firstColumn="1" w:lastColumn="0" w:oddVBand="0" w:evenVBand="0" w:oddHBand="0" w:evenHBand="0" w:firstRowFirstColumn="0" w:firstRowLastColumn="0" w:lastRowFirstColumn="0" w:lastRowLastColumn="0"/>
            <w:tcW w:w="5328" w:type="dxa"/>
          </w:tcPr>
          <w:p w14:paraId="7FCFCB51" w14:textId="77777777" w:rsidR="00732BC0" w:rsidRPr="001213F7" w:rsidRDefault="00732BC0">
            <w:r w:rsidRPr="001213F7">
              <w:t xml:space="preserve">     Revenue policy initiatives</w:t>
            </w:r>
          </w:p>
        </w:tc>
        <w:tc>
          <w:tcPr>
            <w:tcW w:w="794" w:type="dxa"/>
          </w:tcPr>
          <w:p w14:paraId="61B7D2D1"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(2)</w:t>
            </w:r>
          </w:p>
        </w:tc>
        <w:tc>
          <w:tcPr>
            <w:tcW w:w="794" w:type="dxa"/>
          </w:tcPr>
          <w:p w14:paraId="641F8772"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w:t>
            </w:r>
          </w:p>
        </w:tc>
        <w:tc>
          <w:tcPr>
            <w:tcW w:w="794" w:type="dxa"/>
          </w:tcPr>
          <w:p w14:paraId="289C135B"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(7)</w:t>
            </w:r>
          </w:p>
        </w:tc>
      </w:tr>
      <w:tr w:rsidR="00732BC0" w:rsidRPr="001213F7" w14:paraId="3E4FBC56" w14:textId="77777777">
        <w:tc>
          <w:tcPr>
            <w:cnfStyle w:val="001000000000" w:firstRow="0" w:lastRow="0" w:firstColumn="1" w:lastColumn="0" w:oddVBand="0" w:evenVBand="0" w:oddHBand="0" w:evenHBand="0" w:firstRowFirstColumn="0" w:firstRowLastColumn="0" w:lastRowFirstColumn="0" w:lastRowLastColumn="0"/>
            <w:tcW w:w="5328" w:type="dxa"/>
            <w:tcBorders>
              <w:bottom w:val="single" w:sz="6" w:space="0" w:color="auto"/>
            </w:tcBorders>
          </w:tcPr>
          <w:p w14:paraId="29B19848" w14:textId="77777777" w:rsidR="00732BC0" w:rsidRPr="001213F7" w:rsidRDefault="00732BC0">
            <w:r w:rsidRPr="001213F7">
              <w:t xml:space="preserve">     Output policy initiatives </w:t>
            </w:r>
            <w:r w:rsidRPr="001213F7">
              <w:rPr>
                <w:vertAlign w:val="superscript"/>
              </w:rPr>
              <w:t>(b)</w:t>
            </w:r>
          </w:p>
        </w:tc>
        <w:tc>
          <w:tcPr>
            <w:tcW w:w="794" w:type="dxa"/>
            <w:tcBorders>
              <w:bottom w:val="single" w:sz="6" w:space="0" w:color="auto"/>
            </w:tcBorders>
          </w:tcPr>
          <w:p w14:paraId="1D2BDACD"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(3 574)</w:t>
            </w:r>
          </w:p>
        </w:tc>
        <w:tc>
          <w:tcPr>
            <w:tcW w:w="794" w:type="dxa"/>
            <w:tcBorders>
              <w:bottom w:val="single" w:sz="6" w:space="0" w:color="auto"/>
            </w:tcBorders>
          </w:tcPr>
          <w:p w14:paraId="36759961"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(1 438)</w:t>
            </w:r>
          </w:p>
        </w:tc>
        <w:tc>
          <w:tcPr>
            <w:tcW w:w="794" w:type="dxa"/>
            <w:tcBorders>
              <w:bottom w:val="single" w:sz="6" w:space="0" w:color="auto"/>
            </w:tcBorders>
          </w:tcPr>
          <w:p w14:paraId="5889ECD6"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(1 592)</w:t>
            </w:r>
          </w:p>
        </w:tc>
      </w:tr>
      <w:tr w:rsidR="00732BC0" w:rsidRPr="001213F7" w14:paraId="1F17EB08" w14:textId="77777777">
        <w:tc>
          <w:tcPr>
            <w:cnfStyle w:val="001000000000" w:firstRow="0" w:lastRow="0" w:firstColumn="1" w:lastColumn="0" w:oddVBand="0" w:evenVBand="0" w:oddHBand="0" w:evenHBand="0" w:firstRowFirstColumn="0" w:firstRowLastColumn="0" w:lastRowFirstColumn="0" w:lastRowLastColumn="0"/>
            <w:tcW w:w="5328" w:type="dxa"/>
            <w:tcBorders>
              <w:top w:val="single" w:sz="6" w:space="0" w:color="auto"/>
            </w:tcBorders>
          </w:tcPr>
          <w:p w14:paraId="13F90CFB" w14:textId="77777777" w:rsidR="00732BC0" w:rsidRPr="001213F7" w:rsidRDefault="00732BC0"/>
        </w:tc>
        <w:tc>
          <w:tcPr>
            <w:tcW w:w="794" w:type="dxa"/>
            <w:tcBorders>
              <w:top w:val="single" w:sz="6" w:space="0" w:color="auto"/>
            </w:tcBorders>
          </w:tcPr>
          <w:p w14:paraId="5473B593"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rPr>
                <w:b/>
              </w:rPr>
              <w:t>(3 576)</w:t>
            </w:r>
          </w:p>
        </w:tc>
        <w:tc>
          <w:tcPr>
            <w:tcW w:w="794" w:type="dxa"/>
            <w:tcBorders>
              <w:top w:val="single" w:sz="6" w:space="0" w:color="auto"/>
            </w:tcBorders>
          </w:tcPr>
          <w:p w14:paraId="7609B1AC"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rPr>
                <w:b/>
              </w:rPr>
              <w:t>(1 438)</w:t>
            </w:r>
          </w:p>
        </w:tc>
        <w:tc>
          <w:tcPr>
            <w:tcW w:w="794" w:type="dxa"/>
            <w:tcBorders>
              <w:top w:val="single" w:sz="6" w:space="0" w:color="auto"/>
            </w:tcBorders>
          </w:tcPr>
          <w:p w14:paraId="6CF21B8D"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rPr>
                <w:b/>
              </w:rPr>
              <w:t>(1 599)</w:t>
            </w:r>
          </w:p>
        </w:tc>
      </w:tr>
      <w:tr w:rsidR="00732BC0" w:rsidRPr="001213F7" w14:paraId="58966FF3" w14:textId="77777777">
        <w:tc>
          <w:tcPr>
            <w:cnfStyle w:val="001000000000" w:firstRow="0" w:lastRow="0" w:firstColumn="1" w:lastColumn="0" w:oddVBand="0" w:evenVBand="0" w:oddHBand="0" w:evenHBand="0" w:firstRowFirstColumn="0" w:firstRowLastColumn="0" w:lastRowFirstColumn="0" w:lastRowLastColumn="0"/>
            <w:tcW w:w="5328" w:type="dxa"/>
          </w:tcPr>
          <w:p w14:paraId="73A060A7" w14:textId="77777777" w:rsidR="00732BC0" w:rsidRPr="001213F7" w:rsidRDefault="00732BC0">
            <w:r w:rsidRPr="001213F7">
              <w:rPr>
                <w:b/>
              </w:rPr>
              <w:t>Economic/demographic variations</w:t>
            </w:r>
          </w:p>
        </w:tc>
        <w:tc>
          <w:tcPr>
            <w:tcW w:w="794" w:type="dxa"/>
          </w:tcPr>
          <w:p w14:paraId="6AA8E332"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p>
        </w:tc>
        <w:tc>
          <w:tcPr>
            <w:tcW w:w="794" w:type="dxa"/>
          </w:tcPr>
          <w:p w14:paraId="6C20F12B"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p>
        </w:tc>
        <w:tc>
          <w:tcPr>
            <w:tcW w:w="794" w:type="dxa"/>
          </w:tcPr>
          <w:p w14:paraId="46D0F010"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p>
        </w:tc>
      </w:tr>
      <w:tr w:rsidR="00732BC0" w:rsidRPr="001213F7" w14:paraId="46BB023D" w14:textId="77777777">
        <w:tc>
          <w:tcPr>
            <w:cnfStyle w:val="001000000000" w:firstRow="0" w:lastRow="0" w:firstColumn="1" w:lastColumn="0" w:oddVBand="0" w:evenVBand="0" w:oddHBand="0" w:evenHBand="0" w:firstRowFirstColumn="0" w:firstRowLastColumn="0" w:lastRowFirstColumn="0" w:lastRowLastColumn="0"/>
            <w:tcW w:w="5328" w:type="dxa"/>
          </w:tcPr>
          <w:p w14:paraId="1E51AAD3" w14:textId="77777777" w:rsidR="00732BC0" w:rsidRPr="001213F7" w:rsidRDefault="00732BC0">
            <w:r w:rsidRPr="001213F7">
              <w:t xml:space="preserve">     Taxation</w:t>
            </w:r>
          </w:p>
        </w:tc>
        <w:tc>
          <w:tcPr>
            <w:tcW w:w="794" w:type="dxa"/>
          </w:tcPr>
          <w:p w14:paraId="3E13298F"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(876)</w:t>
            </w:r>
          </w:p>
        </w:tc>
        <w:tc>
          <w:tcPr>
            <w:tcW w:w="794" w:type="dxa"/>
          </w:tcPr>
          <w:p w14:paraId="002E22AD"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(474)</w:t>
            </w:r>
          </w:p>
        </w:tc>
        <w:tc>
          <w:tcPr>
            <w:tcW w:w="794" w:type="dxa"/>
          </w:tcPr>
          <w:p w14:paraId="04F50484"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(443)</w:t>
            </w:r>
          </w:p>
        </w:tc>
      </w:tr>
      <w:tr w:rsidR="00732BC0" w:rsidRPr="001213F7" w14:paraId="081CC0EA" w14:textId="77777777">
        <w:tc>
          <w:tcPr>
            <w:cnfStyle w:val="001000000000" w:firstRow="0" w:lastRow="0" w:firstColumn="1" w:lastColumn="0" w:oddVBand="0" w:evenVBand="0" w:oddHBand="0" w:evenHBand="0" w:firstRowFirstColumn="0" w:firstRowLastColumn="0" w:lastRowFirstColumn="0" w:lastRowLastColumn="0"/>
            <w:tcW w:w="5328" w:type="dxa"/>
            <w:tcBorders>
              <w:bottom w:val="single" w:sz="6" w:space="0" w:color="auto"/>
            </w:tcBorders>
          </w:tcPr>
          <w:p w14:paraId="0F51AE8C" w14:textId="77777777" w:rsidR="00732BC0" w:rsidRPr="001213F7" w:rsidRDefault="00732BC0">
            <w:r w:rsidRPr="001213F7">
              <w:t xml:space="preserve">     Investment income </w:t>
            </w:r>
            <w:r w:rsidRPr="001213F7">
              <w:rPr>
                <w:vertAlign w:val="superscript"/>
              </w:rPr>
              <w:t>(c)</w:t>
            </w:r>
          </w:p>
        </w:tc>
        <w:tc>
          <w:tcPr>
            <w:tcW w:w="794" w:type="dxa"/>
            <w:tcBorders>
              <w:bottom w:val="single" w:sz="6" w:space="0" w:color="auto"/>
            </w:tcBorders>
          </w:tcPr>
          <w:p w14:paraId="4BA1F006"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659</w:t>
            </w:r>
          </w:p>
        </w:tc>
        <w:tc>
          <w:tcPr>
            <w:tcW w:w="794" w:type="dxa"/>
            <w:tcBorders>
              <w:bottom w:val="single" w:sz="6" w:space="0" w:color="auto"/>
            </w:tcBorders>
          </w:tcPr>
          <w:p w14:paraId="1E81F4BE"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(39)</w:t>
            </w:r>
          </w:p>
        </w:tc>
        <w:tc>
          <w:tcPr>
            <w:tcW w:w="794" w:type="dxa"/>
            <w:tcBorders>
              <w:bottom w:val="single" w:sz="6" w:space="0" w:color="auto"/>
            </w:tcBorders>
          </w:tcPr>
          <w:p w14:paraId="7A96D956"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772</w:t>
            </w:r>
          </w:p>
        </w:tc>
      </w:tr>
      <w:tr w:rsidR="00732BC0" w:rsidRPr="001213F7" w14:paraId="3C08D6D8" w14:textId="77777777">
        <w:tc>
          <w:tcPr>
            <w:cnfStyle w:val="001000000000" w:firstRow="0" w:lastRow="0" w:firstColumn="1" w:lastColumn="0" w:oddVBand="0" w:evenVBand="0" w:oddHBand="0" w:evenHBand="0" w:firstRowFirstColumn="0" w:firstRowLastColumn="0" w:lastRowFirstColumn="0" w:lastRowLastColumn="0"/>
            <w:tcW w:w="5328" w:type="dxa"/>
            <w:tcBorders>
              <w:top w:val="single" w:sz="6" w:space="0" w:color="auto"/>
            </w:tcBorders>
          </w:tcPr>
          <w:p w14:paraId="52219079" w14:textId="77777777" w:rsidR="00732BC0" w:rsidRPr="001213F7" w:rsidRDefault="00732BC0"/>
        </w:tc>
        <w:tc>
          <w:tcPr>
            <w:tcW w:w="794" w:type="dxa"/>
            <w:tcBorders>
              <w:top w:val="single" w:sz="6" w:space="0" w:color="auto"/>
            </w:tcBorders>
          </w:tcPr>
          <w:p w14:paraId="6CB04606"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rPr>
                <w:b/>
              </w:rPr>
              <w:t>(216)</w:t>
            </w:r>
          </w:p>
        </w:tc>
        <w:tc>
          <w:tcPr>
            <w:tcW w:w="794" w:type="dxa"/>
            <w:tcBorders>
              <w:top w:val="single" w:sz="6" w:space="0" w:color="auto"/>
            </w:tcBorders>
          </w:tcPr>
          <w:p w14:paraId="417B4CBD"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rPr>
                <w:b/>
              </w:rPr>
              <w:t>(513)</w:t>
            </w:r>
          </w:p>
        </w:tc>
        <w:tc>
          <w:tcPr>
            <w:tcW w:w="794" w:type="dxa"/>
            <w:tcBorders>
              <w:top w:val="single" w:sz="6" w:space="0" w:color="auto"/>
            </w:tcBorders>
          </w:tcPr>
          <w:p w14:paraId="323BD28A"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rPr>
                <w:b/>
              </w:rPr>
              <w:t>329</w:t>
            </w:r>
          </w:p>
        </w:tc>
      </w:tr>
      <w:tr w:rsidR="00732BC0" w:rsidRPr="001213F7" w14:paraId="3DEE3CFB" w14:textId="77777777">
        <w:tc>
          <w:tcPr>
            <w:cnfStyle w:val="001000000000" w:firstRow="0" w:lastRow="0" w:firstColumn="1" w:lastColumn="0" w:oddVBand="0" w:evenVBand="0" w:oddHBand="0" w:evenHBand="0" w:firstRowFirstColumn="0" w:firstRowLastColumn="0" w:lastRowFirstColumn="0" w:lastRowLastColumn="0"/>
            <w:tcW w:w="5328" w:type="dxa"/>
          </w:tcPr>
          <w:p w14:paraId="3A26E6B9" w14:textId="77777777" w:rsidR="00732BC0" w:rsidRPr="001213F7" w:rsidRDefault="00732BC0">
            <w:r w:rsidRPr="001213F7">
              <w:rPr>
                <w:b/>
              </w:rPr>
              <w:t>Commonwealth grant variations</w:t>
            </w:r>
          </w:p>
        </w:tc>
        <w:tc>
          <w:tcPr>
            <w:tcW w:w="794" w:type="dxa"/>
          </w:tcPr>
          <w:p w14:paraId="016E2146"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p>
        </w:tc>
        <w:tc>
          <w:tcPr>
            <w:tcW w:w="794" w:type="dxa"/>
          </w:tcPr>
          <w:p w14:paraId="78FF3AA4"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p>
        </w:tc>
        <w:tc>
          <w:tcPr>
            <w:tcW w:w="794" w:type="dxa"/>
          </w:tcPr>
          <w:p w14:paraId="727998F7"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p>
        </w:tc>
      </w:tr>
      <w:tr w:rsidR="00732BC0" w:rsidRPr="001213F7" w14:paraId="0E977554" w14:textId="77777777">
        <w:tc>
          <w:tcPr>
            <w:cnfStyle w:val="001000000000" w:firstRow="0" w:lastRow="0" w:firstColumn="1" w:lastColumn="0" w:oddVBand="0" w:evenVBand="0" w:oddHBand="0" w:evenHBand="0" w:firstRowFirstColumn="0" w:firstRowLastColumn="0" w:lastRowFirstColumn="0" w:lastRowLastColumn="0"/>
            <w:tcW w:w="5328" w:type="dxa"/>
          </w:tcPr>
          <w:p w14:paraId="77A64FC2" w14:textId="77777777" w:rsidR="00732BC0" w:rsidRPr="001213F7" w:rsidRDefault="00732BC0">
            <w:r w:rsidRPr="001213F7">
              <w:t xml:space="preserve">     General purpose grants</w:t>
            </w:r>
          </w:p>
        </w:tc>
        <w:tc>
          <w:tcPr>
            <w:tcW w:w="794" w:type="dxa"/>
          </w:tcPr>
          <w:p w14:paraId="424EB8DE"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1 912</w:t>
            </w:r>
          </w:p>
        </w:tc>
        <w:tc>
          <w:tcPr>
            <w:tcW w:w="794" w:type="dxa"/>
          </w:tcPr>
          <w:p w14:paraId="6116EBFF"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1 163</w:t>
            </w:r>
          </w:p>
        </w:tc>
        <w:tc>
          <w:tcPr>
            <w:tcW w:w="794" w:type="dxa"/>
          </w:tcPr>
          <w:p w14:paraId="47687D30"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608</w:t>
            </w:r>
          </w:p>
        </w:tc>
      </w:tr>
      <w:tr w:rsidR="00732BC0" w:rsidRPr="001213F7" w14:paraId="1DD0676D" w14:textId="77777777">
        <w:tc>
          <w:tcPr>
            <w:cnfStyle w:val="001000000000" w:firstRow="0" w:lastRow="0" w:firstColumn="1" w:lastColumn="0" w:oddVBand="0" w:evenVBand="0" w:oddHBand="0" w:evenHBand="0" w:firstRowFirstColumn="0" w:firstRowLastColumn="0" w:lastRowFirstColumn="0" w:lastRowLastColumn="0"/>
            <w:tcW w:w="5328" w:type="dxa"/>
            <w:tcBorders>
              <w:bottom w:val="single" w:sz="6" w:space="0" w:color="auto"/>
            </w:tcBorders>
          </w:tcPr>
          <w:p w14:paraId="637CD7A7" w14:textId="77777777" w:rsidR="00732BC0" w:rsidRPr="001213F7" w:rsidRDefault="00732BC0">
            <w:r w:rsidRPr="001213F7">
              <w:t xml:space="preserve">     Specific purpose grants </w:t>
            </w:r>
            <w:r w:rsidRPr="001213F7">
              <w:rPr>
                <w:vertAlign w:val="superscript"/>
              </w:rPr>
              <w:t>(d)</w:t>
            </w:r>
          </w:p>
        </w:tc>
        <w:tc>
          <w:tcPr>
            <w:tcW w:w="794" w:type="dxa"/>
            <w:tcBorders>
              <w:bottom w:val="single" w:sz="6" w:space="0" w:color="auto"/>
            </w:tcBorders>
          </w:tcPr>
          <w:p w14:paraId="476A0E17"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1 567</w:t>
            </w:r>
          </w:p>
        </w:tc>
        <w:tc>
          <w:tcPr>
            <w:tcW w:w="794" w:type="dxa"/>
            <w:tcBorders>
              <w:bottom w:val="single" w:sz="6" w:space="0" w:color="auto"/>
            </w:tcBorders>
          </w:tcPr>
          <w:p w14:paraId="4AAB5BD3"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1 145</w:t>
            </w:r>
          </w:p>
        </w:tc>
        <w:tc>
          <w:tcPr>
            <w:tcW w:w="794" w:type="dxa"/>
            <w:tcBorders>
              <w:bottom w:val="single" w:sz="6" w:space="0" w:color="auto"/>
            </w:tcBorders>
          </w:tcPr>
          <w:p w14:paraId="2AEE94D5"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3 148</w:t>
            </w:r>
          </w:p>
        </w:tc>
      </w:tr>
      <w:tr w:rsidR="00732BC0" w:rsidRPr="001213F7" w14:paraId="0C183F0C" w14:textId="77777777">
        <w:tc>
          <w:tcPr>
            <w:cnfStyle w:val="001000000000" w:firstRow="0" w:lastRow="0" w:firstColumn="1" w:lastColumn="0" w:oddVBand="0" w:evenVBand="0" w:oddHBand="0" w:evenHBand="0" w:firstRowFirstColumn="0" w:firstRowLastColumn="0" w:lastRowFirstColumn="0" w:lastRowLastColumn="0"/>
            <w:tcW w:w="5328" w:type="dxa"/>
            <w:tcBorders>
              <w:top w:val="single" w:sz="6" w:space="0" w:color="auto"/>
            </w:tcBorders>
          </w:tcPr>
          <w:p w14:paraId="5F1C9557" w14:textId="77777777" w:rsidR="00732BC0" w:rsidRPr="001213F7" w:rsidRDefault="00732BC0"/>
        </w:tc>
        <w:tc>
          <w:tcPr>
            <w:tcW w:w="794" w:type="dxa"/>
            <w:tcBorders>
              <w:top w:val="single" w:sz="6" w:space="0" w:color="auto"/>
            </w:tcBorders>
          </w:tcPr>
          <w:p w14:paraId="669A1527"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rPr>
                <w:b/>
              </w:rPr>
              <w:t>3 480</w:t>
            </w:r>
          </w:p>
        </w:tc>
        <w:tc>
          <w:tcPr>
            <w:tcW w:w="794" w:type="dxa"/>
            <w:tcBorders>
              <w:top w:val="single" w:sz="6" w:space="0" w:color="auto"/>
            </w:tcBorders>
          </w:tcPr>
          <w:p w14:paraId="402A5E3F"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rPr>
                <w:b/>
              </w:rPr>
              <w:t>2 308</w:t>
            </w:r>
          </w:p>
        </w:tc>
        <w:tc>
          <w:tcPr>
            <w:tcW w:w="794" w:type="dxa"/>
            <w:tcBorders>
              <w:top w:val="single" w:sz="6" w:space="0" w:color="auto"/>
            </w:tcBorders>
          </w:tcPr>
          <w:p w14:paraId="346E7200"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rPr>
                <w:b/>
              </w:rPr>
              <w:t>3 756</w:t>
            </w:r>
          </w:p>
        </w:tc>
      </w:tr>
      <w:tr w:rsidR="00732BC0" w:rsidRPr="001213F7" w14:paraId="7B35ED08" w14:textId="77777777">
        <w:tc>
          <w:tcPr>
            <w:cnfStyle w:val="001000000000" w:firstRow="0" w:lastRow="0" w:firstColumn="1" w:lastColumn="0" w:oddVBand="0" w:evenVBand="0" w:oddHBand="0" w:evenHBand="0" w:firstRowFirstColumn="0" w:firstRowLastColumn="0" w:lastRowFirstColumn="0" w:lastRowLastColumn="0"/>
            <w:tcW w:w="5328" w:type="dxa"/>
          </w:tcPr>
          <w:p w14:paraId="1937690F" w14:textId="77777777" w:rsidR="00732BC0" w:rsidRPr="001213F7" w:rsidRDefault="00732BC0">
            <w:r w:rsidRPr="001213F7">
              <w:rPr>
                <w:b/>
              </w:rPr>
              <w:t>Administrative variations</w:t>
            </w:r>
          </w:p>
        </w:tc>
        <w:tc>
          <w:tcPr>
            <w:tcW w:w="794" w:type="dxa"/>
          </w:tcPr>
          <w:p w14:paraId="7DC612AD"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p>
        </w:tc>
        <w:tc>
          <w:tcPr>
            <w:tcW w:w="794" w:type="dxa"/>
          </w:tcPr>
          <w:p w14:paraId="32C779D3"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p>
        </w:tc>
        <w:tc>
          <w:tcPr>
            <w:tcW w:w="794" w:type="dxa"/>
          </w:tcPr>
          <w:p w14:paraId="29995A9C"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p>
        </w:tc>
      </w:tr>
      <w:tr w:rsidR="00732BC0" w:rsidRPr="001213F7" w14:paraId="0A1A42D5" w14:textId="77777777">
        <w:tc>
          <w:tcPr>
            <w:cnfStyle w:val="001000000000" w:firstRow="0" w:lastRow="0" w:firstColumn="1" w:lastColumn="0" w:oddVBand="0" w:evenVBand="0" w:oddHBand="0" w:evenHBand="0" w:firstRowFirstColumn="0" w:firstRowLastColumn="0" w:lastRowFirstColumn="0" w:lastRowLastColumn="0"/>
            <w:tcW w:w="5328" w:type="dxa"/>
          </w:tcPr>
          <w:p w14:paraId="5ED34E5B" w14:textId="77777777" w:rsidR="00732BC0" w:rsidRPr="001213F7" w:rsidRDefault="00732BC0">
            <w:r w:rsidRPr="001213F7">
              <w:t xml:space="preserve">     Contingency offset for new policy initiatives </w:t>
            </w:r>
            <w:r w:rsidRPr="001213F7">
              <w:rPr>
                <w:vertAlign w:val="superscript"/>
              </w:rPr>
              <w:t>(e)</w:t>
            </w:r>
          </w:p>
        </w:tc>
        <w:tc>
          <w:tcPr>
            <w:tcW w:w="794" w:type="dxa"/>
          </w:tcPr>
          <w:p w14:paraId="6B71DC09"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550</w:t>
            </w:r>
          </w:p>
        </w:tc>
        <w:tc>
          <w:tcPr>
            <w:tcW w:w="794" w:type="dxa"/>
          </w:tcPr>
          <w:p w14:paraId="0A134374"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350</w:t>
            </w:r>
          </w:p>
        </w:tc>
        <w:tc>
          <w:tcPr>
            <w:tcW w:w="794" w:type="dxa"/>
          </w:tcPr>
          <w:p w14:paraId="200F681F"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300</w:t>
            </w:r>
          </w:p>
        </w:tc>
      </w:tr>
      <w:tr w:rsidR="00732BC0" w:rsidRPr="001213F7" w14:paraId="52CDFA68" w14:textId="77777777">
        <w:tc>
          <w:tcPr>
            <w:cnfStyle w:val="001000000000" w:firstRow="0" w:lastRow="0" w:firstColumn="1" w:lastColumn="0" w:oddVBand="0" w:evenVBand="0" w:oddHBand="0" w:evenHBand="0" w:firstRowFirstColumn="0" w:firstRowLastColumn="0" w:lastRowFirstColumn="0" w:lastRowLastColumn="0"/>
            <w:tcW w:w="5328" w:type="dxa"/>
            <w:tcBorders>
              <w:bottom w:val="single" w:sz="6" w:space="0" w:color="auto"/>
            </w:tcBorders>
          </w:tcPr>
          <w:p w14:paraId="2C82A97E" w14:textId="77777777" w:rsidR="00732BC0" w:rsidRPr="001213F7" w:rsidRDefault="00732BC0">
            <w:r w:rsidRPr="001213F7">
              <w:t xml:space="preserve">     Other administrative variations</w:t>
            </w:r>
          </w:p>
        </w:tc>
        <w:tc>
          <w:tcPr>
            <w:tcW w:w="794" w:type="dxa"/>
            <w:tcBorders>
              <w:bottom w:val="single" w:sz="6" w:space="0" w:color="auto"/>
            </w:tcBorders>
          </w:tcPr>
          <w:p w14:paraId="2BACFE86"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(1 133)</w:t>
            </w:r>
          </w:p>
        </w:tc>
        <w:tc>
          <w:tcPr>
            <w:tcW w:w="794" w:type="dxa"/>
            <w:tcBorders>
              <w:bottom w:val="single" w:sz="6" w:space="0" w:color="auto"/>
            </w:tcBorders>
          </w:tcPr>
          <w:p w14:paraId="26AD138D"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(1 241)</w:t>
            </w:r>
          </w:p>
        </w:tc>
        <w:tc>
          <w:tcPr>
            <w:tcW w:w="794" w:type="dxa"/>
            <w:tcBorders>
              <w:bottom w:val="single" w:sz="6" w:space="0" w:color="auto"/>
            </w:tcBorders>
          </w:tcPr>
          <w:p w14:paraId="58D3DCE4"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(2 398)</w:t>
            </w:r>
          </w:p>
        </w:tc>
      </w:tr>
      <w:tr w:rsidR="00732BC0" w:rsidRPr="001213F7" w14:paraId="05E95128" w14:textId="77777777">
        <w:tc>
          <w:tcPr>
            <w:cnfStyle w:val="001000000000" w:firstRow="0" w:lastRow="0" w:firstColumn="1" w:lastColumn="0" w:oddVBand="0" w:evenVBand="0" w:oddHBand="0" w:evenHBand="0" w:firstRowFirstColumn="0" w:firstRowLastColumn="0" w:lastRowFirstColumn="0" w:lastRowLastColumn="0"/>
            <w:tcW w:w="5328" w:type="dxa"/>
            <w:tcBorders>
              <w:top w:val="single" w:sz="6" w:space="0" w:color="auto"/>
            </w:tcBorders>
          </w:tcPr>
          <w:p w14:paraId="430C50FB" w14:textId="77777777" w:rsidR="00732BC0" w:rsidRPr="001213F7" w:rsidRDefault="00732BC0"/>
        </w:tc>
        <w:tc>
          <w:tcPr>
            <w:tcW w:w="794" w:type="dxa"/>
            <w:tcBorders>
              <w:top w:val="single" w:sz="6" w:space="0" w:color="auto"/>
            </w:tcBorders>
          </w:tcPr>
          <w:p w14:paraId="4A8B87EC"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rPr>
                <w:b/>
              </w:rPr>
              <w:t>(583)</w:t>
            </w:r>
          </w:p>
        </w:tc>
        <w:tc>
          <w:tcPr>
            <w:tcW w:w="794" w:type="dxa"/>
            <w:tcBorders>
              <w:top w:val="single" w:sz="6" w:space="0" w:color="auto"/>
            </w:tcBorders>
          </w:tcPr>
          <w:p w14:paraId="65EA414C"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rPr>
                <w:b/>
              </w:rPr>
              <w:t>(891)</w:t>
            </w:r>
          </w:p>
        </w:tc>
        <w:tc>
          <w:tcPr>
            <w:tcW w:w="794" w:type="dxa"/>
            <w:tcBorders>
              <w:top w:val="single" w:sz="6" w:space="0" w:color="auto"/>
            </w:tcBorders>
          </w:tcPr>
          <w:p w14:paraId="66D7F545"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rPr>
                <w:b/>
              </w:rPr>
              <w:t>(2 098)</w:t>
            </w:r>
          </w:p>
        </w:tc>
      </w:tr>
      <w:tr w:rsidR="00732BC0" w:rsidRPr="001213F7" w14:paraId="592884C5" w14:textId="77777777">
        <w:trPr>
          <w:trHeight w:hRule="exact" w:val="113"/>
        </w:trPr>
        <w:tc>
          <w:tcPr>
            <w:cnfStyle w:val="001000000000" w:firstRow="0" w:lastRow="0" w:firstColumn="1" w:lastColumn="0" w:oddVBand="0" w:evenVBand="0" w:oddHBand="0" w:evenHBand="0" w:firstRowFirstColumn="0" w:firstRowLastColumn="0" w:lastRowFirstColumn="0" w:lastRowLastColumn="0"/>
            <w:tcW w:w="5328" w:type="dxa"/>
          </w:tcPr>
          <w:p w14:paraId="62DB0D06" w14:textId="77777777" w:rsidR="00732BC0" w:rsidRPr="001213F7" w:rsidRDefault="00732BC0"/>
        </w:tc>
        <w:tc>
          <w:tcPr>
            <w:tcW w:w="794" w:type="dxa"/>
          </w:tcPr>
          <w:p w14:paraId="088F8071"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p>
        </w:tc>
        <w:tc>
          <w:tcPr>
            <w:tcW w:w="794" w:type="dxa"/>
          </w:tcPr>
          <w:p w14:paraId="043F19B0"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p>
        </w:tc>
        <w:tc>
          <w:tcPr>
            <w:tcW w:w="794" w:type="dxa"/>
          </w:tcPr>
          <w:p w14:paraId="03C935FB"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p>
        </w:tc>
      </w:tr>
      <w:tr w:rsidR="00732BC0" w:rsidRPr="001213F7" w14:paraId="7B7E6ED9" w14:textId="77777777">
        <w:tc>
          <w:tcPr>
            <w:cnfStyle w:val="001000000000" w:firstRow="0" w:lastRow="0" w:firstColumn="1" w:lastColumn="0" w:oddVBand="0" w:evenVBand="0" w:oddHBand="0" w:evenHBand="0" w:firstRowFirstColumn="0" w:firstRowLastColumn="0" w:lastRowFirstColumn="0" w:lastRowLastColumn="0"/>
            <w:tcW w:w="5328" w:type="dxa"/>
            <w:tcBorders>
              <w:bottom w:val="single" w:sz="6" w:space="0" w:color="auto"/>
            </w:tcBorders>
          </w:tcPr>
          <w:p w14:paraId="027A6851" w14:textId="77777777" w:rsidR="00732BC0" w:rsidRPr="001213F7" w:rsidRDefault="00732BC0">
            <w:r w:rsidRPr="001213F7">
              <w:rPr>
                <w:b/>
              </w:rPr>
              <w:t xml:space="preserve">Total variation since </w:t>
            </w:r>
            <w:r w:rsidRPr="001213F7">
              <w:rPr>
                <w:b/>
                <w:i/>
              </w:rPr>
              <w:t>2025</w:t>
            </w:r>
            <w:r w:rsidRPr="001213F7">
              <w:rPr>
                <w:b/>
                <w:i/>
              </w:rPr>
              <w:noBreakHyphen/>
              <w:t>26 Budget Update</w:t>
            </w:r>
          </w:p>
        </w:tc>
        <w:tc>
          <w:tcPr>
            <w:tcW w:w="794" w:type="dxa"/>
            <w:tcBorders>
              <w:bottom w:val="single" w:sz="6" w:space="0" w:color="auto"/>
            </w:tcBorders>
          </w:tcPr>
          <w:p w14:paraId="2D008A5F"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rPr>
                <w:b/>
              </w:rPr>
              <w:t>(896)</w:t>
            </w:r>
          </w:p>
        </w:tc>
        <w:tc>
          <w:tcPr>
            <w:tcW w:w="794" w:type="dxa"/>
            <w:tcBorders>
              <w:bottom w:val="single" w:sz="6" w:space="0" w:color="auto"/>
            </w:tcBorders>
          </w:tcPr>
          <w:p w14:paraId="08C93908"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rPr>
                <w:b/>
              </w:rPr>
              <w:t>(534)</w:t>
            </w:r>
          </w:p>
        </w:tc>
        <w:tc>
          <w:tcPr>
            <w:tcW w:w="794" w:type="dxa"/>
            <w:tcBorders>
              <w:bottom w:val="single" w:sz="6" w:space="0" w:color="auto"/>
            </w:tcBorders>
          </w:tcPr>
          <w:p w14:paraId="2A9D9C35"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rPr>
                <w:b/>
              </w:rPr>
              <w:t>388</w:t>
            </w:r>
          </w:p>
        </w:tc>
      </w:tr>
      <w:tr w:rsidR="00732BC0" w:rsidRPr="001213F7" w14:paraId="7F451683" w14:textId="77777777">
        <w:tc>
          <w:tcPr>
            <w:cnfStyle w:val="001000000000" w:firstRow="0" w:lastRow="0" w:firstColumn="1" w:lastColumn="0" w:oddVBand="0" w:evenVBand="0" w:oddHBand="0" w:evenHBand="0" w:firstRowFirstColumn="0" w:firstRowLastColumn="0" w:lastRowFirstColumn="0" w:lastRowLastColumn="0"/>
            <w:tcW w:w="5328" w:type="dxa"/>
            <w:tcBorders>
              <w:top w:val="single" w:sz="6" w:space="0" w:color="auto"/>
              <w:bottom w:val="single" w:sz="12" w:space="0" w:color="auto"/>
            </w:tcBorders>
          </w:tcPr>
          <w:p w14:paraId="3C6F739E" w14:textId="77777777" w:rsidR="00732BC0" w:rsidRPr="001213F7" w:rsidRDefault="00732BC0">
            <w:r w:rsidRPr="001213F7">
              <w:rPr>
                <w:b/>
              </w:rPr>
              <w:t xml:space="preserve">Net result from transactions: </w:t>
            </w:r>
            <w:r w:rsidRPr="001213F7">
              <w:rPr>
                <w:b/>
                <w:i/>
              </w:rPr>
              <w:t>2026</w:t>
            </w:r>
            <w:r w:rsidRPr="001213F7">
              <w:rPr>
                <w:b/>
                <w:i/>
              </w:rPr>
              <w:noBreakHyphen/>
              <w:t>27 Budget</w:t>
            </w:r>
          </w:p>
        </w:tc>
        <w:tc>
          <w:tcPr>
            <w:tcW w:w="794" w:type="dxa"/>
            <w:tcBorders>
              <w:top w:val="single" w:sz="6" w:space="0" w:color="auto"/>
              <w:bottom w:val="single" w:sz="12" w:space="0" w:color="auto"/>
            </w:tcBorders>
          </w:tcPr>
          <w:p w14:paraId="1AB346BF"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rPr>
                <w:b/>
              </w:rPr>
              <w:t>1 048</w:t>
            </w:r>
          </w:p>
        </w:tc>
        <w:tc>
          <w:tcPr>
            <w:tcW w:w="794" w:type="dxa"/>
            <w:tcBorders>
              <w:top w:val="single" w:sz="6" w:space="0" w:color="auto"/>
              <w:bottom w:val="single" w:sz="12" w:space="0" w:color="auto"/>
            </w:tcBorders>
          </w:tcPr>
          <w:p w14:paraId="6AADD8C3"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rPr>
                <w:b/>
              </w:rPr>
              <w:t>1 864</w:t>
            </w:r>
          </w:p>
        </w:tc>
        <w:tc>
          <w:tcPr>
            <w:tcW w:w="794" w:type="dxa"/>
            <w:tcBorders>
              <w:top w:val="single" w:sz="6" w:space="0" w:color="auto"/>
              <w:bottom w:val="single" w:sz="12" w:space="0" w:color="auto"/>
            </w:tcBorders>
          </w:tcPr>
          <w:p w14:paraId="2A61A6B4"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rPr>
                <w:b/>
              </w:rPr>
              <w:t>1 936</w:t>
            </w:r>
          </w:p>
        </w:tc>
      </w:tr>
    </w:tbl>
    <w:p w14:paraId="187D989A" w14:textId="77777777" w:rsidR="00732BC0" w:rsidRPr="001213F7" w:rsidRDefault="00732BC0" w:rsidP="0023596A">
      <w:pPr>
        <w:pStyle w:val="Note"/>
      </w:pPr>
      <w:r w:rsidRPr="001213F7">
        <w:t>Notes:</w:t>
      </w:r>
    </w:p>
    <w:p w14:paraId="25540CE9" w14:textId="77777777" w:rsidR="00732BC0" w:rsidRPr="001213F7" w:rsidRDefault="00732BC0" w:rsidP="0023596A">
      <w:pPr>
        <w:pStyle w:val="Note"/>
      </w:pPr>
      <w:r w:rsidRPr="001213F7">
        <w:t xml:space="preserve">(a) </w:t>
      </w:r>
      <w:r w:rsidRPr="001213F7">
        <w:tab/>
        <w:t>Figures in this table are rounded to the nearest million and may not add up to totals.</w:t>
      </w:r>
    </w:p>
    <w:p w14:paraId="24800CA1" w14:textId="77777777" w:rsidR="00732BC0" w:rsidRPr="001213F7" w:rsidRDefault="00732BC0" w:rsidP="0023596A">
      <w:pPr>
        <w:pStyle w:val="Note"/>
      </w:pPr>
      <w:r w:rsidRPr="001213F7">
        <w:t>(b)</w:t>
      </w:r>
      <w:r w:rsidRPr="001213F7">
        <w:tab/>
        <w:t xml:space="preserve">This is represented in Table 4.4 as the </w:t>
      </w:r>
      <w:r w:rsidRPr="001213F7">
        <w:rPr>
          <w:i w:val="0"/>
          <w:iCs/>
        </w:rPr>
        <w:t>2026-27</w:t>
      </w:r>
      <w:r w:rsidRPr="001213F7">
        <w:rPr>
          <w:i w:val="0"/>
        </w:rPr>
        <w:t xml:space="preserve"> Budget</w:t>
      </w:r>
      <w:r w:rsidRPr="001213F7">
        <w:t xml:space="preserve"> output policy initiatives.</w:t>
      </w:r>
    </w:p>
    <w:p w14:paraId="5F7148FD" w14:textId="77777777" w:rsidR="00732BC0" w:rsidRPr="001213F7" w:rsidRDefault="00732BC0" w:rsidP="0023596A">
      <w:pPr>
        <w:pStyle w:val="Note"/>
      </w:pPr>
      <w:r w:rsidRPr="001213F7">
        <w:t>(c)</w:t>
      </w:r>
      <w:r w:rsidRPr="001213F7">
        <w:tab/>
        <w:t xml:space="preserve">Comprises dividends and income tax and rate equivalent revenue. </w:t>
      </w:r>
    </w:p>
    <w:p w14:paraId="1809FD36" w14:textId="345B3DDC" w:rsidR="00732BC0" w:rsidRPr="001213F7" w:rsidRDefault="00732BC0" w:rsidP="0023596A">
      <w:pPr>
        <w:pStyle w:val="Note"/>
      </w:pPr>
      <w:r w:rsidRPr="001213F7">
        <w:t>(d)</w:t>
      </w:r>
      <w:r w:rsidRPr="001213F7">
        <w:tab/>
        <w:t xml:space="preserve">Reflects the change in grant revenue as per Note 1.2.4 of Budget Paper No. 5, Chapter 1 </w:t>
      </w:r>
      <w:r w:rsidRPr="001213F7">
        <w:rPr>
          <w:i w:val="0"/>
        </w:rPr>
        <w:t xml:space="preserve">Estimated </w:t>
      </w:r>
      <w:r w:rsidR="00514650" w:rsidRPr="001213F7">
        <w:rPr>
          <w:i w:val="0"/>
        </w:rPr>
        <w:t xml:space="preserve">financial statements </w:t>
      </w:r>
      <w:r w:rsidRPr="001213F7">
        <w:rPr>
          <w:i w:val="0"/>
        </w:rPr>
        <w:t>for the general government sector</w:t>
      </w:r>
      <w:r w:rsidRPr="001213F7">
        <w:t xml:space="preserve"> less associated expense movements.</w:t>
      </w:r>
    </w:p>
    <w:p w14:paraId="5243B84A" w14:textId="66A0DCAE" w:rsidR="00732BC0" w:rsidRPr="001213F7" w:rsidRDefault="00732BC0" w:rsidP="0023596A">
      <w:pPr>
        <w:pStyle w:val="Note"/>
      </w:pPr>
      <w:r w:rsidRPr="001213F7">
        <w:t>(e)</w:t>
      </w:r>
      <w:r w:rsidRPr="001213F7">
        <w:tab/>
        <w:t xml:space="preserve">Represents releases from the provisions for future services demand allocation included in the </w:t>
      </w:r>
      <w:r w:rsidRPr="001213F7">
        <w:rPr>
          <w:i w:val="0"/>
        </w:rPr>
        <w:t>2026-27 Budget</w:t>
      </w:r>
      <w:r w:rsidRPr="001213F7">
        <w:t xml:space="preserve"> new output initiatives. Further information on total output contingencies can be found at Note 1.3.7 of Budget Paper No. 5, Chapter 1 </w:t>
      </w:r>
      <w:r w:rsidRPr="001213F7">
        <w:rPr>
          <w:i w:val="0"/>
        </w:rPr>
        <w:t xml:space="preserve">Estimated </w:t>
      </w:r>
      <w:r w:rsidR="00514650" w:rsidRPr="001213F7">
        <w:rPr>
          <w:i w:val="0"/>
        </w:rPr>
        <w:t xml:space="preserve">financial statements </w:t>
      </w:r>
      <w:r w:rsidRPr="001213F7">
        <w:rPr>
          <w:i w:val="0"/>
        </w:rPr>
        <w:t>for the general government sector</w:t>
      </w:r>
      <w:r w:rsidRPr="001213F7">
        <w:t xml:space="preserve">. </w:t>
      </w:r>
    </w:p>
    <w:p w14:paraId="0B01C727" w14:textId="77777777" w:rsidR="00732BC0" w:rsidRPr="001213F7" w:rsidRDefault="00732BC0" w:rsidP="0023596A">
      <w:pPr>
        <w:pStyle w:val="Heading3"/>
        <w:pageBreakBefore/>
      </w:pPr>
      <w:r w:rsidRPr="001213F7">
        <w:lastRenderedPageBreak/>
        <w:t>Policy variations</w:t>
      </w:r>
    </w:p>
    <w:p w14:paraId="5E41D598" w14:textId="77777777" w:rsidR="00732BC0" w:rsidRPr="001213F7" w:rsidRDefault="00732BC0" w:rsidP="0023596A">
      <w:r w:rsidRPr="001213F7">
        <w:t xml:space="preserve">Policy variations reflect specific initiatives by the Government that have a fiscal impact and are related to a new policy or represent a change in the Government’s existing policy position since the </w:t>
      </w:r>
      <w:r w:rsidRPr="001213F7">
        <w:rPr>
          <w:rFonts w:cstheme="minorHAnsi"/>
          <w:i/>
          <w:iCs/>
        </w:rPr>
        <w:t>2025-26</w:t>
      </w:r>
      <w:r w:rsidRPr="001213F7">
        <w:rPr>
          <w:rFonts w:cstheme="minorHAnsi"/>
          <w:i/>
        </w:rPr>
        <w:t xml:space="preserve"> </w:t>
      </w:r>
      <w:r w:rsidRPr="001213F7">
        <w:rPr>
          <w:i/>
          <w:iCs/>
        </w:rPr>
        <w:t>Budget Update</w:t>
      </w:r>
      <w:r w:rsidRPr="001213F7">
        <w:t>.</w:t>
      </w:r>
    </w:p>
    <w:p w14:paraId="1EAC0B6D" w14:textId="77777777" w:rsidR="00732BC0" w:rsidRPr="001213F7" w:rsidRDefault="00732BC0" w:rsidP="0023596A">
      <w:r w:rsidRPr="001213F7">
        <w:t xml:space="preserve">The </w:t>
      </w:r>
      <w:r w:rsidRPr="001213F7">
        <w:rPr>
          <w:i/>
        </w:rPr>
        <w:t>2026</w:t>
      </w:r>
      <w:r w:rsidRPr="001213F7">
        <w:rPr>
          <w:i/>
        </w:rPr>
        <w:noBreakHyphen/>
        <w:t>27 Budget</w:t>
      </w:r>
      <w:r w:rsidRPr="001213F7">
        <w:t xml:space="preserve"> funds $13.8 billion in new output initiatives over the five years to 2029-30. Table 4.4 shows the impact of the new output initiatives in this budget from 2026-27 to 2029-30.</w:t>
      </w:r>
    </w:p>
    <w:p w14:paraId="493F1AF5" w14:textId="77777777" w:rsidR="00732BC0" w:rsidRPr="001213F7" w:rsidRDefault="00732BC0" w:rsidP="0023596A">
      <w:r w:rsidRPr="001213F7">
        <w:t xml:space="preserve">Details of specific new output, savings and revenue policy initiatives are contained in Budget Paper No. 3, Chapter 1 </w:t>
      </w:r>
      <w:r w:rsidRPr="001213F7">
        <w:rPr>
          <w:i/>
        </w:rPr>
        <w:t>Output, asset investment, savings and revenue initiatives</w:t>
      </w:r>
      <w:r w:rsidRPr="001213F7">
        <w:t>.</w:t>
      </w:r>
    </w:p>
    <w:p w14:paraId="14F9F1FD" w14:textId="77777777" w:rsidR="00732BC0" w:rsidRPr="001213F7" w:rsidRDefault="00732BC0">
      <w:pPr>
        <w:pStyle w:val="TableHeading"/>
      </w:pPr>
      <w:r w:rsidRPr="001213F7">
        <w:t xml:space="preserve">Table 4.4: </w:t>
      </w:r>
      <w:r w:rsidRPr="001213F7">
        <w:tab/>
        <w:t xml:space="preserve">Net impact of the </w:t>
      </w:r>
      <w:r w:rsidRPr="001213F7">
        <w:rPr>
          <w:i/>
          <w:iCs w:val="0"/>
        </w:rPr>
        <w:t>2026-27 Budget</w:t>
      </w:r>
      <w:r w:rsidRPr="001213F7">
        <w:t xml:space="preserve"> new output initiatives </w:t>
      </w:r>
      <w:r w:rsidRPr="001213F7">
        <w:rPr>
          <w:vertAlign w:val="superscript"/>
        </w:rPr>
        <w:t>(a)</w:t>
      </w:r>
      <w:r w:rsidRPr="001213F7">
        <w:tab/>
        <w:t>($ million)</w:t>
      </w:r>
    </w:p>
    <w:tbl>
      <w:tblPr>
        <w:tblStyle w:val="DTFTableNumeric"/>
        <w:tblW w:w="7710" w:type="dxa"/>
        <w:tblLayout w:type="fixed"/>
        <w:tblLook w:val="06A0" w:firstRow="1" w:lastRow="0" w:firstColumn="1" w:lastColumn="0" w:noHBand="1" w:noVBand="1"/>
        <w:tblDescription w:val="Type:DtfTable|Workbook:https://vicgov.sharepoint.com/sites/VG002735/BP2/Spreadsheets/Link_BP2_Chapter4.xlsx|Table:NetImpactOfNewInitiatives"/>
      </w:tblPr>
      <w:tblGrid>
        <w:gridCol w:w="4534"/>
        <w:gridCol w:w="794"/>
        <w:gridCol w:w="794"/>
        <w:gridCol w:w="794"/>
        <w:gridCol w:w="794"/>
      </w:tblGrid>
      <w:tr w:rsidR="00BB676E" w:rsidRPr="001213F7" w14:paraId="2AD269B9"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534" w:type="dxa"/>
          </w:tcPr>
          <w:p w14:paraId="0833DB55" w14:textId="77777777" w:rsidR="00BB676E" w:rsidRPr="001213F7" w:rsidRDefault="00BB676E">
            <w:pPr>
              <w:keepNext/>
            </w:pPr>
          </w:p>
        </w:tc>
        <w:tc>
          <w:tcPr>
            <w:tcW w:w="794" w:type="dxa"/>
          </w:tcPr>
          <w:p w14:paraId="48720C18" w14:textId="77777777" w:rsidR="00BB676E" w:rsidRPr="001213F7" w:rsidRDefault="00BB676E">
            <w:pPr>
              <w:keepNext/>
              <w:cnfStyle w:val="100000000000" w:firstRow="1" w:lastRow="0" w:firstColumn="0" w:lastColumn="0" w:oddVBand="0" w:evenVBand="0" w:oddHBand="0" w:evenHBand="0" w:firstRowFirstColumn="0" w:firstRowLastColumn="0" w:lastRowFirstColumn="0" w:lastRowLastColumn="0"/>
            </w:pPr>
            <w:r w:rsidRPr="001213F7">
              <w:t>2026</w:t>
            </w:r>
            <w:r w:rsidRPr="001213F7">
              <w:noBreakHyphen/>
              <w:t>27</w:t>
            </w:r>
          </w:p>
        </w:tc>
        <w:tc>
          <w:tcPr>
            <w:tcW w:w="794" w:type="dxa"/>
          </w:tcPr>
          <w:p w14:paraId="5A46C1BE" w14:textId="77777777" w:rsidR="00BB676E" w:rsidRPr="001213F7" w:rsidRDefault="00BB676E">
            <w:pPr>
              <w:keepNext/>
              <w:cnfStyle w:val="100000000000" w:firstRow="1" w:lastRow="0" w:firstColumn="0" w:lastColumn="0" w:oddVBand="0" w:evenVBand="0" w:oddHBand="0" w:evenHBand="0" w:firstRowFirstColumn="0" w:firstRowLastColumn="0" w:lastRowFirstColumn="0" w:lastRowLastColumn="0"/>
            </w:pPr>
            <w:r w:rsidRPr="001213F7">
              <w:t>2027</w:t>
            </w:r>
            <w:r w:rsidRPr="001213F7">
              <w:noBreakHyphen/>
              <w:t>28</w:t>
            </w:r>
          </w:p>
        </w:tc>
        <w:tc>
          <w:tcPr>
            <w:tcW w:w="794" w:type="dxa"/>
          </w:tcPr>
          <w:p w14:paraId="67838BBC" w14:textId="77777777" w:rsidR="00BB676E" w:rsidRPr="001213F7" w:rsidRDefault="00BB676E">
            <w:pPr>
              <w:keepNext/>
              <w:cnfStyle w:val="100000000000" w:firstRow="1" w:lastRow="0" w:firstColumn="0" w:lastColumn="0" w:oddVBand="0" w:evenVBand="0" w:oddHBand="0" w:evenHBand="0" w:firstRowFirstColumn="0" w:firstRowLastColumn="0" w:lastRowFirstColumn="0" w:lastRowLastColumn="0"/>
            </w:pPr>
            <w:r w:rsidRPr="001213F7">
              <w:t>2028</w:t>
            </w:r>
            <w:r w:rsidRPr="001213F7">
              <w:noBreakHyphen/>
              <w:t>29</w:t>
            </w:r>
          </w:p>
        </w:tc>
        <w:tc>
          <w:tcPr>
            <w:tcW w:w="794" w:type="dxa"/>
          </w:tcPr>
          <w:p w14:paraId="3C9492D9" w14:textId="77777777" w:rsidR="00BB676E" w:rsidRPr="001213F7" w:rsidRDefault="00BB676E">
            <w:pPr>
              <w:keepNext/>
              <w:cnfStyle w:val="100000000000" w:firstRow="1" w:lastRow="0" w:firstColumn="0" w:lastColumn="0" w:oddVBand="0" w:evenVBand="0" w:oddHBand="0" w:evenHBand="0" w:firstRowFirstColumn="0" w:firstRowLastColumn="0" w:lastRowFirstColumn="0" w:lastRowLastColumn="0"/>
            </w:pPr>
            <w:r w:rsidRPr="001213F7">
              <w:t>2029</w:t>
            </w:r>
            <w:r w:rsidRPr="001213F7">
              <w:noBreakHyphen/>
              <w:t>30</w:t>
            </w:r>
          </w:p>
        </w:tc>
      </w:tr>
      <w:tr w:rsidR="00BB676E" w:rsidRPr="001213F7" w14:paraId="7BE98334"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534" w:type="dxa"/>
          </w:tcPr>
          <w:p w14:paraId="652E9E58" w14:textId="77777777" w:rsidR="00BB676E" w:rsidRPr="001213F7" w:rsidRDefault="00BB676E">
            <w:pPr>
              <w:keepNext/>
            </w:pPr>
          </w:p>
        </w:tc>
        <w:tc>
          <w:tcPr>
            <w:tcW w:w="794" w:type="dxa"/>
          </w:tcPr>
          <w:p w14:paraId="487D8264" w14:textId="77777777" w:rsidR="00BB676E" w:rsidRPr="001213F7" w:rsidRDefault="00BB676E">
            <w:pPr>
              <w:keepNext/>
              <w:cnfStyle w:val="100000000000" w:firstRow="1" w:lastRow="0" w:firstColumn="0" w:lastColumn="0" w:oddVBand="0" w:evenVBand="0" w:oddHBand="0" w:evenHBand="0" w:firstRowFirstColumn="0" w:firstRowLastColumn="0" w:lastRowFirstColumn="0" w:lastRowLastColumn="0"/>
            </w:pPr>
            <w:r w:rsidRPr="001213F7">
              <w:t>budget</w:t>
            </w:r>
          </w:p>
        </w:tc>
        <w:tc>
          <w:tcPr>
            <w:tcW w:w="794" w:type="dxa"/>
          </w:tcPr>
          <w:p w14:paraId="120009CD" w14:textId="77777777" w:rsidR="00BB676E" w:rsidRPr="001213F7" w:rsidRDefault="00BB676E">
            <w:pPr>
              <w:keepNext/>
              <w:cnfStyle w:val="100000000000" w:firstRow="1" w:lastRow="0" w:firstColumn="0" w:lastColumn="0" w:oddVBand="0" w:evenVBand="0" w:oddHBand="0" w:evenHBand="0" w:firstRowFirstColumn="0" w:firstRowLastColumn="0" w:lastRowFirstColumn="0" w:lastRowLastColumn="0"/>
            </w:pPr>
            <w:r w:rsidRPr="001213F7">
              <w:t>estimate</w:t>
            </w:r>
          </w:p>
        </w:tc>
        <w:tc>
          <w:tcPr>
            <w:tcW w:w="794" w:type="dxa"/>
          </w:tcPr>
          <w:p w14:paraId="2684BE4A" w14:textId="77777777" w:rsidR="00BB676E" w:rsidRPr="001213F7" w:rsidRDefault="00BB676E">
            <w:pPr>
              <w:keepNext/>
              <w:cnfStyle w:val="100000000000" w:firstRow="1" w:lastRow="0" w:firstColumn="0" w:lastColumn="0" w:oddVBand="0" w:evenVBand="0" w:oddHBand="0" w:evenHBand="0" w:firstRowFirstColumn="0" w:firstRowLastColumn="0" w:lastRowFirstColumn="0" w:lastRowLastColumn="0"/>
            </w:pPr>
            <w:r w:rsidRPr="001213F7">
              <w:t>estimate</w:t>
            </w:r>
          </w:p>
        </w:tc>
        <w:tc>
          <w:tcPr>
            <w:tcW w:w="794" w:type="dxa"/>
          </w:tcPr>
          <w:p w14:paraId="4D84D4EE" w14:textId="77777777" w:rsidR="00BB676E" w:rsidRPr="001213F7" w:rsidRDefault="00BB676E">
            <w:pPr>
              <w:keepNext/>
              <w:cnfStyle w:val="100000000000" w:firstRow="1" w:lastRow="0" w:firstColumn="0" w:lastColumn="0" w:oddVBand="0" w:evenVBand="0" w:oddHBand="0" w:evenHBand="0" w:firstRowFirstColumn="0" w:firstRowLastColumn="0" w:lastRowFirstColumn="0" w:lastRowLastColumn="0"/>
            </w:pPr>
            <w:r w:rsidRPr="001213F7">
              <w:t>estimate</w:t>
            </w:r>
          </w:p>
        </w:tc>
      </w:tr>
      <w:tr w:rsidR="00BB676E" w:rsidRPr="001213F7" w14:paraId="68AC5FC7" w14:textId="77777777">
        <w:tc>
          <w:tcPr>
            <w:cnfStyle w:val="001000000000" w:firstRow="0" w:lastRow="0" w:firstColumn="1" w:lastColumn="0" w:oddVBand="0" w:evenVBand="0" w:oddHBand="0" w:evenHBand="0" w:firstRowFirstColumn="0" w:firstRowLastColumn="0" w:lastRowFirstColumn="0" w:lastRowLastColumn="0"/>
            <w:tcW w:w="4534" w:type="dxa"/>
          </w:tcPr>
          <w:p w14:paraId="485B4C70" w14:textId="77777777" w:rsidR="00BB676E" w:rsidRPr="001213F7" w:rsidRDefault="00BB676E">
            <w:r w:rsidRPr="001213F7">
              <w:rPr>
                <w:b/>
              </w:rPr>
              <w:t>New output initiatives</w:t>
            </w:r>
          </w:p>
        </w:tc>
        <w:tc>
          <w:tcPr>
            <w:tcW w:w="794" w:type="dxa"/>
          </w:tcPr>
          <w:p w14:paraId="719049EA" w14:textId="77777777" w:rsidR="00BB676E" w:rsidRPr="001213F7" w:rsidRDefault="00BB676E">
            <w:pPr>
              <w:cnfStyle w:val="000000000000" w:firstRow="0" w:lastRow="0" w:firstColumn="0" w:lastColumn="0" w:oddVBand="0" w:evenVBand="0" w:oddHBand="0" w:evenHBand="0" w:firstRowFirstColumn="0" w:firstRowLastColumn="0" w:lastRowFirstColumn="0" w:lastRowLastColumn="0"/>
            </w:pPr>
            <w:r w:rsidRPr="001213F7">
              <w:rPr>
                <w:b/>
              </w:rPr>
              <w:t>4 274</w:t>
            </w:r>
          </w:p>
        </w:tc>
        <w:tc>
          <w:tcPr>
            <w:tcW w:w="794" w:type="dxa"/>
          </w:tcPr>
          <w:p w14:paraId="47707F0F" w14:textId="77777777" w:rsidR="00BB676E" w:rsidRPr="001213F7" w:rsidRDefault="00BB676E">
            <w:pPr>
              <w:cnfStyle w:val="000000000000" w:firstRow="0" w:lastRow="0" w:firstColumn="0" w:lastColumn="0" w:oddVBand="0" w:evenVBand="0" w:oddHBand="0" w:evenHBand="0" w:firstRowFirstColumn="0" w:firstRowLastColumn="0" w:lastRowFirstColumn="0" w:lastRowLastColumn="0"/>
            </w:pPr>
            <w:r w:rsidRPr="001213F7">
              <w:rPr>
                <w:b/>
              </w:rPr>
              <w:t>3 033</w:t>
            </w:r>
          </w:p>
        </w:tc>
        <w:tc>
          <w:tcPr>
            <w:tcW w:w="794" w:type="dxa"/>
          </w:tcPr>
          <w:p w14:paraId="41C72F67" w14:textId="77777777" w:rsidR="00BB676E" w:rsidRPr="001213F7" w:rsidRDefault="00BB676E">
            <w:pPr>
              <w:cnfStyle w:val="000000000000" w:firstRow="0" w:lastRow="0" w:firstColumn="0" w:lastColumn="0" w:oddVBand="0" w:evenVBand="0" w:oddHBand="0" w:evenHBand="0" w:firstRowFirstColumn="0" w:firstRowLastColumn="0" w:lastRowFirstColumn="0" w:lastRowLastColumn="0"/>
            </w:pPr>
            <w:r w:rsidRPr="001213F7">
              <w:rPr>
                <w:b/>
              </w:rPr>
              <w:t>2 332</w:t>
            </w:r>
          </w:p>
        </w:tc>
        <w:tc>
          <w:tcPr>
            <w:tcW w:w="794" w:type="dxa"/>
          </w:tcPr>
          <w:p w14:paraId="11724ACD" w14:textId="77777777" w:rsidR="00BB676E" w:rsidRPr="001213F7" w:rsidRDefault="00BB676E">
            <w:pPr>
              <w:cnfStyle w:val="000000000000" w:firstRow="0" w:lastRow="0" w:firstColumn="0" w:lastColumn="0" w:oddVBand="0" w:evenVBand="0" w:oddHBand="0" w:evenHBand="0" w:firstRowFirstColumn="0" w:firstRowLastColumn="0" w:lastRowFirstColumn="0" w:lastRowLastColumn="0"/>
            </w:pPr>
            <w:r w:rsidRPr="001213F7">
              <w:rPr>
                <w:b/>
              </w:rPr>
              <w:t>2 254</w:t>
            </w:r>
          </w:p>
        </w:tc>
      </w:tr>
      <w:tr w:rsidR="00BB676E" w:rsidRPr="001213F7" w14:paraId="7485B9BC" w14:textId="77777777">
        <w:tc>
          <w:tcPr>
            <w:cnfStyle w:val="001000000000" w:firstRow="0" w:lastRow="0" w:firstColumn="1" w:lastColumn="0" w:oddVBand="0" w:evenVBand="0" w:oddHBand="0" w:evenHBand="0" w:firstRowFirstColumn="0" w:firstRowLastColumn="0" w:lastRowFirstColumn="0" w:lastRowLastColumn="0"/>
            <w:tcW w:w="4534" w:type="dxa"/>
          </w:tcPr>
          <w:p w14:paraId="37E3562C" w14:textId="77777777" w:rsidR="00BB676E" w:rsidRPr="001213F7" w:rsidRDefault="00BB676E">
            <w:r w:rsidRPr="001213F7">
              <w:t>Less:</w:t>
            </w:r>
          </w:p>
        </w:tc>
        <w:tc>
          <w:tcPr>
            <w:tcW w:w="794" w:type="dxa"/>
          </w:tcPr>
          <w:p w14:paraId="276D99A5" w14:textId="77777777" w:rsidR="00BB676E" w:rsidRPr="001213F7" w:rsidRDefault="00BB676E">
            <w:pPr>
              <w:cnfStyle w:val="000000000000" w:firstRow="0" w:lastRow="0" w:firstColumn="0" w:lastColumn="0" w:oddVBand="0" w:evenVBand="0" w:oddHBand="0" w:evenHBand="0" w:firstRowFirstColumn="0" w:firstRowLastColumn="0" w:lastRowFirstColumn="0" w:lastRowLastColumn="0"/>
            </w:pPr>
          </w:p>
        </w:tc>
        <w:tc>
          <w:tcPr>
            <w:tcW w:w="794" w:type="dxa"/>
          </w:tcPr>
          <w:p w14:paraId="32AC299B" w14:textId="77777777" w:rsidR="00BB676E" w:rsidRPr="001213F7" w:rsidRDefault="00BB676E">
            <w:pPr>
              <w:cnfStyle w:val="000000000000" w:firstRow="0" w:lastRow="0" w:firstColumn="0" w:lastColumn="0" w:oddVBand="0" w:evenVBand="0" w:oddHBand="0" w:evenHBand="0" w:firstRowFirstColumn="0" w:firstRowLastColumn="0" w:lastRowFirstColumn="0" w:lastRowLastColumn="0"/>
            </w:pPr>
          </w:p>
        </w:tc>
        <w:tc>
          <w:tcPr>
            <w:tcW w:w="794" w:type="dxa"/>
          </w:tcPr>
          <w:p w14:paraId="11C4F0E9" w14:textId="77777777" w:rsidR="00BB676E" w:rsidRPr="001213F7" w:rsidRDefault="00BB676E">
            <w:pPr>
              <w:cnfStyle w:val="000000000000" w:firstRow="0" w:lastRow="0" w:firstColumn="0" w:lastColumn="0" w:oddVBand="0" w:evenVBand="0" w:oddHBand="0" w:evenHBand="0" w:firstRowFirstColumn="0" w:firstRowLastColumn="0" w:lastRowFirstColumn="0" w:lastRowLastColumn="0"/>
            </w:pPr>
          </w:p>
        </w:tc>
        <w:tc>
          <w:tcPr>
            <w:tcW w:w="794" w:type="dxa"/>
          </w:tcPr>
          <w:p w14:paraId="4B5AC6B4" w14:textId="77777777" w:rsidR="00BB676E" w:rsidRPr="001213F7" w:rsidRDefault="00BB676E">
            <w:pPr>
              <w:cnfStyle w:val="000000000000" w:firstRow="0" w:lastRow="0" w:firstColumn="0" w:lastColumn="0" w:oddVBand="0" w:evenVBand="0" w:oddHBand="0" w:evenHBand="0" w:firstRowFirstColumn="0" w:firstRowLastColumn="0" w:lastRowFirstColumn="0" w:lastRowLastColumn="0"/>
            </w:pPr>
          </w:p>
        </w:tc>
      </w:tr>
      <w:tr w:rsidR="00BB676E" w:rsidRPr="001213F7" w14:paraId="1AB0764D" w14:textId="77777777">
        <w:tc>
          <w:tcPr>
            <w:cnfStyle w:val="001000000000" w:firstRow="0" w:lastRow="0" w:firstColumn="1" w:lastColumn="0" w:oddVBand="0" w:evenVBand="0" w:oddHBand="0" w:evenHBand="0" w:firstRowFirstColumn="0" w:firstRowLastColumn="0" w:lastRowFirstColumn="0" w:lastRowLastColumn="0"/>
            <w:tcW w:w="4534" w:type="dxa"/>
          </w:tcPr>
          <w:p w14:paraId="4933530A" w14:textId="77777777" w:rsidR="00BB676E" w:rsidRPr="001213F7" w:rsidRDefault="00BB676E">
            <w:r w:rsidRPr="001213F7">
              <w:t xml:space="preserve">      Reprioritisations and revenue offsets </w:t>
            </w:r>
            <w:r w:rsidRPr="001213F7">
              <w:rPr>
                <w:vertAlign w:val="superscript"/>
              </w:rPr>
              <w:t>(b)</w:t>
            </w:r>
          </w:p>
        </w:tc>
        <w:tc>
          <w:tcPr>
            <w:tcW w:w="794" w:type="dxa"/>
          </w:tcPr>
          <w:p w14:paraId="51057648" w14:textId="77777777" w:rsidR="00BB676E" w:rsidRPr="001213F7" w:rsidRDefault="00BB676E">
            <w:pPr>
              <w:cnfStyle w:val="000000000000" w:firstRow="0" w:lastRow="0" w:firstColumn="0" w:lastColumn="0" w:oddVBand="0" w:evenVBand="0" w:oddHBand="0" w:evenHBand="0" w:firstRowFirstColumn="0" w:firstRowLastColumn="0" w:lastRowFirstColumn="0" w:lastRowLastColumn="0"/>
            </w:pPr>
            <w:r w:rsidRPr="001213F7">
              <w:t>432</w:t>
            </w:r>
          </w:p>
        </w:tc>
        <w:tc>
          <w:tcPr>
            <w:tcW w:w="794" w:type="dxa"/>
          </w:tcPr>
          <w:p w14:paraId="59978537" w14:textId="77777777" w:rsidR="00BB676E" w:rsidRPr="001213F7" w:rsidRDefault="00BB676E">
            <w:pPr>
              <w:cnfStyle w:val="000000000000" w:firstRow="0" w:lastRow="0" w:firstColumn="0" w:lastColumn="0" w:oddVBand="0" w:evenVBand="0" w:oddHBand="0" w:evenHBand="0" w:firstRowFirstColumn="0" w:firstRowLastColumn="0" w:lastRowFirstColumn="0" w:lastRowLastColumn="0"/>
            </w:pPr>
            <w:r w:rsidRPr="001213F7">
              <w:t>159</w:t>
            </w:r>
          </w:p>
        </w:tc>
        <w:tc>
          <w:tcPr>
            <w:tcW w:w="794" w:type="dxa"/>
          </w:tcPr>
          <w:p w14:paraId="24DE7FC0" w14:textId="77777777" w:rsidR="00BB676E" w:rsidRPr="001213F7" w:rsidRDefault="00BB676E">
            <w:pPr>
              <w:cnfStyle w:val="000000000000" w:firstRow="0" w:lastRow="0" w:firstColumn="0" w:lastColumn="0" w:oddVBand="0" w:evenVBand="0" w:oddHBand="0" w:evenHBand="0" w:firstRowFirstColumn="0" w:firstRowLastColumn="0" w:lastRowFirstColumn="0" w:lastRowLastColumn="0"/>
            </w:pPr>
            <w:r w:rsidRPr="001213F7">
              <w:t>70</w:t>
            </w:r>
          </w:p>
        </w:tc>
        <w:tc>
          <w:tcPr>
            <w:tcW w:w="794" w:type="dxa"/>
          </w:tcPr>
          <w:p w14:paraId="06D7AA64" w14:textId="77777777" w:rsidR="00BB676E" w:rsidRPr="001213F7" w:rsidRDefault="00BB676E">
            <w:pPr>
              <w:cnfStyle w:val="000000000000" w:firstRow="0" w:lastRow="0" w:firstColumn="0" w:lastColumn="0" w:oddVBand="0" w:evenVBand="0" w:oddHBand="0" w:evenHBand="0" w:firstRowFirstColumn="0" w:firstRowLastColumn="0" w:lastRowFirstColumn="0" w:lastRowLastColumn="0"/>
            </w:pPr>
            <w:r w:rsidRPr="001213F7">
              <w:t>139</w:t>
            </w:r>
          </w:p>
        </w:tc>
      </w:tr>
      <w:tr w:rsidR="00BB676E" w:rsidRPr="001213F7" w14:paraId="47B4DED5" w14:textId="77777777">
        <w:tc>
          <w:tcPr>
            <w:cnfStyle w:val="001000000000" w:firstRow="0" w:lastRow="0" w:firstColumn="1" w:lastColumn="0" w:oddVBand="0" w:evenVBand="0" w:oddHBand="0" w:evenHBand="0" w:firstRowFirstColumn="0" w:firstRowLastColumn="0" w:lastRowFirstColumn="0" w:lastRowLastColumn="0"/>
            <w:tcW w:w="4534" w:type="dxa"/>
          </w:tcPr>
          <w:p w14:paraId="7EB735BF" w14:textId="77777777" w:rsidR="00BB676E" w:rsidRPr="001213F7" w:rsidRDefault="00BB676E">
            <w:r w:rsidRPr="001213F7">
              <w:t xml:space="preserve">      Adjustments </w:t>
            </w:r>
            <w:r w:rsidRPr="001213F7">
              <w:rPr>
                <w:vertAlign w:val="superscript"/>
              </w:rPr>
              <w:t>(c)</w:t>
            </w:r>
          </w:p>
        </w:tc>
        <w:tc>
          <w:tcPr>
            <w:tcW w:w="794" w:type="dxa"/>
          </w:tcPr>
          <w:p w14:paraId="5595CF0E" w14:textId="77777777" w:rsidR="00BB676E" w:rsidRPr="001213F7" w:rsidRDefault="00BB676E">
            <w:pPr>
              <w:cnfStyle w:val="000000000000" w:firstRow="0" w:lastRow="0" w:firstColumn="0" w:lastColumn="0" w:oddVBand="0" w:evenVBand="0" w:oddHBand="0" w:evenHBand="0" w:firstRowFirstColumn="0" w:firstRowLastColumn="0" w:lastRowFirstColumn="0" w:lastRowLastColumn="0"/>
            </w:pPr>
            <w:r w:rsidRPr="001213F7">
              <w:t>231</w:t>
            </w:r>
          </w:p>
        </w:tc>
        <w:tc>
          <w:tcPr>
            <w:tcW w:w="794" w:type="dxa"/>
          </w:tcPr>
          <w:p w14:paraId="6F3530DD" w14:textId="77777777" w:rsidR="00BB676E" w:rsidRPr="001213F7" w:rsidRDefault="00BB676E">
            <w:pPr>
              <w:cnfStyle w:val="000000000000" w:firstRow="0" w:lastRow="0" w:firstColumn="0" w:lastColumn="0" w:oddVBand="0" w:evenVBand="0" w:oddHBand="0" w:evenHBand="0" w:firstRowFirstColumn="0" w:firstRowLastColumn="0" w:lastRowFirstColumn="0" w:lastRowLastColumn="0"/>
            </w:pPr>
            <w:r w:rsidRPr="001213F7">
              <w:t>1 216</w:t>
            </w:r>
          </w:p>
        </w:tc>
        <w:tc>
          <w:tcPr>
            <w:tcW w:w="794" w:type="dxa"/>
          </w:tcPr>
          <w:p w14:paraId="66A073E3" w14:textId="77777777" w:rsidR="00BB676E" w:rsidRPr="001213F7" w:rsidRDefault="00BB676E">
            <w:pPr>
              <w:cnfStyle w:val="000000000000" w:firstRow="0" w:lastRow="0" w:firstColumn="0" w:lastColumn="0" w:oddVBand="0" w:evenVBand="0" w:oddHBand="0" w:evenHBand="0" w:firstRowFirstColumn="0" w:firstRowLastColumn="0" w:lastRowFirstColumn="0" w:lastRowLastColumn="0"/>
            </w:pPr>
            <w:r w:rsidRPr="001213F7">
              <w:t>502</w:t>
            </w:r>
          </w:p>
        </w:tc>
        <w:tc>
          <w:tcPr>
            <w:tcW w:w="794" w:type="dxa"/>
          </w:tcPr>
          <w:p w14:paraId="348AB0FE" w14:textId="77777777" w:rsidR="00BB676E" w:rsidRPr="001213F7" w:rsidRDefault="00BB676E">
            <w:pPr>
              <w:cnfStyle w:val="000000000000" w:firstRow="0" w:lastRow="0" w:firstColumn="0" w:lastColumn="0" w:oddVBand="0" w:evenVBand="0" w:oddHBand="0" w:evenHBand="0" w:firstRowFirstColumn="0" w:firstRowLastColumn="0" w:lastRowFirstColumn="0" w:lastRowLastColumn="0"/>
            </w:pPr>
            <w:r w:rsidRPr="001213F7">
              <w:t>321</w:t>
            </w:r>
          </w:p>
        </w:tc>
      </w:tr>
      <w:tr w:rsidR="00BB676E" w:rsidRPr="001213F7" w14:paraId="741A1CF5" w14:textId="77777777">
        <w:tc>
          <w:tcPr>
            <w:cnfStyle w:val="001000000000" w:firstRow="0" w:lastRow="0" w:firstColumn="1" w:lastColumn="0" w:oddVBand="0" w:evenVBand="0" w:oddHBand="0" w:evenHBand="0" w:firstRowFirstColumn="0" w:firstRowLastColumn="0" w:lastRowFirstColumn="0" w:lastRowLastColumn="0"/>
            <w:tcW w:w="4534" w:type="dxa"/>
            <w:tcBorders>
              <w:bottom w:val="single" w:sz="6" w:space="0" w:color="auto"/>
            </w:tcBorders>
          </w:tcPr>
          <w:p w14:paraId="00D57410" w14:textId="77777777" w:rsidR="00BB676E" w:rsidRPr="001213F7" w:rsidRDefault="00BB676E">
            <w:r w:rsidRPr="001213F7">
              <w:t xml:space="preserve">      Savings </w:t>
            </w:r>
            <w:r w:rsidRPr="001213F7">
              <w:rPr>
                <w:vertAlign w:val="superscript"/>
              </w:rPr>
              <w:t>(d)</w:t>
            </w:r>
          </w:p>
        </w:tc>
        <w:tc>
          <w:tcPr>
            <w:tcW w:w="794" w:type="dxa"/>
            <w:tcBorders>
              <w:bottom w:val="single" w:sz="6" w:space="0" w:color="auto"/>
            </w:tcBorders>
          </w:tcPr>
          <w:p w14:paraId="17D245C2" w14:textId="77777777" w:rsidR="00BB676E" w:rsidRPr="001213F7" w:rsidRDefault="00BB676E">
            <w:pPr>
              <w:cnfStyle w:val="000000000000" w:firstRow="0" w:lastRow="0" w:firstColumn="0" w:lastColumn="0" w:oddVBand="0" w:evenVBand="0" w:oddHBand="0" w:evenHBand="0" w:firstRowFirstColumn="0" w:firstRowLastColumn="0" w:lastRowFirstColumn="0" w:lastRowLastColumn="0"/>
            </w:pPr>
            <w:r w:rsidRPr="001213F7">
              <w:t>38</w:t>
            </w:r>
          </w:p>
        </w:tc>
        <w:tc>
          <w:tcPr>
            <w:tcW w:w="794" w:type="dxa"/>
            <w:tcBorders>
              <w:bottom w:val="single" w:sz="6" w:space="0" w:color="auto"/>
            </w:tcBorders>
          </w:tcPr>
          <w:p w14:paraId="78CAE2F0" w14:textId="77777777" w:rsidR="00BB676E" w:rsidRPr="001213F7" w:rsidRDefault="00BB676E">
            <w:pPr>
              <w:cnfStyle w:val="000000000000" w:firstRow="0" w:lastRow="0" w:firstColumn="0" w:lastColumn="0" w:oddVBand="0" w:evenVBand="0" w:oddHBand="0" w:evenHBand="0" w:firstRowFirstColumn="0" w:firstRowLastColumn="0" w:lastRowFirstColumn="0" w:lastRowLastColumn="0"/>
            </w:pPr>
            <w:r w:rsidRPr="001213F7">
              <w:t>220</w:t>
            </w:r>
          </w:p>
        </w:tc>
        <w:tc>
          <w:tcPr>
            <w:tcW w:w="794" w:type="dxa"/>
            <w:tcBorders>
              <w:bottom w:val="single" w:sz="6" w:space="0" w:color="auto"/>
            </w:tcBorders>
          </w:tcPr>
          <w:p w14:paraId="1A711720" w14:textId="77777777" w:rsidR="00BB676E" w:rsidRPr="001213F7" w:rsidRDefault="00BB676E">
            <w:pPr>
              <w:cnfStyle w:val="000000000000" w:firstRow="0" w:lastRow="0" w:firstColumn="0" w:lastColumn="0" w:oddVBand="0" w:evenVBand="0" w:oddHBand="0" w:evenHBand="0" w:firstRowFirstColumn="0" w:firstRowLastColumn="0" w:lastRowFirstColumn="0" w:lastRowLastColumn="0"/>
            </w:pPr>
            <w:r w:rsidRPr="001213F7">
              <w:t>167</w:t>
            </w:r>
          </w:p>
        </w:tc>
        <w:tc>
          <w:tcPr>
            <w:tcW w:w="794" w:type="dxa"/>
            <w:tcBorders>
              <w:bottom w:val="single" w:sz="6" w:space="0" w:color="auto"/>
            </w:tcBorders>
          </w:tcPr>
          <w:p w14:paraId="7F90E124" w14:textId="77777777" w:rsidR="00BB676E" w:rsidRPr="001213F7" w:rsidRDefault="00BB676E">
            <w:pPr>
              <w:cnfStyle w:val="000000000000" w:firstRow="0" w:lastRow="0" w:firstColumn="0" w:lastColumn="0" w:oddVBand="0" w:evenVBand="0" w:oddHBand="0" w:evenHBand="0" w:firstRowFirstColumn="0" w:firstRowLastColumn="0" w:lastRowFirstColumn="0" w:lastRowLastColumn="0"/>
            </w:pPr>
            <w:r w:rsidRPr="001213F7">
              <w:t>183</w:t>
            </w:r>
          </w:p>
        </w:tc>
      </w:tr>
      <w:tr w:rsidR="00BB676E" w:rsidRPr="001213F7" w14:paraId="51826DAE" w14:textId="77777777">
        <w:tc>
          <w:tcPr>
            <w:cnfStyle w:val="001000000000" w:firstRow="0" w:lastRow="0" w:firstColumn="1" w:lastColumn="0" w:oddVBand="0" w:evenVBand="0" w:oddHBand="0" w:evenHBand="0" w:firstRowFirstColumn="0" w:firstRowLastColumn="0" w:lastRowFirstColumn="0" w:lastRowLastColumn="0"/>
            <w:tcW w:w="4534" w:type="dxa"/>
            <w:tcBorders>
              <w:top w:val="single" w:sz="6" w:space="0" w:color="auto"/>
              <w:bottom w:val="single" w:sz="6" w:space="0" w:color="auto"/>
            </w:tcBorders>
          </w:tcPr>
          <w:p w14:paraId="28D5DF03" w14:textId="77777777" w:rsidR="00BB676E" w:rsidRPr="001213F7" w:rsidRDefault="00BB676E">
            <w:r w:rsidRPr="001213F7">
              <w:rPr>
                <w:b/>
                <w:i/>
              </w:rPr>
              <w:t>2026</w:t>
            </w:r>
            <w:r w:rsidRPr="001213F7">
              <w:rPr>
                <w:b/>
                <w:i/>
              </w:rPr>
              <w:noBreakHyphen/>
              <w:t>27 Budget</w:t>
            </w:r>
            <w:r w:rsidRPr="001213F7">
              <w:rPr>
                <w:b/>
              </w:rPr>
              <w:t xml:space="preserve"> output policy initiatives</w:t>
            </w:r>
          </w:p>
        </w:tc>
        <w:tc>
          <w:tcPr>
            <w:tcW w:w="794" w:type="dxa"/>
            <w:tcBorders>
              <w:top w:val="single" w:sz="6" w:space="0" w:color="auto"/>
              <w:bottom w:val="single" w:sz="6" w:space="0" w:color="auto"/>
            </w:tcBorders>
          </w:tcPr>
          <w:p w14:paraId="2FD9413F" w14:textId="77777777" w:rsidR="00BB676E" w:rsidRPr="001213F7" w:rsidRDefault="00BB676E">
            <w:pPr>
              <w:cnfStyle w:val="000000000000" w:firstRow="0" w:lastRow="0" w:firstColumn="0" w:lastColumn="0" w:oddVBand="0" w:evenVBand="0" w:oddHBand="0" w:evenHBand="0" w:firstRowFirstColumn="0" w:firstRowLastColumn="0" w:lastRowFirstColumn="0" w:lastRowLastColumn="0"/>
            </w:pPr>
            <w:r w:rsidRPr="001213F7">
              <w:rPr>
                <w:b/>
              </w:rPr>
              <w:t>3 574</w:t>
            </w:r>
          </w:p>
        </w:tc>
        <w:tc>
          <w:tcPr>
            <w:tcW w:w="794" w:type="dxa"/>
            <w:tcBorders>
              <w:top w:val="single" w:sz="6" w:space="0" w:color="auto"/>
              <w:bottom w:val="single" w:sz="6" w:space="0" w:color="auto"/>
            </w:tcBorders>
          </w:tcPr>
          <w:p w14:paraId="3CA8C87B" w14:textId="77777777" w:rsidR="00BB676E" w:rsidRPr="001213F7" w:rsidRDefault="00BB676E">
            <w:pPr>
              <w:cnfStyle w:val="000000000000" w:firstRow="0" w:lastRow="0" w:firstColumn="0" w:lastColumn="0" w:oddVBand="0" w:evenVBand="0" w:oddHBand="0" w:evenHBand="0" w:firstRowFirstColumn="0" w:firstRowLastColumn="0" w:lastRowFirstColumn="0" w:lastRowLastColumn="0"/>
            </w:pPr>
            <w:r w:rsidRPr="001213F7">
              <w:rPr>
                <w:b/>
              </w:rPr>
              <w:t>1 438</w:t>
            </w:r>
          </w:p>
        </w:tc>
        <w:tc>
          <w:tcPr>
            <w:tcW w:w="794" w:type="dxa"/>
            <w:tcBorders>
              <w:top w:val="single" w:sz="6" w:space="0" w:color="auto"/>
              <w:bottom w:val="single" w:sz="6" w:space="0" w:color="auto"/>
            </w:tcBorders>
          </w:tcPr>
          <w:p w14:paraId="321FF22C" w14:textId="77777777" w:rsidR="00BB676E" w:rsidRPr="001213F7" w:rsidRDefault="00BB676E">
            <w:pPr>
              <w:cnfStyle w:val="000000000000" w:firstRow="0" w:lastRow="0" w:firstColumn="0" w:lastColumn="0" w:oddVBand="0" w:evenVBand="0" w:oddHBand="0" w:evenHBand="0" w:firstRowFirstColumn="0" w:firstRowLastColumn="0" w:lastRowFirstColumn="0" w:lastRowLastColumn="0"/>
            </w:pPr>
            <w:r w:rsidRPr="001213F7">
              <w:rPr>
                <w:b/>
              </w:rPr>
              <w:t>1 592</w:t>
            </w:r>
          </w:p>
        </w:tc>
        <w:tc>
          <w:tcPr>
            <w:tcW w:w="794" w:type="dxa"/>
            <w:tcBorders>
              <w:top w:val="single" w:sz="6" w:space="0" w:color="auto"/>
              <w:bottom w:val="single" w:sz="6" w:space="0" w:color="auto"/>
            </w:tcBorders>
          </w:tcPr>
          <w:p w14:paraId="0E9A5382" w14:textId="77777777" w:rsidR="00BB676E" w:rsidRPr="001213F7" w:rsidRDefault="00BB676E">
            <w:pPr>
              <w:cnfStyle w:val="000000000000" w:firstRow="0" w:lastRow="0" w:firstColumn="0" w:lastColumn="0" w:oddVBand="0" w:evenVBand="0" w:oddHBand="0" w:evenHBand="0" w:firstRowFirstColumn="0" w:firstRowLastColumn="0" w:lastRowFirstColumn="0" w:lastRowLastColumn="0"/>
            </w:pPr>
            <w:r w:rsidRPr="001213F7">
              <w:rPr>
                <w:b/>
              </w:rPr>
              <w:t>1 611</w:t>
            </w:r>
          </w:p>
        </w:tc>
      </w:tr>
      <w:tr w:rsidR="00BB676E" w:rsidRPr="001213F7" w14:paraId="57A6B81F" w14:textId="77777777">
        <w:tc>
          <w:tcPr>
            <w:cnfStyle w:val="001000000000" w:firstRow="0" w:lastRow="0" w:firstColumn="1" w:lastColumn="0" w:oddVBand="0" w:evenVBand="0" w:oddHBand="0" w:evenHBand="0" w:firstRowFirstColumn="0" w:firstRowLastColumn="0" w:lastRowFirstColumn="0" w:lastRowLastColumn="0"/>
            <w:tcW w:w="4534" w:type="dxa"/>
            <w:tcBorders>
              <w:top w:val="single" w:sz="6" w:space="0" w:color="auto"/>
              <w:bottom w:val="single" w:sz="6" w:space="0" w:color="auto"/>
            </w:tcBorders>
          </w:tcPr>
          <w:p w14:paraId="13B682AE" w14:textId="77777777" w:rsidR="00BB676E" w:rsidRPr="001213F7" w:rsidRDefault="00BB676E">
            <w:r w:rsidRPr="001213F7">
              <w:t xml:space="preserve">Less: contingency offset for new policy </w:t>
            </w:r>
            <w:r w:rsidRPr="001213F7">
              <w:rPr>
                <w:vertAlign w:val="superscript"/>
              </w:rPr>
              <w:t>(e)</w:t>
            </w:r>
          </w:p>
        </w:tc>
        <w:tc>
          <w:tcPr>
            <w:tcW w:w="794" w:type="dxa"/>
            <w:tcBorders>
              <w:top w:val="single" w:sz="6" w:space="0" w:color="auto"/>
              <w:bottom w:val="single" w:sz="6" w:space="0" w:color="auto"/>
            </w:tcBorders>
          </w:tcPr>
          <w:p w14:paraId="5BC01836" w14:textId="77777777" w:rsidR="00BB676E" w:rsidRPr="001213F7" w:rsidRDefault="00BB676E">
            <w:pPr>
              <w:cnfStyle w:val="000000000000" w:firstRow="0" w:lastRow="0" w:firstColumn="0" w:lastColumn="0" w:oddVBand="0" w:evenVBand="0" w:oddHBand="0" w:evenHBand="0" w:firstRowFirstColumn="0" w:firstRowLastColumn="0" w:lastRowFirstColumn="0" w:lastRowLastColumn="0"/>
            </w:pPr>
            <w:r w:rsidRPr="001213F7">
              <w:t>550</w:t>
            </w:r>
          </w:p>
        </w:tc>
        <w:tc>
          <w:tcPr>
            <w:tcW w:w="794" w:type="dxa"/>
            <w:tcBorders>
              <w:top w:val="single" w:sz="6" w:space="0" w:color="auto"/>
              <w:bottom w:val="single" w:sz="6" w:space="0" w:color="auto"/>
            </w:tcBorders>
          </w:tcPr>
          <w:p w14:paraId="736DC900" w14:textId="77777777" w:rsidR="00BB676E" w:rsidRPr="001213F7" w:rsidRDefault="00BB676E">
            <w:pPr>
              <w:cnfStyle w:val="000000000000" w:firstRow="0" w:lastRow="0" w:firstColumn="0" w:lastColumn="0" w:oddVBand="0" w:evenVBand="0" w:oddHBand="0" w:evenHBand="0" w:firstRowFirstColumn="0" w:firstRowLastColumn="0" w:lastRowFirstColumn="0" w:lastRowLastColumn="0"/>
            </w:pPr>
            <w:r w:rsidRPr="001213F7">
              <w:t>350</w:t>
            </w:r>
          </w:p>
        </w:tc>
        <w:tc>
          <w:tcPr>
            <w:tcW w:w="794" w:type="dxa"/>
            <w:tcBorders>
              <w:top w:val="single" w:sz="6" w:space="0" w:color="auto"/>
              <w:bottom w:val="single" w:sz="6" w:space="0" w:color="auto"/>
            </w:tcBorders>
          </w:tcPr>
          <w:p w14:paraId="55C4E8BB" w14:textId="77777777" w:rsidR="00BB676E" w:rsidRPr="001213F7" w:rsidRDefault="00BB676E">
            <w:pPr>
              <w:cnfStyle w:val="000000000000" w:firstRow="0" w:lastRow="0" w:firstColumn="0" w:lastColumn="0" w:oddVBand="0" w:evenVBand="0" w:oddHBand="0" w:evenHBand="0" w:firstRowFirstColumn="0" w:firstRowLastColumn="0" w:lastRowFirstColumn="0" w:lastRowLastColumn="0"/>
            </w:pPr>
            <w:r w:rsidRPr="001213F7">
              <w:t>300</w:t>
            </w:r>
          </w:p>
        </w:tc>
        <w:tc>
          <w:tcPr>
            <w:tcW w:w="794" w:type="dxa"/>
            <w:tcBorders>
              <w:top w:val="single" w:sz="6" w:space="0" w:color="auto"/>
              <w:bottom w:val="single" w:sz="6" w:space="0" w:color="auto"/>
            </w:tcBorders>
          </w:tcPr>
          <w:p w14:paraId="7E211EC7" w14:textId="77777777" w:rsidR="00BB676E" w:rsidRPr="001213F7" w:rsidRDefault="00BB676E">
            <w:pPr>
              <w:cnfStyle w:val="000000000000" w:firstRow="0" w:lastRow="0" w:firstColumn="0" w:lastColumn="0" w:oddVBand="0" w:evenVBand="0" w:oddHBand="0" w:evenHBand="0" w:firstRowFirstColumn="0" w:firstRowLastColumn="0" w:lastRowFirstColumn="0" w:lastRowLastColumn="0"/>
            </w:pPr>
            <w:r w:rsidRPr="001213F7">
              <w:t>300</w:t>
            </w:r>
          </w:p>
        </w:tc>
      </w:tr>
      <w:tr w:rsidR="00BB676E" w:rsidRPr="001213F7" w14:paraId="686201B0" w14:textId="77777777">
        <w:tc>
          <w:tcPr>
            <w:cnfStyle w:val="001000000000" w:firstRow="0" w:lastRow="0" w:firstColumn="1" w:lastColumn="0" w:oddVBand="0" w:evenVBand="0" w:oddHBand="0" w:evenHBand="0" w:firstRowFirstColumn="0" w:firstRowLastColumn="0" w:lastRowFirstColumn="0" w:lastRowLastColumn="0"/>
            <w:tcW w:w="4534" w:type="dxa"/>
            <w:tcBorders>
              <w:top w:val="single" w:sz="6" w:space="0" w:color="auto"/>
              <w:bottom w:val="single" w:sz="12" w:space="0" w:color="auto"/>
            </w:tcBorders>
          </w:tcPr>
          <w:p w14:paraId="31F2529B" w14:textId="77777777" w:rsidR="00BB676E" w:rsidRPr="001213F7" w:rsidRDefault="00BB676E">
            <w:r w:rsidRPr="001213F7">
              <w:rPr>
                <w:b/>
              </w:rPr>
              <w:t>Net impact</w:t>
            </w:r>
          </w:p>
        </w:tc>
        <w:tc>
          <w:tcPr>
            <w:tcW w:w="794" w:type="dxa"/>
            <w:tcBorders>
              <w:top w:val="single" w:sz="6" w:space="0" w:color="auto"/>
              <w:bottom w:val="single" w:sz="12" w:space="0" w:color="auto"/>
            </w:tcBorders>
          </w:tcPr>
          <w:p w14:paraId="3857D9E1" w14:textId="77777777" w:rsidR="00BB676E" w:rsidRPr="001213F7" w:rsidRDefault="00BB676E">
            <w:pPr>
              <w:cnfStyle w:val="000000000000" w:firstRow="0" w:lastRow="0" w:firstColumn="0" w:lastColumn="0" w:oddVBand="0" w:evenVBand="0" w:oddHBand="0" w:evenHBand="0" w:firstRowFirstColumn="0" w:firstRowLastColumn="0" w:lastRowFirstColumn="0" w:lastRowLastColumn="0"/>
            </w:pPr>
            <w:r w:rsidRPr="001213F7">
              <w:rPr>
                <w:b/>
              </w:rPr>
              <w:t>3 024</w:t>
            </w:r>
          </w:p>
        </w:tc>
        <w:tc>
          <w:tcPr>
            <w:tcW w:w="794" w:type="dxa"/>
            <w:tcBorders>
              <w:top w:val="single" w:sz="6" w:space="0" w:color="auto"/>
              <w:bottom w:val="single" w:sz="12" w:space="0" w:color="auto"/>
            </w:tcBorders>
          </w:tcPr>
          <w:p w14:paraId="1D4E50DA" w14:textId="77777777" w:rsidR="00BB676E" w:rsidRPr="001213F7" w:rsidRDefault="00BB676E">
            <w:pPr>
              <w:cnfStyle w:val="000000000000" w:firstRow="0" w:lastRow="0" w:firstColumn="0" w:lastColumn="0" w:oddVBand="0" w:evenVBand="0" w:oddHBand="0" w:evenHBand="0" w:firstRowFirstColumn="0" w:firstRowLastColumn="0" w:lastRowFirstColumn="0" w:lastRowLastColumn="0"/>
            </w:pPr>
            <w:r w:rsidRPr="001213F7">
              <w:rPr>
                <w:b/>
              </w:rPr>
              <w:t>1 088</w:t>
            </w:r>
          </w:p>
        </w:tc>
        <w:tc>
          <w:tcPr>
            <w:tcW w:w="794" w:type="dxa"/>
            <w:tcBorders>
              <w:top w:val="single" w:sz="6" w:space="0" w:color="auto"/>
              <w:bottom w:val="single" w:sz="12" w:space="0" w:color="auto"/>
            </w:tcBorders>
          </w:tcPr>
          <w:p w14:paraId="608072F1" w14:textId="77777777" w:rsidR="00BB676E" w:rsidRPr="001213F7" w:rsidRDefault="00BB676E">
            <w:pPr>
              <w:cnfStyle w:val="000000000000" w:firstRow="0" w:lastRow="0" w:firstColumn="0" w:lastColumn="0" w:oddVBand="0" w:evenVBand="0" w:oddHBand="0" w:evenHBand="0" w:firstRowFirstColumn="0" w:firstRowLastColumn="0" w:lastRowFirstColumn="0" w:lastRowLastColumn="0"/>
            </w:pPr>
            <w:r w:rsidRPr="001213F7">
              <w:rPr>
                <w:b/>
              </w:rPr>
              <w:t>1 292</w:t>
            </w:r>
          </w:p>
        </w:tc>
        <w:tc>
          <w:tcPr>
            <w:tcW w:w="794" w:type="dxa"/>
            <w:tcBorders>
              <w:top w:val="single" w:sz="6" w:space="0" w:color="auto"/>
              <w:bottom w:val="single" w:sz="12" w:space="0" w:color="auto"/>
            </w:tcBorders>
          </w:tcPr>
          <w:p w14:paraId="3AC666C9" w14:textId="77777777" w:rsidR="00BB676E" w:rsidRPr="001213F7" w:rsidRDefault="00BB676E">
            <w:pPr>
              <w:cnfStyle w:val="000000000000" w:firstRow="0" w:lastRow="0" w:firstColumn="0" w:lastColumn="0" w:oddVBand="0" w:evenVBand="0" w:oddHBand="0" w:evenHBand="0" w:firstRowFirstColumn="0" w:firstRowLastColumn="0" w:lastRowFirstColumn="0" w:lastRowLastColumn="0"/>
            </w:pPr>
            <w:r w:rsidRPr="001213F7">
              <w:rPr>
                <w:b/>
              </w:rPr>
              <w:t>1 311</w:t>
            </w:r>
          </w:p>
        </w:tc>
      </w:tr>
    </w:tbl>
    <w:p w14:paraId="5E905902" w14:textId="45899BEF" w:rsidR="00732BC0" w:rsidRPr="001213F7" w:rsidRDefault="00732BC0" w:rsidP="0023596A">
      <w:pPr>
        <w:pStyle w:val="Note"/>
      </w:pPr>
      <w:r w:rsidRPr="001213F7">
        <w:t>Notes:</w:t>
      </w:r>
    </w:p>
    <w:p w14:paraId="62B3993C" w14:textId="77777777" w:rsidR="00732BC0" w:rsidRPr="001213F7" w:rsidRDefault="00732BC0" w:rsidP="0023596A">
      <w:pPr>
        <w:pStyle w:val="Note"/>
      </w:pPr>
      <w:r w:rsidRPr="001213F7">
        <w:t>(a)</w:t>
      </w:r>
      <w:r w:rsidRPr="001213F7">
        <w:tab/>
        <w:t>Figures in this table are rounded to the nearest million and may not add up to totals.</w:t>
      </w:r>
    </w:p>
    <w:p w14:paraId="1F0A8823" w14:textId="77777777" w:rsidR="00732BC0" w:rsidRPr="001213F7" w:rsidRDefault="00732BC0" w:rsidP="0023596A">
      <w:pPr>
        <w:pStyle w:val="Note"/>
      </w:pPr>
      <w:r w:rsidRPr="001213F7">
        <w:t>(b)</w:t>
      </w:r>
      <w:r w:rsidRPr="001213F7">
        <w:tab/>
        <w:t>This includes the reprioritisation of resources previously allocated to departments and revenue offsets.</w:t>
      </w:r>
    </w:p>
    <w:p w14:paraId="72156B6C" w14:textId="77777777" w:rsidR="00732BC0" w:rsidRPr="001213F7" w:rsidRDefault="00732BC0" w:rsidP="0023596A">
      <w:pPr>
        <w:pStyle w:val="Note"/>
      </w:pPr>
      <w:r w:rsidRPr="001213F7">
        <w:t>(c)</w:t>
      </w:r>
      <w:r w:rsidRPr="001213F7">
        <w:tab/>
        <w:t>Primarily incorporates the net impact of the specific creation and release of contingencies held for decisions made but not yet allocated.</w:t>
      </w:r>
    </w:p>
    <w:p w14:paraId="3AC6FDBA" w14:textId="77777777" w:rsidR="00732BC0" w:rsidRPr="001213F7" w:rsidRDefault="00732BC0" w:rsidP="0023596A">
      <w:pPr>
        <w:pStyle w:val="Note"/>
      </w:pPr>
      <w:r w:rsidRPr="001213F7">
        <w:t>(d)</w:t>
      </w:r>
      <w:r w:rsidRPr="001213F7">
        <w:tab/>
        <w:t>Includes output savings only.</w:t>
      </w:r>
    </w:p>
    <w:p w14:paraId="7F00AD32" w14:textId="073B3C6F" w:rsidR="00732BC0" w:rsidRPr="001213F7" w:rsidRDefault="00732BC0" w:rsidP="0023596A">
      <w:pPr>
        <w:pStyle w:val="Note"/>
      </w:pPr>
      <w:r w:rsidRPr="001213F7">
        <w:t>(e)</w:t>
      </w:r>
      <w:r w:rsidRPr="001213F7">
        <w:tab/>
        <w:t xml:space="preserve">Represents releases from the provisions for future services demand allocation associated with </w:t>
      </w:r>
      <w:r w:rsidRPr="001213F7">
        <w:rPr>
          <w:i w:val="0"/>
        </w:rPr>
        <w:t>2026-27 Budget</w:t>
      </w:r>
      <w:r w:rsidRPr="001213F7">
        <w:t xml:space="preserve"> new output initiatives. Further information on total output contingencies can be found at Note 1.3.7 of Budget Paper No. 5, Chapter 1 </w:t>
      </w:r>
      <w:r w:rsidRPr="001213F7">
        <w:rPr>
          <w:i w:val="0"/>
        </w:rPr>
        <w:t xml:space="preserve">Estimated </w:t>
      </w:r>
      <w:r w:rsidR="00514650" w:rsidRPr="001213F7">
        <w:rPr>
          <w:i w:val="0"/>
        </w:rPr>
        <w:t xml:space="preserve">financial statements </w:t>
      </w:r>
      <w:r w:rsidRPr="001213F7">
        <w:rPr>
          <w:i w:val="0"/>
        </w:rPr>
        <w:t>for the general government sector</w:t>
      </w:r>
      <w:r w:rsidRPr="001213F7">
        <w:t xml:space="preserve">. </w:t>
      </w:r>
    </w:p>
    <w:p w14:paraId="58015531" w14:textId="77777777" w:rsidR="00732BC0" w:rsidRPr="001213F7" w:rsidRDefault="00732BC0" w:rsidP="0023596A">
      <w:pPr>
        <w:pStyle w:val="Heading3"/>
      </w:pPr>
      <w:r w:rsidRPr="001213F7">
        <w:t xml:space="preserve">Economic and demographic variations </w:t>
      </w:r>
    </w:p>
    <w:p w14:paraId="462E26B8" w14:textId="77777777" w:rsidR="00732BC0" w:rsidRPr="001213F7" w:rsidRDefault="00732BC0" w:rsidP="0023596A">
      <w:r w:rsidRPr="001213F7">
        <w:t xml:space="preserve">Since the </w:t>
      </w:r>
      <w:r w:rsidRPr="001213F7">
        <w:rPr>
          <w:i/>
          <w:iCs/>
        </w:rPr>
        <w:t>2025-26 Budget Update</w:t>
      </w:r>
      <w:r w:rsidRPr="001213F7">
        <w:t xml:space="preserve">, Victoria’s taxation revenue has been revised down by an average of $598 million per year from 2026-27 to 2028-29, largely due to downgrades in property taxes in the context of higher interest rates. </w:t>
      </w:r>
    </w:p>
    <w:p w14:paraId="73904C96" w14:textId="53E6DC17" w:rsidR="00732BC0" w:rsidRPr="001213F7" w:rsidRDefault="00732BC0" w:rsidP="0023596A">
      <w:r w:rsidRPr="001213F7">
        <w:t xml:space="preserve">Variations in dividends and income tax equivalent revenue by sector and entity are contained in Note 1.2.2 of Budget Paper No. 5, Chapter 1 </w:t>
      </w:r>
      <w:r w:rsidRPr="001213F7">
        <w:rPr>
          <w:i/>
          <w:iCs/>
        </w:rPr>
        <w:t xml:space="preserve">Estimated </w:t>
      </w:r>
      <w:r w:rsidR="00514650" w:rsidRPr="001213F7">
        <w:rPr>
          <w:i/>
          <w:iCs/>
        </w:rPr>
        <w:t xml:space="preserve">financial statements </w:t>
      </w:r>
      <w:r w:rsidRPr="001213F7">
        <w:rPr>
          <w:i/>
          <w:iCs/>
        </w:rPr>
        <w:t>for the general government sector</w:t>
      </w:r>
      <w:r w:rsidRPr="001213F7">
        <w:t>.</w:t>
      </w:r>
    </w:p>
    <w:p w14:paraId="01D71E57" w14:textId="77777777" w:rsidR="00732BC0" w:rsidRPr="001213F7" w:rsidRDefault="00732BC0" w:rsidP="0023596A">
      <w:pPr>
        <w:pStyle w:val="Heading3"/>
      </w:pPr>
      <w:r w:rsidRPr="001213F7">
        <w:lastRenderedPageBreak/>
        <w:t xml:space="preserve">Commonwealth grants variations </w:t>
      </w:r>
    </w:p>
    <w:p w14:paraId="34B3AF38" w14:textId="7944A30F" w:rsidR="00732BC0" w:rsidRPr="001213F7" w:rsidRDefault="00732BC0">
      <w:pPr>
        <w:pStyle w:val="Heading3"/>
        <w:rPr>
          <w:rFonts w:asciiTheme="minorHAnsi" w:eastAsiaTheme="minorHAnsi" w:hAnsiTheme="minorHAnsi" w:cstheme="minorBidi"/>
          <w:b w:val="0"/>
          <w:sz w:val="22"/>
          <w:szCs w:val="22"/>
        </w:rPr>
      </w:pPr>
      <w:r w:rsidRPr="001213F7">
        <w:rPr>
          <w:rFonts w:asciiTheme="minorHAnsi" w:eastAsiaTheme="minorHAnsi" w:hAnsiTheme="minorHAnsi" w:cstheme="minorBidi"/>
          <w:b w:val="0"/>
          <w:sz w:val="22"/>
          <w:szCs w:val="22"/>
        </w:rPr>
        <w:t>Commonwealth general purpose grants revenue (or GST grants) has been revised up by</w:t>
      </w:r>
      <w:r w:rsidR="00904B41" w:rsidRPr="001213F7">
        <w:rPr>
          <w:rFonts w:asciiTheme="minorHAnsi" w:eastAsiaTheme="minorHAnsi" w:hAnsiTheme="minorHAnsi" w:cstheme="minorBidi"/>
          <w:b w:val="0"/>
          <w:sz w:val="22"/>
          <w:szCs w:val="22"/>
        </w:rPr>
        <w:t> </w:t>
      </w:r>
      <w:r w:rsidRPr="001213F7">
        <w:rPr>
          <w:rFonts w:asciiTheme="minorHAnsi" w:eastAsiaTheme="minorHAnsi" w:hAnsiTheme="minorHAnsi" w:cstheme="minorBidi"/>
          <w:b w:val="0"/>
          <w:sz w:val="22"/>
          <w:szCs w:val="22"/>
        </w:rPr>
        <w:t xml:space="preserve">an average of $1.2 billion a year from 2026-27 to 2028-29 compared with the </w:t>
      </w:r>
      <w:r w:rsidRPr="001213F7">
        <w:rPr>
          <w:rFonts w:asciiTheme="minorHAnsi" w:eastAsiaTheme="minorHAnsi" w:hAnsiTheme="minorHAnsi" w:cstheme="minorBidi"/>
          <w:b w:val="0"/>
          <w:i/>
          <w:iCs/>
          <w:sz w:val="22"/>
          <w:szCs w:val="22"/>
        </w:rPr>
        <w:t>2025</w:t>
      </w:r>
      <w:r w:rsidRPr="001213F7">
        <w:rPr>
          <w:rFonts w:asciiTheme="minorHAnsi" w:eastAsiaTheme="minorHAnsi" w:hAnsiTheme="minorHAnsi" w:cstheme="minorBidi"/>
          <w:b w:val="0"/>
          <w:i/>
          <w:iCs/>
          <w:sz w:val="22"/>
          <w:szCs w:val="22"/>
        </w:rPr>
        <w:noBreakHyphen/>
        <w:t>26 Budget Update</w:t>
      </w:r>
      <w:r w:rsidRPr="001213F7">
        <w:rPr>
          <w:rFonts w:asciiTheme="minorHAnsi" w:eastAsiaTheme="minorHAnsi" w:hAnsiTheme="minorHAnsi" w:cstheme="minorBidi"/>
          <w:b w:val="0"/>
          <w:sz w:val="22"/>
          <w:szCs w:val="22"/>
        </w:rPr>
        <w:t xml:space="preserve">. These changes were driven by an upgrade to the national GST pool forecast, largely reflecting stronger than expected receipts in 2025-26 reflecting a new, stronger starting point for future growth. The forecast profile for Victoria’s GST sharing relativity has also been revised up, principally in 2026-27 and 2027-28, mainly reflecting the outcomes of the Commonwealth Grants Commission’s 2026 Update and updates to forecast commodity prices. </w:t>
      </w:r>
    </w:p>
    <w:p w14:paraId="6C55D95A" w14:textId="77777777" w:rsidR="00732BC0" w:rsidRPr="001213F7" w:rsidRDefault="00732BC0">
      <w:r w:rsidRPr="001213F7">
        <w:t xml:space="preserve">Net changes to specific purpose grants are expected to improve the operating result by an average of $2.0 billion a year from 2026-27 to 2028-29 compared with the </w:t>
      </w:r>
      <w:r w:rsidRPr="001213F7">
        <w:rPr>
          <w:i/>
          <w:iCs/>
        </w:rPr>
        <w:t>2025</w:t>
      </w:r>
      <w:r w:rsidRPr="001213F7">
        <w:rPr>
          <w:i/>
          <w:iCs/>
        </w:rPr>
        <w:noBreakHyphen/>
        <w:t>26 Budget Update</w:t>
      </w:r>
      <w:r w:rsidRPr="001213F7">
        <w:t>. The movements primarily reflect increased grant revenue expected from the Commonwealth for existing infrastructure projects as well as the latest, recently signed five-year National Health Reform Agreement (NHRA).</w:t>
      </w:r>
    </w:p>
    <w:p w14:paraId="348032A7" w14:textId="77777777" w:rsidR="00732BC0" w:rsidRPr="001213F7" w:rsidRDefault="00732BC0" w:rsidP="0023596A">
      <w:pPr>
        <w:pStyle w:val="Heading3"/>
      </w:pPr>
      <w:r w:rsidRPr="001213F7">
        <w:t>Administrative variations</w:t>
      </w:r>
    </w:p>
    <w:p w14:paraId="35240C4E" w14:textId="77777777" w:rsidR="00732BC0" w:rsidRPr="001213F7" w:rsidRDefault="00732BC0" w:rsidP="0023596A">
      <w:r w:rsidRPr="001213F7">
        <w:t xml:space="preserve">Other administrative variations are expected to reduce the operating result by an average of $1.6 billion a year from 2026-27 to 2028-29 compared with the </w:t>
      </w:r>
      <w:r w:rsidRPr="001213F7">
        <w:rPr>
          <w:i/>
          <w:iCs/>
        </w:rPr>
        <w:t>2025</w:t>
      </w:r>
      <w:r w:rsidRPr="001213F7">
        <w:rPr>
          <w:i/>
          <w:iCs/>
        </w:rPr>
        <w:noBreakHyphen/>
        <w:t>26 Budget Update</w:t>
      </w:r>
      <w:r w:rsidRPr="001213F7">
        <w:t>.</w:t>
      </w:r>
      <w:r w:rsidRPr="001213F7" w:rsidDel="00397B36">
        <w:t xml:space="preserve"> </w:t>
      </w:r>
      <w:r w:rsidRPr="001213F7">
        <w:t>The variations include:</w:t>
      </w:r>
    </w:p>
    <w:p w14:paraId="42F8EBCB" w14:textId="0E7B63C0" w:rsidR="00732BC0" w:rsidRPr="001213F7" w:rsidRDefault="00732BC0" w:rsidP="00D20C0A">
      <w:pPr>
        <w:pStyle w:val="ListBullet"/>
        <w:numPr>
          <w:ilvl w:val="0"/>
          <w:numId w:val="13"/>
        </w:numPr>
      </w:pPr>
      <w:r w:rsidRPr="001213F7">
        <w:t xml:space="preserve">adjustments to the provisions for future services demand allocation that are outlined in Note 1.3.7 of Budget Paper No. 5, Chapter 1 </w:t>
      </w:r>
      <w:r w:rsidRPr="001213F7">
        <w:rPr>
          <w:i/>
          <w:iCs/>
        </w:rPr>
        <w:t xml:space="preserve">Estimated </w:t>
      </w:r>
      <w:r w:rsidR="00514650" w:rsidRPr="001213F7">
        <w:rPr>
          <w:i/>
          <w:iCs/>
        </w:rPr>
        <w:t xml:space="preserve">financial statements </w:t>
      </w:r>
      <w:r w:rsidRPr="001213F7">
        <w:rPr>
          <w:i/>
          <w:iCs/>
        </w:rPr>
        <w:t>for the general government sector</w:t>
      </w:r>
    </w:p>
    <w:p w14:paraId="627AB451" w14:textId="1372565D" w:rsidR="00732BC0" w:rsidRPr="001213F7" w:rsidRDefault="00732BC0" w:rsidP="00D20C0A">
      <w:pPr>
        <w:pStyle w:val="ListBullet"/>
        <w:numPr>
          <w:ilvl w:val="0"/>
          <w:numId w:val="13"/>
        </w:numPr>
      </w:pPr>
      <w:r w:rsidRPr="001213F7">
        <w:t>an increase in Treasury Corporation of Victoria (TCV) interest expense estimates due</w:t>
      </w:r>
      <w:r w:rsidR="00760680" w:rsidRPr="001213F7">
        <w:t> </w:t>
      </w:r>
      <w:r w:rsidRPr="001213F7">
        <w:t>to an increase in TCV bond yields</w:t>
      </w:r>
    </w:p>
    <w:p w14:paraId="18648502" w14:textId="77777777" w:rsidR="00732BC0" w:rsidRPr="001213F7" w:rsidRDefault="00732BC0" w:rsidP="00D20C0A">
      <w:pPr>
        <w:pStyle w:val="ListBullet"/>
        <w:numPr>
          <w:ilvl w:val="0"/>
          <w:numId w:val="13"/>
        </w:numPr>
      </w:pPr>
      <w:r w:rsidRPr="001213F7">
        <w:t xml:space="preserve">adjustments to the classification of expected payments from the public financial corporations (PFC) sector. </w:t>
      </w:r>
    </w:p>
    <w:p w14:paraId="634F61AF" w14:textId="77777777" w:rsidR="00732BC0" w:rsidRPr="001213F7" w:rsidRDefault="00732BC0" w:rsidP="0023596A">
      <w:pPr>
        <w:pStyle w:val="Heading2"/>
      </w:pPr>
      <w:r w:rsidRPr="001213F7">
        <w:t>Capital expenditure</w:t>
      </w:r>
    </w:p>
    <w:p w14:paraId="77636D1C" w14:textId="77777777" w:rsidR="00732BC0" w:rsidRPr="001213F7" w:rsidRDefault="00732BC0">
      <w:r w:rsidRPr="001213F7">
        <w:t xml:space="preserve">Government infrastructure investment (GII) measures investment funded by the Government and estimated private sector construction-related expenditure on public private partnership projects. </w:t>
      </w:r>
    </w:p>
    <w:p w14:paraId="3C5DB2A6" w14:textId="33ED6917" w:rsidR="00732BC0" w:rsidRPr="001213F7" w:rsidRDefault="00732BC0">
      <w:r w:rsidRPr="001213F7">
        <w:t xml:space="preserve">The </w:t>
      </w:r>
      <w:r w:rsidRPr="001213F7">
        <w:rPr>
          <w:i/>
          <w:iCs/>
        </w:rPr>
        <w:t>2026-27 Budget</w:t>
      </w:r>
      <w:r w:rsidRPr="001213F7">
        <w:t xml:space="preserve"> includes $4.4 billion total estimated investment (TEI) for targeted new</w:t>
      </w:r>
      <w:r w:rsidR="005D6C9F" w:rsidRPr="001213F7">
        <w:t> </w:t>
      </w:r>
      <w:r w:rsidRPr="001213F7">
        <w:t xml:space="preserve">capital investment in critical areas including new and upgraded schools, new trains, maintaining the State’s road and rail networks, and essential health and emergency services infrastructure and equipment. </w:t>
      </w:r>
    </w:p>
    <w:p w14:paraId="719B5E4C" w14:textId="77777777" w:rsidR="00732BC0" w:rsidRPr="001213F7" w:rsidRDefault="00732BC0" w:rsidP="005D6C9F">
      <w:pPr>
        <w:ind w:right="-127"/>
      </w:pPr>
      <w:r w:rsidRPr="001213F7">
        <w:t>The Government’s infrastructure program delivers the necessary level of capital investment for Victoria’s future and provides a clear forward pipeline to the engineering, construction and manufacturing sectors involved in building new infrastructure</w:t>
      </w:r>
      <w:r w:rsidRPr="001213F7">
        <w:rPr>
          <w:i/>
          <w:iCs/>
        </w:rPr>
        <w:t>.</w:t>
      </w:r>
      <w:r w:rsidRPr="001213F7">
        <w:t xml:space="preserve"> </w:t>
      </w:r>
    </w:p>
    <w:p w14:paraId="707D7B33" w14:textId="77777777" w:rsidR="00732BC0" w:rsidRPr="001213F7" w:rsidRDefault="00732BC0">
      <w:r w:rsidRPr="001213F7">
        <w:t xml:space="preserve">Budget Paper No. 3, Chapter 1 </w:t>
      </w:r>
      <w:r w:rsidRPr="001213F7">
        <w:rPr>
          <w:i/>
          <w:iCs/>
        </w:rPr>
        <w:t>Output, asset investment, savings and revenue initiatives</w:t>
      </w:r>
      <w:r w:rsidRPr="001213F7">
        <w:t xml:space="preserve"> provides details of new individual asset initiatives committed since the </w:t>
      </w:r>
      <w:r w:rsidRPr="001213F7">
        <w:rPr>
          <w:i/>
          <w:iCs/>
        </w:rPr>
        <w:t>2025-26 Budget Update</w:t>
      </w:r>
      <w:r w:rsidRPr="001213F7">
        <w:t>.</w:t>
      </w:r>
    </w:p>
    <w:p w14:paraId="18EC3B75" w14:textId="77777777" w:rsidR="00732BC0" w:rsidRPr="001213F7" w:rsidRDefault="00732BC0" w:rsidP="00B47D3D">
      <w:pPr>
        <w:pStyle w:val="TableHeading"/>
        <w:rPr>
          <w:vertAlign w:val="superscript"/>
        </w:rPr>
      </w:pPr>
      <w:r w:rsidRPr="001213F7">
        <w:lastRenderedPageBreak/>
        <w:t>Chart 4.1:</w:t>
      </w:r>
      <w:r w:rsidRPr="001213F7">
        <w:tab/>
        <w:t xml:space="preserve">Government infrastructure investment </w:t>
      </w:r>
      <w:r w:rsidRPr="001213F7">
        <w:rPr>
          <w:vertAlign w:val="superscript"/>
        </w:rPr>
        <w:t>(a)(b)(c)</w:t>
      </w:r>
    </w:p>
    <w:p w14:paraId="39B1A895" w14:textId="77777777" w:rsidR="00732BC0" w:rsidRPr="001213F7" w:rsidRDefault="00732BC0" w:rsidP="0023596A">
      <w:r w:rsidRPr="001213F7">
        <w:rPr>
          <w:noProof/>
        </w:rPr>
        <w:drawing>
          <wp:inline distT="0" distB="0" distL="0" distR="0" wp14:anchorId="7A6DB537" wp14:editId="5DCDFC2F">
            <wp:extent cx="4896485" cy="3145155"/>
            <wp:effectExtent l="0" t="0" r="0" b="0"/>
            <wp:docPr id="2019235914" name="Chart 1">
              <a:extLst xmlns:a="http://schemas.openxmlformats.org/drawingml/2006/main">
                <a:ext uri="{FF2B5EF4-FFF2-40B4-BE49-F238E27FC236}">
                  <a16:creationId xmlns:a16="http://schemas.microsoft.com/office/drawing/2014/main" id="{45912A28-BC50-4895-9004-7CE96FF91F7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6F9D34FE" w14:textId="77777777" w:rsidR="00732BC0" w:rsidRPr="001213F7" w:rsidRDefault="00732BC0" w:rsidP="0023596A">
      <w:pPr>
        <w:pStyle w:val="Note"/>
        <w:ind w:left="0" w:firstLine="0"/>
      </w:pPr>
      <w:r w:rsidRPr="001213F7">
        <w:t>Notes:</w:t>
      </w:r>
    </w:p>
    <w:p w14:paraId="7D06DE72" w14:textId="77777777" w:rsidR="00732BC0" w:rsidRPr="001213F7" w:rsidRDefault="00732BC0" w:rsidP="0023596A">
      <w:pPr>
        <w:pStyle w:val="Note"/>
      </w:pPr>
      <w:r w:rsidRPr="001213F7">
        <w:t>(a)</w:t>
      </w:r>
      <w:r w:rsidRPr="001213F7">
        <w:tab/>
        <w:t>Includes general government net infrastructure investment and the estimated cash flows for public private partnership projects.</w:t>
      </w:r>
    </w:p>
    <w:p w14:paraId="0B90A418" w14:textId="77777777" w:rsidR="00732BC0" w:rsidRPr="001213F7" w:rsidRDefault="00732BC0" w:rsidP="0023596A">
      <w:pPr>
        <w:pStyle w:val="Note"/>
      </w:pPr>
      <w:r w:rsidRPr="001213F7">
        <w:t>(b)</w:t>
      </w:r>
      <w:r w:rsidRPr="001213F7">
        <w:tab/>
        <w:t>Includes the estimated private sector construction-related expenditure associated with the North East Link held in the PNFC sector.</w:t>
      </w:r>
    </w:p>
    <w:p w14:paraId="46F3D6C1" w14:textId="77777777" w:rsidR="00732BC0" w:rsidRPr="001213F7" w:rsidRDefault="00732BC0" w:rsidP="0023596A">
      <w:pPr>
        <w:pStyle w:val="Note"/>
      </w:pPr>
      <w:r w:rsidRPr="001213F7">
        <w:t>(c)</w:t>
      </w:r>
      <w:r w:rsidRPr="001213F7">
        <w:tab/>
        <w:t>Excludes the impact of the medium-term lease over the operations of the Port of Melbourne and the divestment of Victoria’s share of Snowy Hydro Limited.</w:t>
      </w:r>
    </w:p>
    <w:p w14:paraId="13828022" w14:textId="77777777" w:rsidR="00732BC0" w:rsidRPr="001213F7" w:rsidRDefault="00732BC0" w:rsidP="0023596A">
      <w:pPr>
        <w:pStyle w:val="Heading2"/>
      </w:pPr>
      <w:r w:rsidRPr="001213F7">
        <w:t>Net debt</w:t>
      </w:r>
    </w:p>
    <w:p w14:paraId="107A5FE9" w14:textId="77777777" w:rsidR="00732BC0" w:rsidRPr="001213F7" w:rsidRDefault="00732BC0" w:rsidP="008C4418">
      <w:pPr>
        <w:keepNext/>
      </w:pPr>
      <w:r w:rsidRPr="001213F7">
        <w:t>Throughout the pandemic, the Government prioritised the use of its balance sheet to support the Victorian community and economy. This approach was consistent with stimulus approaches elsewhere in Australia and around the world.</w:t>
      </w:r>
    </w:p>
    <w:p w14:paraId="41BE3307" w14:textId="77777777" w:rsidR="00732BC0" w:rsidRPr="001213F7" w:rsidRDefault="00732BC0">
      <w:r w:rsidRPr="001213F7">
        <w:t xml:space="preserve">Stabilising and reducing net debt as a percentage of GSP – the fourth and fifth steps in the Government’s fiscal strategy – are important objectives for the Government. Net debt is expected to be $175.6 billion at June 2027 and increase to $199.3 billion by June 2030. Compared with the </w:t>
      </w:r>
      <w:r w:rsidRPr="001213F7">
        <w:rPr>
          <w:i/>
        </w:rPr>
        <w:t>2025</w:t>
      </w:r>
      <w:r w:rsidRPr="001213F7">
        <w:rPr>
          <w:i/>
        </w:rPr>
        <w:noBreakHyphen/>
        <w:t xml:space="preserve">26 Budget Update, </w:t>
      </w:r>
      <w:r w:rsidRPr="001213F7">
        <w:t xml:space="preserve">net debt is lower across </w:t>
      </w:r>
      <w:r w:rsidRPr="001213F7">
        <w:rPr>
          <w:iCs/>
        </w:rPr>
        <w:t>all published years</w:t>
      </w:r>
      <w:r w:rsidRPr="001213F7">
        <w:t>.</w:t>
      </w:r>
    </w:p>
    <w:p w14:paraId="38B87507" w14:textId="77777777" w:rsidR="00732BC0" w:rsidRPr="001213F7" w:rsidRDefault="00732BC0">
      <w:r w:rsidRPr="001213F7">
        <w:t xml:space="preserve">As a proportion of GSP, net debt is projected to reach 24.9 per cent at June 2027 before declining to 24.8 per cent by June 2028, 24.6 per cent by June 2029 and then declining further to 24.4 per cent by June 2030. Compared with the </w:t>
      </w:r>
      <w:r w:rsidRPr="001213F7">
        <w:rPr>
          <w:i/>
        </w:rPr>
        <w:t>2025-26 Budget Update</w:t>
      </w:r>
      <w:r w:rsidRPr="001213F7">
        <w:t>, net debt to GSP is lower across all published years.</w:t>
      </w:r>
    </w:p>
    <w:p w14:paraId="176E4D16" w14:textId="77777777" w:rsidR="00732BC0" w:rsidRPr="001213F7" w:rsidRDefault="00732BC0" w:rsidP="00A80E97">
      <w:pPr>
        <w:pStyle w:val="TableHeading"/>
      </w:pPr>
      <w:r w:rsidRPr="001213F7">
        <w:lastRenderedPageBreak/>
        <w:t>Chart 4.2:</w:t>
      </w:r>
      <w:r w:rsidRPr="001213F7">
        <w:tab/>
        <w:t>General government net debt to GSP</w:t>
      </w:r>
    </w:p>
    <w:p w14:paraId="7D8FF9AA" w14:textId="77777777" w:rsidR="00732BC0" w:rsidRPr="001213F7" w:rsidRDefault="00732BC0" w:rsidP="0023596A">
      <w:r w:rsidRPr="001213F7">
        <w:rPr>
          <w:noProof/>
        </w:rPr>
        <w:drawing>
          <wp:inline distT="0" distB="0" distL="0" distR="0" wp14:anchorId="425084FF" wp14:editId="260AF006">
            <wp:extent cx="4896485" cy="2902585"/>
            <wp:effectExtent l="0" t="0" r="0" b="0"/>
            <wp:docPr id="2106671446" name="Chart 1">
              <a:extLst xmlns:a="http://schemas.openxmlformats.org/drawingml/2006/main">
                <a:ext uri="{FF2B5EF4-FFF2-40B4-BE49-F238E27FC236}">
                  <a16:creationId xmlns:a16="http://schemas.microsoft.com/office/drawing/2014/main" id="{C2C43899-5FD9-4DFC-80A9-416720BFA91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1769E333" w14:textId="77777777" w:rsidR="00732BC0" w:rsidRPr="001213F7" w:rsidRDefault="00732BC0" w:rsidP="0023596A">
      <w:pPr>
        <w:spacing w:before="240" w:after="120"/>
      </w:pPr>
      <w:r w:rsidRPr="001213F7">
        <w:t xml:space="preserve">The application of cash resources for the general government sector (see Table 4.5) outlines the annual movements in net debt. </w:t>
      </w:r>
    </w:p>
    <w:p w14:paraId="543DD97E" w14:textId="77777777" w:rsidR="00732BC0" w:rsidRPr="001213F7" w:rsidRDefault="00732BC0" w:rsidP="0031590E">
      <w:pPr>
        <w:pStyle w:val="TableHeading"/>
      </w:pPr>
      <w:bookmarkStart w:id="52" w:name="_Hlk164085253"/>
      <w:r w:rsidRPr="001213F7">
        <w:t xml:space="preserve">Table 4.5: </w:t>
      </w:r>
      <w:r w:rsidRPr="001213F7">
        <w:tab/>
        <w:t xml:space="preserve">Application of cash resources for the general government sector </w:t>
      </w:r>
      <w:r w:rsidRPr="001213F7">
        <w:rPr>
          <w:vertAlign w:val="superscript"/>
        </w:rPr>
        <w:t>(a)</w:t>
      </w:r>
      <w:r w:rsidRPr="001213F7">
        <w:t xml:space="preserve"> </w:t>
      </w:r>
      <w:r w:rsidRPr="001213F7">
        <w:tab/>
        <w:t>($ million)</w:t>
      </w:r>
    </w:p>
    <w:tbl>
      <w:tblPr>
        <w:tblStyle w:val="DTFTableNumeric"/>
        <w:tblW w:w="7710" w:type="dxa"/>
        <w:tblLayout w:type="fixed"/>
        <w:tblLook w:val="06A0" w:firstRow="1" w:lastRow="0" w:firstColumn="1" w:lastColumn="0" w:noHBand="1" w:noVBand="1"/>
        <w:tblDescription w:val="Type:DtfTable|Workbook:https://vicgov.sharepoint.com/sites/VG002735/BP2/Spreadsheets/Link_BP2_Chapter4.xlsx|Table:GG_ApplicationOfCashResources"/>
      </w:tblPr>
      <w:tblGrid>
        <w:gridCol w:w="2946"/>
        <w:gridCol w:w="794"/>
        <w:gridCol w:w="794"/>
        <w:gridCol w:w="794"/>
        <w:gridCol w:w="794"/>
        <w:gridCol w:w="794"/>
        <w:gridCol w:w="794"/>
      </w:tblGrid>
      <w:tr w:rsidR="00732BC0" w:rsidRPr="001213F7" w14:paraId="78B977BF"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946" w:type="dxa"/>
          </w:tcPr>
          <w:p w14:paraId="63CD98ED" w14:textId="77777777" w:rsidR="00732BC0" w:rsidRPr="001213F7" w:rsidRDefault="00732BC0">
            <w:pPr>
              <w:keepNext/>
            </w:pPr>
          </w:p>
        </w:tc>
        <w:tc>
          <w:tcPr>
            <w:tcW w:w="794" w:type="dxa"/>
          </w:tcPr>
          <w:p w14:paraId="6170BA5A" w14:textId="77777777" w:rsidR="00732BC0" w:rsidRPr="001213F7" w:rsidRDefault="00732BC0">
            <w:pPr>
              <w:keepNext/>
              <w:cnfStyle w:val="100000000000" w:firstRow="1" w:lastRow="0" w:firstColumn="0" w:lastColumn="0" w:oddVBand="0" w:evenVBand="0" w:oddHBand="0" w:evenHBand="0" w:firstRowFirstColumn="0" w:firstRowLastColumn="0" w:lastRowFirstColumn="0" w:lastRowLastColumn="0"/>
            </w:pPr>
            <w:r w:rsidRPr="001213F7">
              <w:t>2024</w:t>
            </w:r>
            <w:r w:rsidRPr="001213F7">
              <w:noBreakHyphen/>
              <w:t>25</w:t>
            </w:r>
          </w:p>
        </w:tc>
        <w:tc>
          <w:tcPr>
            <w:tcW w:w="794" w:type="dxa"/>
          </w:tcPr>
          <w:p w14:paraId="3CA9EB02" w14:textId="77777777" w:rsidR="00732BC0" w:rsidRPr="001213F7" w:rsidRDefault="00732BC0">
            <w:pPr>
              <w:keepNext/>
              <w:cnfStyle w:val="100000000000" w:firstRow="1" w:lastRow="0" w:firstColumn="0" w:lastColumn="0" w:oddVBand="0" w:evenVBand="0" w:oddHBand="0" w:evenHBand="0" w:firstRowFirstColumn="0" w:firstRowLastColumn="0" w:lastRowFirstColumn="0" w:lastRowLastColumn="0"/>
            </w:pPr>
            <w:r w:rsidRPr="001213F7">
              <w:t>2025</w:t>
            </w:r>
            <w:r w:rsidRPr="001213F7">
              <w:noBreakHyphen/>
              <w:t>26</w:t>
            </w:r>
          </w:p>
        </w:tc>
        <w:tc>
          <w:tcPr>
            <w:tcW w:w="794" w:type="dxa"/>
          </w:tcPr>
          <w:p w14:paraId="5DA97D2C" w14:textId="77777777" w:rsidR="00732BC0" w:rsidRPr="001213F7" w:rsidRDefault="00732BC0">
            <w:pPr>
              <w:keepNext/>
              <w:cnfStyle w:val="100000000000" w:firstRow="1" w:lastRow="0" w:firstColumn="0" w:lastColumn="0" w:oddVBand="0" w:evenVBand="0" w:oddHBand="0" w:evenHBand="0" w:firstRowFirstColumn="0" w:firstRowLastColumn="0" w:lastRowFirstColumn="0" w:lastRowLastColumn="0"/>
            </w:pPr>
            <w:r w:rsidRPr="001213F7">
              <w:t>2026</w:t>
            </w:r>
            <w:r w:rsidRPr="001213F7">
              <w:noBreakHyphen/>
              <w:t>27</w:t>
            </w:r>
          </w:p>
        </w:tc>
        <w:tc>
          <w:tcPr>
            <w:tcW w:w="794" w:type="dxa"/>
          </w:tcPr>
          <w:p w14:paraId="4A33EBD5" w14:textId="77777777" w:rsidR="00732BC0" w:rsidRPr="001213F7" w:rsidRDefault="00732BC0">
            <w:pPr>
              <w:keepNext/>
              <w:cnfStyle w:val="100000000000" w:firstRow="1" w:lastRow="0" w:firstColumn="0" w:lastColumn="0" w:oddVBand="0" w:evenVBand="0" w:oddHBand="0" w:evenHBand="0" w:firstRowFirstColumn="0" w:firstRowLastColumn="0" w:lastRowFirstColumn="0" w:lastRowLastColumn="0"/>
            </w:pPr>
            <w:r w:rsidRPr="001213F7">
              <w:t>2027</w:t>
            </w:r>
            <w:r w:rsidRPr="001213F7">
              <w:noBreakHyphen/>
              <w:t>28</w:t>
            </w:r>
          </w:p>
        </w:tc>
        <w:tc>
          <w:tcPr>
            <w:tcW w:w="794" w:type="dxa"/>
          </w:tcPr>
          <w:p w14:paraId="44EB24F8" w14:textId="77777777" w:rsidR="00732BC0" w:rsidRPr="001213F7" w:rsidRDefault="00732BC0">
            <w:pPr>
              <w:keepNext/>
              <w:cnfStyle w:val="100000000000" w:firstRow="1" w:lastRow="0" w:firstColumn="0" w:lastColumn="0" w:oddVBand="0" w:evenVBand="0" w:oddHBand="0" w:evenHBand="0" w:firstRowFirstColumn="0" w:firstRowLastColumn="0" w:lastRowFirstColumn="0" w:lastRowLastColumn="0"/>
            </w:pPr>
            <w:r w:rsidRPr="001213F7">
              <w:t>2028</w:t>
            </w:r>
            <w:r w:rsidRPr="001213F7">
              <w:noBreakHyphen/>
              <w:t>29</w:t>
            </w:r>
          </w:p>
        </w:tc>
        <w:tc>
          <w:tcPr>
            <w:tcW w:w="794" w:type="dxa"/>
          </w:tcPr>
          <w:p w14:paraId="0BF608BA" w14:textId="77777777" w:rsidR="00732BC0" w:rsidRPr="001213F7" w:rsidRDefault="00732BC0">
            <w:pPr>
              <w:keepNext/>
              <w:cnfStyle w:val="100000000000" w:firstRow="1" w:lastRow="0" w:firstColumn="0" w:lastColumn="0" w:oddVBand="0" w:evenVBand="0" w:oddHBand="0" w:evenHBand="0" w:firstRowFirstColumn="0" w:firstRowLastColumn="0" w:lastRowFirstColumn="0" w:lastRowLastColumn="0"/>
            </w:pPr>
            <w:r w:rsidRPr="001213F7">
              <w:t>2029</w:t>
            </w:r>
            <w:r w:rsidRPr="001213F7">
              <w:noBreakHyphen/>
              <w:t>30</w:t>
            </w:r>
          </w:p>
        </w:tc>
      </w:tr>
      <w:tr w:rsidR="00732BC0" w:rsidRPr="001213F7" w14:paraId="24478B16"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946" w:type="dxa"/>
          </w:tcPr>
          <w:p w14:paraId="7E33D2B8" w14:textId="77777777" w:rsidR="00732BC0" w:rsidRPr="001213F7" w:rsidRDefault="00732BC0">
            <w:pPr>
              <w:keepNext/>
            </w:pPr>
          </w:p>
        </w:tc>
        <w:tc>
          <w:tcPr>
            <w:tcW w:w="794" w:type="dxa"/>
          </w:tcPr>
          <w:p w14:paraId="2527D242" w14:textId="77777777" w:rsidR="00732BC0" w:rsidRPr="001213F7" w:rsidRDefault="00732BC0">
            <w:pPr>
              <w:keepNext/>
              <w:cnfStyle w:val="100000000000" w:firstRow="1" w:lastRow="0" w:firstColumn="0" w:lastColumn="0" w:oddVBand="0" w:evenVBand="0" w:oddHBand="0" w:evenHBand="0" w:firstRowFirstColumn="0" w:firstRowLastColumn="0" w:lastRowFirstColumn="0" w:lastRowLastColumn="0"/>
            </w:pPr>
            <w:r w:rsidRPr="001213F7">
              <w:t>actual</w:t>
            </w:r>
          </w:p>
        </w:tc>
        <w:tc>
          <w:tcPr>
            <w:tcW w:w="794" w:type="dxa"/>
          </w:tcPr>
          <w:p w14:paraId="03B9F9BC" w14:textId="77777777" w:rsidR="00732BC0" w:rsidRPr="001213F7" w:rsidRDefault="00732BC0">
            <w:pPr>
              <w:keepNext/>
              <w:cnfStyle w:val="100000000000" w:firstRow="1" w:lastRow="0" w:firstColumn="0" w:lastColumn="0" w:oddVBand="0" w:evenVBand="0" w:oddHBand="0" w:evenHBand="0" w:firstRowFirstColumn="0" w:firstRowLastColumn="0" w:lastRowFirstColumn="0" w:lastRowLastColumn="0"/>
            </w:pPr>
            <w:r w:rsidRPr="001213F7">
              <w:t>revised</w:t>
            </w:r>
          </w:p>
        </w:tc>
        <w:tc>
          <w:tcPr>
            <w:tcW w:w="794" w:type="dxa"/>
          </w:tcPr>
          <w:p w14:paraId="10AE46EA" w14:textId="77777777" w:rsidR="00732BC0" w:rsidRPr="001213F7" w:rsidRDefault="00732BC0">
            <w:pPr>
              <w:keepNext/>
              <w:cnfStyle w:val="100000000000" w:firstRow="1" w:lastRow="0" w:firstColumn="0" w:lastColumn="0" w:oddVBand="0" w:evenVBand="0" w:oddHBand="0" w:evenHBand="0" w:firstRowFirstColumn="0" w:firstRowLastColumn="0" w:lastRowFirstColumn="0" w:lastRowLastColumn="0"/>
            </w:pPr>
            <w:r w:rsidRPr="001213F7">
              <w:t>budget</w:t>
            </w:r>
          </w:p>
        </w:tc>
        <w:tc>
          <w:tcPr>
            <w:tcW w:w="794" w:type="dxa"/>
          </w:tcPr>
          <w:p w14:paraId="08E33988" w14:textId="77777777" w:rsidR="00732BC0" w:rsidRPr="001213F7" w:rsidRDefault="00732BC0">
            <w:pPr>
              <w:keepNext/>
              <w:cnfStyle w:val="100000000000" w:firstRow="1" w:lastRow="0" w:firstColumn="0" w:lastColumn="0" w:oddVBand="0" w:evenVBand="0" w:oddHBand="0" w:evenHBand="0" w:firstRowFirstColumn="0" w:firstRowLastColumn="0" w:lastRowFirstColumn="0" w:lastRowLastColumn="0"/>
            </w:pPr>
            <w:r w:rsidRPr="001213F7">
              <w:t>estimate</w:t>
            </w:r>
          </w:p>
        </w:tc>
        <w:tc>
          <w:tcPr>
            <w:tcW w:w="794" w:type="dxa"/>
          </w:tcPr>
          <w:p w14:paraId="1022C491" w14:textId="77777777" w:rsidR="00732BC0" w:rsidRPr="001213F7" w:rsidRDefault="00732BC0">
            <w:pPr>
              <w:keepNext/>
              <w:cnfStyle w:val="100000000000" w:firstRow="1" w:lastRow="0" w:firstColumn="0" w:lastColumn="0" w:oddVBand="0" w:evenVBand="0" w:oddHBand="0" w:evenHBand="0" w:firstRowFirstColumn="0" w:firstRowLastColumn="0" w:lastRowFirstColumn="0" w:lastRowLastColumn="0"/>
            </w:pPr>
            <w:r w:rsidRPr="001213F7">
              <w:t>estimate</w:t>
            </w:r>
          </w:p>
        </w:tc>
        <w:tc>
          <w:tcPr>
            <w:tcW w:w="794" w:type="dxa"/>
          </w:tcPr>
          <w:p w14:paraId="20DB9DF5" w14:textId="77777777" w:rsidR="00732BC0" w:rsidRPr="001213F7" w:rsidRDefault="00732BC0">
            <w:pPr>
              <w:keepNext/>
              <w:cnfStyle w:val="100000000000" w:firstRow="1" w:lastRow="0" w:firstColumn="0" w:lastColumn="0" w:oddVBand="0" w:evenVBand="0" w:oddHBand="0" w:evenHBand="0" w:firstRowFirstColumn="0" w:firstRowLastColumn="0" w:lastRowFirstColumn="0" w:lastRowLastColumn="0"/>
            </w:pPr>
            <w:r w:rsidRPr="001213F7">
              <w:t>estimate</w:t>
            </w:r>
          </w:p>
        </w:tc>
      </w:tr>
      <w:tr w:rsidR="00732BC0" w:rsidRPr="001213F7" w14:paraId="0D7BEF19" w14:textId="77777777">
        <w:tc>
          <w:tcPr>
            <w:cnfStyle w:val="001000000000" w:firstRow="0" w:lastRow="0" w:firstColumn="1" w:lastColumn="0" w:oddVBand="0" w:evenVBand="0" w:oddHBand="0" w:evenHBand="0" w:firstRowFirstColumn="0" w:firstRowLastColumn="0" w:lastRowFirstColumn="0" w:lastRowLastColumn="0"/>
            <w:tcW w:w="2946" w:type="dxa"/>
          </w:tcPr>
          <w:p w14:paraId="67AF7E9E" w14:textId="77777777" w:rsidR="00732BC0" w:rsidRPr="001213F7" w:rsidRDefault="00732BC0">
            <w:r w:rsidRPr="001213F7">
              <w:rPr>
                <w:b/>
              </w:rPr>
              <w:t>Net result from transactions</w:t>
            </w:r>
          </w:p>
        </w:tc>
        <w:tc>
          <w:tcPr>
            <w:tcW w:w="794" w:type="dxa"/>
          </w:tcPr>
          <w:p w14:paraId="52995302"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rPr>
                <w:b/>
              </w:rPr>
              <w:t>(2 626)</w:t>
            </w:r>
          </w:p>
        </w:tc>
        <w:tc>
          <w:tcPr>
            <w:tcW w:w="794" w:type="dxa"/>
          </w:tcPr>
          <w:p w14:paraId="5F1244DF"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rPr>
                <w:b/>
              </w:rPr>
              <w:t>727</w:t>
            </w:r>
          </w:p>
        </w:tc>
        <w:tc>
          <w:tcPr>
            <w:tcW w:w="794" w:type="dxa"/>
          </w:tcPr>
          <w:p w14:paraId="5AE91459"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rPr>
                <w:b/>
              </w:rPr>
              <w:t>1 048</w:t>
            </w:r>
          </w:p>
        </w:tc>
        <w:tc>
          <w:tcPr>
            <w:tcW w:w="794" w:type="dxa"/>
          </w:tcPr>
          <w:p w14:paraId="3ABE8568"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rPr>
                <w:b/>
              </w:rPr>
              <w:t>1 864</w:t>
            </w:r>
          </w:p>
        </w:tc>
        <w:tc>
          <w:tcPr>
            <w:tcW w:w="794" w:type="dxa"/>
          </w:tcPr>
          <w:p w14:paraId="3A10AFE9"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rPr>
                <w:b/>
              </w:rPr>
              <w:t>1 936</w:t>
            </w:r>
          </w:p>
        </w:tc>
        <w:tc>
          <w:tcPr>
            <w:tcW w:w="794" w:type="dxa"/>
          </w:tcPr>
          <w:p w14:paraId="2D396246"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rPr>
                <w:b/>
              </w:rPr>
              <w:t>1 972</w:t>
            </w:r>
          </w:p>
        </w:tc>
      </w:tr>
      <w:tr w:rsidR="00732BC0" w:rsidRPr="001213F7" w14:paraId="7606B0AE" w14:textId="77777777">
        <w:tc>
          <w:tcPr>
            <w:cnfStyle w:val="001000000000" w:firstRow="0" w:lastRow="0" w:firstColumn="1" w:lastColumn="0" w:oddVBand="0" w:evenVBand="0" w:oddHBand="0" w:evenHBand="0" w:firstRowFirstColumn="0" w:firstRowLastColumn="0" w:lastRowFirstColumn="0" w:lastRowLastColumn="0"/>
            <w:tcW w:w="2946" w:type="dxa"/>
            <w:tcBorders>
              <w:bottom w:val="single" w:sz="6" w:space="0" w:color="auto"/>
            </w:tcBorders>
          </w:tcPr>
          <w:p w14:paraId="6690597D" w14:textId="77777777" w:rsidR="00732BC0" w:rsidRPr="001213F7" w:rsidRDefault="00732BC0">
            <w:r w:rsidRPr="001213F7">
              <w:t xml:space="preserve">Add back: Operating cash flows not recognised in the net operating balance </w:t>
            </w:r>
            <w:r w:rsidRPr="001213F7">
              <w:rPr>
                <w:vertAlign w:val="superscript"/>
              </w:rPr>
              <w:t>(b)</w:t>
            </w:r>
          </w:p>
        </w:tc>
        <w:tc>
          <w:tcPr>
            <w:tcW w:w="794" w:type="dxa"/>
            <w:tcBorders>
              <w:bottom w:val="single" w:sz="6" w:space="0" w:color="auto"/>
            </w:tcBorders>
          </w:tcPr>
          <w:p w14:paraId="4AC5EE38"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5 858</w:t>
            </w:r>
          </w:p>
        </w:tc>
        <w:tc>
          <w:tcPr>
            <w:tcW w:w="794" w:type="dxa"/>
            <w:tcBorders>
              <w:bottom w:val="single" w:sz="6" w:space="0" w:color="auto"/>
            </w:tcBorders>
          </w:tcPr>
          <w:p w14:paraId="2650C412"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6 210</w:t>
            </w:r>
          </w:p>
        </w:tc>
        <w:tc>
          <w:tcPr>
            <w:tcW w:w="794" w:type="dxa"/>
            <w:tcBorders>
              <w:bottom w:val="single" w:sz="6" w:space="0" w:color="auto"/>
            </w:tcBorders>
          </w:tcPr>
          <w:p w14:paraId="037EA555"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5 429</w:t>
            </w:r>
          </w:p>
        </w:tc>
        <w:tc>
          <w:tcPr>
            <w:tcW w:w="794" w:type="dxa"/>
            <w:tcBorders>
              <w:bottom w:val="single" w:sz="6" w:space="0" w:color="auto"/>
            </w:tcBorders>
          </w:tcPr>
          <w:p w14:paraId="2C996999"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4 427</w:t>
            </w:r>
          </w:p>
        </w:tc>
        <w:tc>
          <w:tcPr>
            <w:tcW w:w="794" w:type="dxa"/>
            <w:tcBorders>
              <w:bottom w:val="single" w:sz="6" w:space="0" w:color="auto"/>
            </w:tcBorders>
          </w:tcPr>
          <w:p w14:paraId="1474E382"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4 515</w:t>
            </w:r>
          </w:p>
        </w:tc>
        <w:tc>
          <w:tcPr>
            <w:tcW w:w="794" w:type="dxa"/>
            <w:tcBorders>
              <w:bottom w:val="single" w:sz="6" w:space="0" w:color="auto"/>
            </w:tcBorders>
          </w:tcPr>
          <w:p w14:paraId="6348AC4B"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4 566</w:t>
            </w:r>
          </w:p>
        </w:tc>
      </w:tr>
      <w:tr w:rsidR="00732BC0" w:rsidRPr="001213F7" w14:paraId="5BBF6A89" w14:textId="77777777">
        <w:tc>
          <w:tcPr>
            <w:cnfStyle w:val="001000000000" w:firstRow="0" w:lastRow="0" w:firstColumn="1" w:lastColumn="0" w:oddVBand="0" w:evenVBand="0" w:oddHBand="0" w:evenHBand="0" w:firstRowFirstColumn="0" w:firstRowLastColumn="0" w:lastRowFirstColumn="0" w:lastRowLastColumn="0"/>
            <w:tcW w:w="2946" w:type="dxa"/>
            <w:tcBorders>
              <w:top w:val="single" w:sz="6" w:space="0" w:color="auto"/>
              <w:bottom w:val="single" w:sz="6" w:space="0" w:color="auto"/>
            </w:tcBorders>
          </w:tcPr>
          <w:p w14:paraId="79B4F194" w14:textId="77777777" w:rsidR="00732BC0" w:rsidRPr="001213F7" w:rsidRDefault="00732BC0">
            <w:r w:rsidRPr="001213F7">
              <w:rPr>
                <w:b/>
              </w:rPr>
              <w:t>Net cash flows from operating activities</w:t>
            </w:r>
          </w:p>
        </w:tc>
        <w:tc>
          <w:tcPr>
            <w:tcW w:w="794" w:type="dxa"/>
            <w:tcBorders>
              <w:top w:val="single" w:sz="6" w:space="0" w:color="auto"/>
              <w:bottom w:val="single" w:sz="6" w:space="0" w:color="auto"/>
            </w:tcBorders>
          </w:tcPr>
          <w:p w14:paraId="2DA4AA09"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rPr>
                <w:b/>
              </w:rPr>
              <w:t>3 233</w:t>
            </w:r>
          </w:p>
        </w:tc>
        <w:tc>
          <w:tcPr>
            <w:tcW w:w="794" w:type="dxa"/>
            <w:tcBorders>
              <w:top w:val="single" w:sz="6" w:space="0" w:color="auto"/>
              <w:bottom w:val="single" w:sz="6" w:space="0" w:color="auto"/>
            </w:tcBorders>
          </w:tcPr>
          <w:p w14:paraId="211BEB12"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rPr>
                <w:b/>
              </w:rPr>
              <w:t>6 937</w:t>
            </w:r>
          </w:p>
        </w:tc>
        <w:tc>
          <w:tcPr>
            <w:tcW w:w="794" w:type="dxa"/>
            <w:tcBorders>
              <w:top w:val="single" w:sz="6" w:space="0" w:color="auto"/>
              <w:bottom w:val="single" w:sz="6" w:space="0" w:color="auto"/>
            </w:tcBorders>
          </w:tcPr>
          <w:p w14:paraId="4715D62C"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rPr>
                <w:b/>
              </w:rPr>
              <w:t>6 477</w:t>
            </w:r>
          </w:p>
        </w:tc>
        <w:tc>
          <w:tcPr>
            <w:tcW w:w="794" w:type="dxa"/>
            <w:tcBorders>
              <w:top w:val="single" w:sz="6" w:space="0" w:color="auto"/>
              <w:bottom w:val="single" w:sz="6" w:space="0" w:color="auto"/>
            </w:tcBorders>
          </w:tcPr>
          <w:p w14:paraId="2BC63E83"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rPr>
                <w:b/>
              </w:rPr>
              <w:t>6 291</w:t>
            </w:r>
          </w:p>
        </w:tc>
        <w:tc>
          <w:tcPr>
            <w:tcW w:w="794" w:type="dxa"/>
            <w:tcBorders>
              <w:top w:val="single" w:sz="6" w:space="0" w:color="auto"/>
              <w:bottom w:val="single" w:sz="6" w:space="0" w:color="auto"/>
            </w:tcBorders>
          </w:tcPr>
          <w:p w14:paraId="6F58E9F9"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rPr>
                <w:b/>
              </w:rPr>
              <w:t>6 451</w:t>
            </w:r>
          </w:p>
        </w:tc>
        <w:tc>
          <w:tcPr>
            <w:tcW w:w="794" w:type="dxa"/>
            <w:tcBorders>
              <w:top w:val="single" w:sz="6" w:space="0" w:color="auto"/>
              <w:bottom w:val="single" w:sz="6" w:space="0" w:color="auto"/>
            </w:tcBorders>
          </w:tcPr>
          <w:p w14:paraId="4114F31D"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rPr>
                <w:b/>
              </w:rPr>
              <w:t>6 538</w:t>
            </w:r>
          </w:p>
        </w:tc>
      </w:tr>
      <w:tr w:rsidR="00732BC0" w:rsidRPr="001213F7" w14:paraId="2A655DD5" w14:textId="77777777">
        <w:tc>
          <w:tcPr>
            <w:cnfStyle w:val="001000000000" w:firstRow="0" w:lastRow="0" w:firstColumn="1" w:lastColumn="0" w:oddVBand="0" w:evenVBand="0" w:oddHBand="0" w:evenHBand="0" w:firstRowFirstColumn="0" w:firstRowLastColumn="0" w:lastRowFirstColumn="0" w:lastRowLastColumn="0"/>
            <w:tcW w:w="2946" w:type="dxa"/>
            <w:tcBorders>
              <w:top w:val="single" w:sz="6" w:space="0" w:color="auto"/>
              <w:bottom w:val="single" w:sz="6" w:space="0" w:color="auto"/>
            </w:tcBorders>
          </w:tcPr>
          <w:p w14:paraId="59670327" w14:textId="77777777" w:rsidR="00732BC0" w:rsidRPr="001213F7" w:rsidRDefault="00732BC0">
            <w:r w:rsidRPr="001213F7">
              <w:rPr>
                <w:b/>
              </w:rPr>
              <w:t xml:space="preserve">Less: Total net investment in fixed assets </w:t>
            </w:r>
            <w:r w:rsidRPr="001213F7">
              <w:rPr>
                <w:b/>
                <w:vertAlign w:val="superscript"/>
              </w:rPr>
              <w:t>(c)</w:t>
            </w:r>
          </w:p>
        </w:tc>
        <w:tc>
          <w:tcPr>
            <w:tcW w:w="794" w:type="dxa"/>
            <w:tcBorders>
              <w:top w:val="single" w:sz="6" w:space="0" w:color="auto"/>
              <w:bottom w:val="single" w:sz="6" w:space="0" w:color="auto"/>
            </w:tcBorders>
          </w:tcPr>
          <w:p w14:paraId="5FF0D2E5"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rPr>
                <w:b/>
              </w:rPr>
              <w:t>19 619</w:t>
            </w:r>
          </w:p>
        </w:tc>
        <w:tc>
          <w:tcPr>
            <w:tcW w:w="794" w:type="dxa"/>
            <w:tcBorders>
              <w:top w:val="single" w:sz="6" w:space="0" w:color="auto"/>
              <w:bottom w:val="single" w:sz="6" w:space="0" w:color="auto"/>
            </w:tcBorders>
          </w:tcPr>
          <w:p w14:paraId="34D79254"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rPr>
                <w:b/>
              </w:rPr>
              <w:t>19 840</w:t>
            </w:r>
          </w:p>
        </w:tc>
        <w:tc>
          <w:tcPr>
            <w:tcW w:w="794" w:type="dxa"/>
            <w:tcBorders>
              <w:top w:val="single" w:sz="6" w:space="0" w:color="auto"/>
              <w:bottom w:val="single" w:sz="6" w:space="0" w:color="auto"/>
            </w:tcBorders>
          </w:tcPr>
          <w:p w14:paraId="4D157303"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rPr>
                <w:b/>
              </w:rPr>
              <w:t>16 817</w:t>
            </w:r>
          </w:p>
        </w:tc>
        <w:tc>
          <w:tcPr>
            <w:tcW w:w="794" w:type="dxa"/>
            <w:tcBorders>
              <w:top w:val="single" w:sz="6" w:space="0" w:color="auto"/>
              <w:bottom w:val="single" w:sz="6" w:space="0" w:color="auto"/>
            </w:tcBorders>
          </w:tcPr>
          <w:p w14:paraId="4AEA1367"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rPr>
                <w:b/>
              </w:rPr>
              <w:t>13 736</w:t>
            </w:r>
          </w:p>
        </w:tc>
        <w:tc>
          <w:tcPr>
            <w:tcW w:w="794" w:type="dxa"/>
            <w:tcBorders>
              <w:top w:val="single" w:sz="6" w:space="0" w:color="auto"/>
              <w:bottom w:val="single" w:sz="6" w:space="0" w:color="auto"/>
            </w:tcBorders>
          </w:tcPr>
          <w:p w14:paraId="10F7440B"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rPr>
                <w:b/>
              </w:rPr>
              <w:t>14 304</w:t>
            </w:r>
          </w:p>
        </w:tc>
        <w:tc>
          <w:tcPr>
            <w:tcW w:w="794" w:type="dxa"/>
            <w:tcBorders>
              <w:top w:val="single" w:sz="6" w:space="0" w:color="auto"/>
              <w:bottom w:val="single" w:sz="6" w:space="0" w:color="auto"/>
            </w:tcBorders>
          </w:tcPr>
          <w:p w14:paraId="78FA0381"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rPr>
                <w:b/>
              </w:rPr>
              <w:t>14 661</w:t>
            </w:r>
          </w:p>
        </w:tc>
      </w:tr>
      <w:tr w:rsidR="00732BC0" w:rsidRPr="001213F7" w14:paraId="02083275" w14:textId="77777777">
        <w:tc>
          <w:tcPr>
            <w:cnfStyle w:val="001000000000" w:firstRow="0" w:lastRow="0" w:firstColumn="1" w:lastColumn="0" w:oddVBand="0" w:evenVBand="0" w:oddHBand="0" w:evenHBand="0" w:firstRowFirstColumn="0" w:firstRowLastColumn="0" w:lastRowFirstColumn="0" w:lastRowLastColumn="0"/>
            <w:tcW w:w="2946" w:type="dxa"/>
            <w:tcBorders>
              <w:top w:val="single" w:sz="6" w:space="0" w:color="auto"/>
              <w:bottom w:val="single" w:sz="6" w:space="0" w:color="auto"/>
            </w:tcBorders>
          </w:tcPr>
          <w:p w14:paraId="0DCD727F" w14:textId="77777777" w:rsidR="00732BC0" w:rsidRPr="001213F7" w:rsidRDefault="00732BC0">
            <w:r w:rsidRPr="001213F7">
              <w:rPr>
                <w:b/>
              </w:rPr>
              <w:t>Surplus/(deficit) of cash from operations after funding net investment in fixed assets</w:t>
            </w:r>
          </w:p>
        </w:tc>
        <w:tc>
          <w:tcPr>
            <w:tcW w:w="794" w:type="dxa"/>
            <w:tcBorders>
              <w:top w:val="single" w:sz="6" w:space="0" w:color="auto"/>
              <w:bottom w:val="single" w:sz="6" w:space="0" w:color="auto"/>
            </w:tcBorders>
          </w:tcPr>
          <w:p w14:paraId="1DAE3BDE"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rPr>
                <w:b/>
              </w:rPr>
              <w:t>(16 387)</w:t>
            </w:r>
          </w:p>
        </w:tc>
        <w:tc>
          <w:tcPr>
            <w:tcW w:w="794" w:type="dxa"/>
            <w:tcBorders>
              <w:top w:val="single" w:sz="6" w:space="0" w:color="auto"/>
              <w:bottom w:val="single" w:sz="6" w:space="0" w:color="auto"/>
            </w:tcBorders>
          </w:tcPr>
          <w:p w14:paraId="403B834C"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rPr>
                <w:b/>
              </w:rPr>
              <w:t>(12 903)</w:t>
            </w:r>
          </w:p>
        </w:tc>
        <w:tc>
          <w:tcPr>
            <w:tcW w:w="794" w:type="dxa"/>
            <w:tcBorders>
              <w:top w:val="single" w:sz="6" w:space="0" w:color="auto"/>
              <w:bottom w:val="single" w:sz="6" w:space="0" w:color="auto"/>
            </w:tcBorders>
          </w:tcPr>
          <w:p w14:paraId="4628D7AC"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rPr>
                <w:b/>
              </w:rPr>
              <w:t>(10 340)</w:t>
            </w:r>
          </w:p>
        </w:tc>
        <w:tc>
          <w:tcPr>
            <w:tcW w:w="794" w:type="dxa"/>
            <w:tcBorders>
              <w:top w:val="single" w:sz="6" w:space="0" w:color="auto"/>
              <w:bottom w:val="single" w:sz="6" w:space="0" w:color="auto"/>
            </w:tcBorders>
          </w:tcPr>
          <w:p w14:paraId="27E6ABE4"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rPr>
                <w:b/>
              </w:rPr>
              <w:t>(7 445)</w:t>
            </w:r>
          </w:p>
        </w:tc>
        <w:tc>
          <w:tcPr>
            <w:tcW w:w="794" w:type="dxa"/>
            <w:tcBorders>
              <w:top w:val="single" w:sz="6" w:space="0" w:color="auto"/>
              <w:bottom w:val="single" w:sz="6" w:space="0" w:color="auto"/>
            </w:tcBorders>
          </w:tcPr>
          <w:p w14:paraId="575D0B77"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rPr>
                <w:b/>
              </w:rPr>
              <w:t>(7 853)</w:t>
            </w:r>
          </w:p>
        </w:tc>
        <w:tc>
          <w:tcPr>
            <w:tcW w:w="794" w:type="dxa"/>
            <w:tcBorders>
              <w:top w:val="single" w:sz="6" w:space="0" w:color="auto"/>
              <w:bottom w:val="single" w:sz="6" w:space="0" w:color="auto"/>
            </w:tcBorders>
          </w:tcPr>
          <w:p w14:paraId="278DB291"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rPr>
                <w:b/>
              </w:rPr>
              <w:t>(8 123)</w:t>
            </w:r>
          </w:p>
        </w:tc>
      </w:tr>
      <w:tr w:rsidR="00732BC0" w:rsidRPr="001213F7" w14:paraId="655F7C78" w14:textId="77777777">
        <w:tc>
          <w:tcPr>
            <w:cnfStyle w:val="001000000000" w:firstRow="0" w:lastRow="0" w:firstColumn="1" w:lastColumn="0" w:oddVBand="0" w:evenVBand="0" w:oddHBand="0" w:evenHBand="0" w:firstRowFirstColumn="0" w:firstRowLastColumn="0" w:lastRowFirstColumn="0" w:lastRowLastColumn="0"/>
            <w:tcW w:w="2946" w:type="dxa"/>
            <w:tcBorders>
              <w:top w:val="single" w:sz="6" w:space="0" w:color="auto"/>
            </w:tcBorders>
          </w:tcPr>
          <w:p w14:paraId="0F845473" w14:textId="77777777" w:rsidR="00732BC0" w:rsidRPr="001213F7" w:rsidRDefault="00732BC0">
            <w:r w:rsidRPr="001213F7">
              <w:t>Less:</w:t>
            </w:r>
          </w:p>
        </w:tc>
        <w:tc>
          <w:tcPr>
            <w:tcW w:w="794" w:type="dxa"/>
            <w:tcBorders>
              <w:top w:val="single" w:sz="6" w:space="0" w:color="auto"/>
            </w:tcBorders>
          </w:tcPr>
          <w:p w14:paraId="62A87E1E"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74FB3A88"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65017A5A"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04BFADC9"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487A9863"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2234F9CA"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p>
        </w:tc>
      </w:tr>
      <w:tr w:rsidR="00732BC0" w:rsidRPr="001213F7" w14:paraId="17FF865D" w14:textId="77777777">
        <w:tc>
          <w:tcPr>
            <w:cnfStyle w:val="001000000000" w:firstRow="0" w:lastRow="0" w:firstColumn="1" w:lastColumn="0" w:oddVBand="0" w:evenVBand="0" w:oddHBand="0" w:evenHBand="0" w:firstRowFirstColumn="0" w:firstRowLastColumn="0" w:lastRowFirstColumn="0" w:lastRowLastColumn="0"/>
            <w:tcW w:w="2946" w:type="dxa"/>
          </w:tcPr>
          <w:p w14:paraId="1B36E961" w14:textId="77777777" w:rsidR="00732BC0" w:rsidRPr="001213F7" w:rsidRDefault="00732BC0">
            <w:r w:rsidRPr="001213F7">
              <w:t xml:space="preserve">     Leases and service concession arrangements </w:t>
            </w:r>
            <w:r w:rsidRPr="001213F7">
              <w:rPr>
                <w:vertAlign w:val="superscript"/>
              </w:rPr>
              <w:t>(d)</w:t>
            </w:r>
          </w:p>
        </w:tc>
        <w:tc>
          <w:tcPr>
            <w:tcW w:w="794" w:type="dxa"/>
          </w:tcPr>
          <w:p w14:paraId="24A3E34A"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2 413</w:t>
            </w:r>
          </w:p>
        </w:tc>
        <w:tc>
          <w:tcPr>
            <w:tcW w:w="794" w:type="dxa"/>
          </w:tcPr>
          <w:p w14:paraId="3E535870"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1 576</w:t>
            </w:r>
          </w:p>
        </w:tc>
        <w:tc>
          <w:tcPr>
            <w:tcW w:w="794" w:type="dxa"/>
          </w:tcPr>
          <w:p w14:paraId="1E749044"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581</w:t>
            </w:r>
          </w:p>
        </w:tc>
        <w:tc>
          <w:tcPr>
            <w:tcW w:w="794" w:type="dxa"/>
          </w:tcPr>
          <w:p w14:paraId="78CF306E"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589</w:t>
            </w:r>
          </w:p>
        </w:tc>
        <w:tc>
          <w:tcPr>
            <w:tcW w:w="794" w:type="dxa"/>
          </w:tcPr>
          <w:p w14:paraId="3F81E0D9"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583</w:t>
            </w:r>
          </w:p>
        </w:tc>
        <w:tc>
          <w:tcPr>
            <w:tcW w:w="794" w:type="dxa"/>
          </w:tcPr>
          <w:p w14:paraId="749BCC74"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478</w:t>
            </w:r>
          </w:p>
        </w:tc>
      </w:tr>
      <w:tr w:rsidR="00732BC0" w:rsidRPr="001213F7" w14:paraId="71DEDFFB" w14:textId="77777777">
        <w:tc>
          <w:tcPr>
            <w:cnfStyle w:val="001000000000" w:firstRow="0" w:lastRow="0" w:firstColumn="1" w:lastColumn="0" w:oddVBand="0" w:evenVBand="0" w:oddHBand="0" w:evenHBand="0" w:firstRowFirstColumn="0" w:firstRowLastColumn="0" w:lastRowFirstColumn="0" w:lastRowLastColumn="0"/>
            <w:tcW w:w="2946" w:type="dxa"/>
            <w:tcBorders>
              <w:bottom w:val="single" w:sz="6" w:space="0" w:color="auto"/>
            </w:tcBorders>
          </w:tcPr>
          <w:p w14:paraId="40D259F4" w14:textId="77777777" w:rsidR="00732BC0" w:rsidRPr="001213F7" w:rsidRDefault="00732BC0">
            <w:r w:rsidRPr="001213F7">
              <w:t xml:space="preserve">     Other movements</w:t>
            </w:r>
          </w:p>
        </w:tc>
        <w:tc>
          <w:tcPr>
            <w:tcW w:w="794" w:type="dxa"/>
            <w:tcBorders>
              <w:bottom w:val="single" w:sz="6" w:space="0" w:color="auto"/>
            </w:tcBorders>
          </w:tcPr>
          <w:p w14:paraId="60D1BA02"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(1 169)</w:t>
            </w:r>
          </w:p>
        </w:tc>
        <w:tc>
          <w:tcPr>
            <w:tcW w:w="794" w:type="dxa"/>
            <w:tcBorders>
              <w:bottom w:val="single" w:sz="6" w:space="0" w:color="auto"/>
            </w:tcBorders>
          </w:tcPr>
          <w:p w14:paraId="68D9CCCB"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(1)</w:t>
            </w:r>
          </w:p>
        </w:tc>
        <w:tc>
          <w:tcPr>
            <w:tcW w:w="794" w:type="dxa"/>
            <w:tcBorders>
              <w:bottom w:val="single" w:sz="6" w:space="0" w:color="auto"/>
            </w:tcBorders>
          </w:tcPr>
          <w:p w14:paraId="0692816F"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(707)</w:t>
            </w:r>
          </w:p>
        </w:tc>
        <w:tc>
          <w:tcPr>
            <w:tcW w:w="794" w:type="dxa"/>
            <w:tcBorders>
              <w:bottom w:val="single" w:sz="6" w:space="0" w:color="auto"/>
            </w:tcBorders>
          </w:tcPr>
          <w:p w14:paraId="3D7C3233"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(424)</w:t>
            </w:r>
          </w:p>
        </w:tc>
        <w:tc>
          <w:tcPr>
            <w:tcW w:w="794" w:type="dxa"/>
            <w:tcBorders>
              <w:bottom w:val="single" w:sz="6" w:space="0" w:color="auto"/>
            </w:tcBorders>
          </w:tcPr>
          <w:p w14:paraId="609EB52D"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(481)</w:t>
            </w:r>
          </w:p>
        </w:tc>
        <w:tc>
          <w:tcPr>
            <w:tcW w:w="794" w:type="dxa"/>
            <w:tcBorders>
              <w:bottom w:val="single" w:sz="6" w:space="0" w:color="auto"/>
            </w:tcBorders>
          </w:tcPr>
          <w:p w14:paraId="439979B5"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(422)</w:t>
            </w:r>
          </w:p>
        </w:tc>
      </w:tr>
      <w:tr w:rsidR="00732BC0" w:rsidRPr="001213F7" w14:paraId="6F0517CC" w14:textId="77777777">
        <w:tc>
          <w:tcPr>
            <w:cnfStyle w:val="001000000000" w:firstRow="0" w:lastRow="0" w:firstColumn="1" w:lastColumn="0" w:oddVBand="0" w:evenVBand="0" w:oddHBand="0" w:evenHBand="0" w:firstRowFirstColumn="0" w:firstRowLastColumn="0" w:lastRowFirstColumn="0" w:lastRowLastColumn="0"/>
            <w:tcW w:w="2946" w:type="dxa"/>
            <w:tcBorders>
              <w:top w:val="single" w:sz="6" w:space="0" w:color="auto"/>
              <w:bottom w:val="single" w:sz="12" w:space="0" w:color="auto"/>
            </w:tcBorders>
          </w:tcPr>
          <w:p w14:paraId="0E43881D" w14:textId="77777777" w:rsidR="00732BC0" w:rsidRPr="001213F7" w:rsidRDefault="00732BC0">
            <w:r w:rsidRPr="001213F7">
              <w:rPr>
                <w:b/>
              </w:rPr>
              <w:t>Decrease/(increase) in net debt</w:t>
            </w:r>
          </w:p>
        </w:tc>
        <w:tc>
          <w:tcPr>
            <w:tcW w:w="794" w:type="dxa"/>
            <w:tcBorders>
              <w:top w:val="single" w:sz="6" w:space="0" w:color="auto"/>
              <w:bottom w:val="single" w:sz="12" w:space="0" w:color="auto"/>
            </w:tcBorders>
          </w:tcPr>
          <w:p w14:paraId="4FC9719D"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rPr>
                <w:b/>
              </w:rPr>
              <w:t>(17 630)</w:t>
            </w:r>
          </w:p>
        </w:tc>
        <w:tc>
          <w:tcPr>
            <w:tcW w:w="794" w:type="dxa"/>
            <w:tcBorders>
              <w:top w:val="single" w:sz="6" w:space="0" w:color="auto"/>
              <w:bottom w:val="single" w:sz="12" w:space="0" w:color="auto"/>
            </w:tcBorders>
          </w:tcPr>
          <w:p w14:paraId="7E186CE6"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rPr>
                <w:b/>
              </w:rPr>
              <w:t>(14 478)</w:t>
            </w:r>
          </w:p>
        </w:tc>
        <w:tc>
          <w:tcPr>
            <w:tcW w:w="794" w:type="dxa"/>
            <w:tcBorders>
              <w:top w:val="single" w:sz="6" w:space="0" w:color="auto"/>
              <w:bottom w:val="single" w:sz="12" w:space="0" w:color="auto"/>
            </w:tcBorders>
          </w:tcPr>
          <w:p w14:paraId="0A169DBB"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rPr>
                <w:b/>
              </w:rPr>
              <w:t>(10 215)</w:t>
            </w:r>
          </w:p>
        </w:tc>
        <w:tc>
          <w:tcPr>
            <w:tcW w:w="794" w:type="dxa"/>
            <w:tcBorders>
              <w:top w:val="single" w:sz="6" w:space="0" w:color="auto"/>
              <w:bottom w:val="single" w:sz="12" w:space="0" w:color="auto"/>
            </w:tcBorders>
          </w:tcPr>
          <w:p w14:paraId="20ADD13F"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rPr>
                <w:b/>
              </w:rPr>
              <w:t>(7 610)</w:t>
            </w:r>
          </w:p>
        </w:tc>
        <w:tc>
          <w:tcPr>
            <w:tcW w:w="794" w:type="dxa"/>
            <w:tcBorders>
              <w:top w:val="single" w:sz="6" w:space="0" w:color="auto"/>
              <w:bottom w:val="single" w:sz="12" w:space="0" w:color="auto"/>
            </w:tcBorders>
          </w:tcPr>
          <w:p w14:paraId="47412E36"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rPr>
                <w:b/>
              </w:rPr>
              <w:t>(7 956)</w:t>
            </w:r>
          </w:p>
        </w:tc>
        <w:tc>
          <w:tcPr>
            <w:tcW w:w="794" w:type="dxa"/>
            <w:tcBorders>
              <w:top w:val="single" w:sz="6" w:space="0" w:color="auto"/>
              <w:bottom w:val="single" w:sz="12" w:space="0" w:color="auto"/>
            </w:tcBorders>
          </w:tcPr>
          <w:p w14:paraId="2A969CAB"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rPr>
                <w:b/>
              </w:rPr>
              <w:t>(8 180)</w:t>
            </w:r>
          </w:p>
        </w:tc>
      </w:tr>
    </w:tbl>
    <w:p w14:paraId="316ED87C" w14:textId="77777777" w:rsidR="00732BC0" w:rsidRPr="001213F7" w:rsidRDefault="00732BC0" w:rsidP="0023596A">
      <w:pPr>
        <w:pStyle w:val="Note"/>
      </w:pPr>
      <w:r w:rsidRPr="001213F7">
        <w:t>Notes:</w:t>
      </w:r>
    </w:p>
    <w:p w14:paraId="0473CBC4" w14:textId="77777777" w:rsidR="00732BC0" w:rsidRPr="001213F7" w:rsidRDefault="00732BC0" w:rsidP="0023596A">
      <w:pPr>
        <w:pStyle w:val="Note"/>
      </w:pPr>
      <w:r w:rsidRPr="001213F7">
        <w:t xml:space="preserve">(a) </w:t>
      </w:r>
      <w:r w:rsidRPr="001213F7">
        <w:tab/>
        <w:t>Figures in this table are rounded to the nearest million and may not add up to totals.</w:t>
      </w:r>
    </w:p>
    <w:p w14:paraId="695CD2F3" w14:textId="77777777" w:rsidR="00732BC0" w:rsidRPr="001213F7" w:rsidRDefault="00732BC0" w:rsidP="0023596A">
      <w:pPr>
        <w:pStyle w:val="Note"/>
      </w:pPr>
      <w:r w:rsidRPr="001213F7">
        <w:t xml:space="preserve">(b) </w:t>
      </w:r>
      <w:r w:rsidRPr="001213F7">
        <w:tab/>
        <w:t>Includes depreciation, prepayments and movements in the superannuation liability and liability of employee benefits for the year, and the progressive unwinding of the grant of a right to the operator liability.</w:t>
      </w:r>
    </w:p>
    <w:p w14:paraId="2915AFB0" w14:textId="77777777" w:rsidR="00732BC0" w:rsidRPr="001213F7" w:rsidRDefault="00732BC0" w:rsidP="0023596A">
      <w:pPr>
        <w:pStyle w:val="Note"/>
      </w:pPr>
      <w:r w:rsidRPr="001213F7">
        <w:t xml:space="preserve">(c) </w:t>
      </w:r>
      <w:r w:rsidRPr="001213F7">
        <w:tab/>
        <w:t>Includes total purchases of plant, property and equipment, and net capital contributions to other sectors of government net of proceeds from asset sales.</w:t>
      </w:r>
    </w:p>
    <w:p w14:paraId="4001ACA2" w14:textId="77777777" w:rsidR="00732BC0" w:rsidRPr="001213F7" w:rsidRDefault="00732BC0" w:rsidP="0023596A">
      <w:pPr>
        <w:pStyle w:val="Note"/>
      </w:pPr>
      <w:bookmarkStart w:id="53" w:name="_Hlk164085222"/>
      <w:bookmarkEnd w:id="52"/>
      <w:r w:rsidRPr="001213F7">
        <w:t>(d)</w:t>
      </w:r>
      <w:r w:rsidRPr="001213F7">
        <w:tab/>
        <w:t xml:space="preserve">Includes most operating leases, which are required to be recognised as lease liabilities, and also includes the financial liabilities relating to public private partnership projects. </w:t>
      </w:r>
    </w:p>
    <w:bookmarkEnd w:id="53"/>
    <w:p w14:paraId="1B489773" w14:textId="77777777" w:rsidR="00732BC0" w:rsidRPr="001213F7" w:rsidRDefault="00732BC0" w:rsidP="0023596A">
      <w:pPr>
        <w:pStyle w:val="Heading2"/>
      </w:pPr>
      <w:r w:rsidRPr="001213F7">
        <w:lastRenderedPageBreak/>
        <w:t>Unfunded superannuation liability</w:t>
      </w:r>
    </w:p>
    <w:p w14:paraId="4AE6CD06" w14:textId="08C4FD6A" w:rsidR="00732BC0" w:rsidRPr="001213F7" w:rsidRDefault="00732BC0" w:rsidP="0023596A">
      <w:r w:rsidRPr="001213F7">
        <w:t xml:space="preserve">The Government is on track to fully fund the State’s unfunded superannuation liability by 2035. Note 1.3.3 of Budget Paper No. 5, Chapter 1 </w:t>
      </w:r>
      <w:r w:rsidRPr="001213F7">
        <w:rPr>
          <w:i/>
        </w:rPr>
        <w:t xml:space="preserve">Estimated </w:t>
      </w:r>
      <w:r w:rsidR="00514650" w:rsidRPr="001213F7">
        <w:rPr>
          <w:i/>
        </w:rPr>
        <w:t xml:space="preserve">financial statements </w:t>
      </w:r>
      <w:r w:rsidRPr="001213F7">
        <w:rPr>
          <w:i/>
        </w:rPr>
        <w:t>for the general government sector</w:t>
      </w:r>
      <w:r w:rsidRPr="001213F7">
        <w:t xml:space="preserve"> shows information on the reported superannuation liability.</w:t>
      </w:r>
    </w:p>
    <w:p w14:paraId="13544C81" w14:textId="77777777" w:rsidR="00732BC0" w:rsidRPr="001213F7" w:rsidRDefault="00732BC0" w:rsidP="0023596A">
      <w:pPr>
        <w:pStyle w:val="Heading1"/>
      </w:pPr>
      <w:bookmarkStart w:id="54" w:name="_Toc165467346"/>
      <w:bookmarkStart w:id="55" w:name="_Toc197955072"/>
      <w:bookmarkStart w:id="56" w:name="_Toc228545304"/>
      <w:r w:rsidRPr="001213F7">
        <w:t>Fiscal risks</w:t>
      </w:r>
      <w:bookmarkEnd w:id="54"/>
      <w:bookmarkEnd w:id="55"/>
      <w:bookmarkEnd w:id="56"/>
    </w:p>
    <w:p w14:paraId="2407A4DE" w14:textId="77777777" w:rsidR="00732BC0" w:rsidRPr="001213F7" w:rsidRDefault="00732BC0" w:rsidP="0023596A">
      <w:pPr>
        <w:keepNext/>
      </w:pPr>
      <w:r w:rsidRPr="001213F7">
        <w:t xml:space="preserve">This section discusses a number of risks that, if realised, are likely to affect the State’s financial position and budget outcomes. </w:t>
      </w:r>
    </w:p>
    <w:p w14:paraId="544C8E5F" w14:textId="77777777" w:rsidR="00732BC0" w:rsidRPr="001213F7" w:rsidRDefault="00732BC0" w:rsidP="0023596A">
      <w:r w:rsidRPr="001213F7">
        <w:t xml:space="preserve">Details of specific contingent assets and liabilities, defined as possible assets or liabilities that arise from past events whose existence will be confirmed only by the occurrence or non-occurrence of one or more uncertain future events not wholly within the control of the entity, are contained within Budget Paper No. 5, Chapter 6 </w:t>
      </w:r>
      <w:r w:rsidRPr="001213F7">
        <w:rPr>
          <w:i/>
          <w:iCs/>
        </w:rPr>
        <w:t>Contingent assets and contingent liabilities</w:t>
      </w:r>
      <w:r w:rsidRPr="001213F7">
        <w:t>.</w:t>
      </w:r>
    </w:p>
    <w:p w14:paraId="17FEB56B" w14:textId="77777777" w:rsidR="00732BC0" w:rsidRPr="001213F7" w:rsidRDefault="00732BC0" w:rsidP="0023596A">
      <w:pPr>
        <w:pStyle w:val="Heading2"/>
      </w:pPr>
      <w:r w:rsidRPr="001213F7">
        <w:t>General fiscal risks</w:t>
      </w:r>
    </w:p>
    <w:p w14:paraId="21829AB9" w14:textId="77777777" w:rsidR="00732BC0" w:rsidRPr="001213F7" w:rsidRDefault="00732BC0" w:rsidP="0023596A">
      <w:pPr>
        <w:keepNext/>
        <w:rPr>
          <w:rFonts w:ascii="Garamond" w:hAnsi="Garamond"/>
        </w:rPr>
      </w:pPr>
      <w:r w:rsidRPr="001213F7">
        <w:t xml:space="preserve">There are risks to Victoria’s economic outlook and the forecasts are subject to uncertainty. </w:t>
      </w:r>
      <w:r w:rsidRPr="001213F7">
        <w:rPr>
          <w:rFonts w:ascii="Garamond" w:hAnsi="Garamond"/>
        </w:rPr>
        <w:t>These risks have increased in recent months and are elevated.</w:t>
      </w:r>
    </w:p>
    <w:p w14:paraId="2A765E4F" w14:textId="77777777" w:rsidR="00732BC0" w:rsidRPr="001213F7" w:rsidRDefault="00732BC0" w:rsidP="0023596A">
      <w:pPr>
        <w:keepNext/>
      </w:pPr>
      <w:r w:rsidRPr="001213F7">
        <w:rPr>
          <w:rFonts w:ascii="Garamond" w:hAnsi="Garamond"/>
        </w:rPr>
        <w:t xml:space="preserve">Risks to the Victorian outlook from the global environment have increased amid a highly uncertain geopolitical backdrop. The conflict in the Middle East is affecting global energy markets, supply chains and asset markets. Energy prices have risen sharply as supply has been curtailed. This will lead to higher global and national inflation, which will weigh on economic growth. However, the trajectory of the conflict is highly uncertain, including its duration, which means the magnitude of these economic impacts is uncertain. A longer or more expansive conflict could weigh heavily on global and national economic growth. </w:t>
      </w:r>
    </w:p>
    <w:p w14:paraId="1A0CD1E5" w14:textId="77777777" w:rsidR="00732BC0" w:rsidRPr="001213F7" w:rsidRDefault="00732BC0" w:rsidP="00E248EB">
      <w:pPr>
        <w:ind w:right="-29"/>
      </w:pPr>
      <w:r w:rsidRPr="001213F7">
        <w:rPr>
          <w:rFonts w:ascii="Garamond" w:hAnsi="Garamond"/>
        </w:rPr>
        <w:t xml:space="preserve">The outlook for overall domestic inflationary pressure, and hence the outlook for interest rates, remains a key source of uncertainty. The re-emergence of inflation pressures in Australia led the Reserve Bank of Australia (RBA) to raise interest rates twice in early 2026, and at least one further rate increase in 2026 is widely expected. Inflation pressures were emerging even before the start of the Middle East conflict and the resulting spike in fuel costs. If inflation rises more than expected, the RBA could raise rates further than currently anticipated. </w:t>
      </w:r>
      <w:r w:rsidRPr="001213F7">
        <w:t>The stance of monetary policy will affect the outlook for economic activity and employment growth, with flow-on impacts on revenue and expenditure. For example, GST revenue, land transfer duty revenue and interest expense are linked to changes in economic growth, inflation and/or interest rates.</w:t>
      </w:r>
    </w:p>
    <w:p w14:paraId="78DD05D2" w14:textId="77777777" w:rsidR="00732BC0" w:rsidRPr="001213F7" w:rsidRDefault="00732BC0" w:rsidP="00CF7B93">
      <w:pPr>
        <w:ind w:right="-127"/>
      </w:pPr>
      <w:r w:rsidRPr="001213F7">
        <w:t>The Government’s forecast revenues, expenses and borrowings are predicated on a series of assumptions, including those related to the global economy. If these assumptions do not eventuate, the actual financial outcomes may differ from the Government’s current budget.</w:t>
      </w:r>
    </w:p>
    <w:p w14:paraId="52353C01" w14:textId="77777777" w:rsidR="00732BC0" w:rsidRPr="001213F7" w:rsidRDefault="00732BC0" w:rsidP="00CF7B93">
      <w:pPr>
        <w:keepNext/>
      </w:pPr>
      <w:r w:rsidRPr="001213F7">
        <w:lastRenderedPageBreak/>
        <w:t xml:space="preserve">Chapter 6 </w:t>
      </w:r>
      <w:r w:rsidRPr="001213F7">
        <w:rPr>
          <w:i/>
        </w:rPr>
        <w:t>Sensitivity analysis</w:t>
      </w:r>
      <w:r w:rsidRPr="001213F7">
        <w:t xml:space="preserve"> contains information on the impact of variations in the macroeconomic outlook on the Government’s key fiscal aggregates. </w:t>
      </w:r>
      <w:r w:rsidRPr="001213F7">
        <w:rPr>
          <w:rFonts w:ascii="Garamond" w:hAnsi="Garamond"/>
        </w:rPr>
        <w:t>Chapter 6 models the impacts of a more protracted Middle East conflict with higher global oil prices than assumed in the baseline economic forecasts, as well as the impacts of an upside scenario of a lower trend unemployment rate.</w:t>
      </w:r>
    </w:p>
    <w:p w14:paraId="5F4BCFCC" w14:textId="07B2942E" w:rsidR="00732BC0" w:rsidRPr="001213F7" w:rsidRDefault="00732BC0" w:rsidP="0023596A">
      <w:r w:rsidRPr="001213F7">
        <w:t>Further detail on the economic outlook and risks to the outlook is included in Chapter 2</w:t>
      </w:r>
      <w:r w:rsidR="00262837" w:rsidRPr="001213F7">
        <w:t xml:space="preserve"> </w:t>
      </w:r>
      <w:r w:rsidRPr="001213F7">
        <w:rPr>
          <w:i/>
        </w:rPr>
        <w:t>Economic context</w:t>
      </w:r>
      <w:r w:rsidRPr="001213F7">
        <w:t>.</w:t>
      </w:r>
    </w:p>
    <w:p w14:paraId="7A6FB25A" w14:textId="77777777" w:rsidR="00732BC0" w:rsidRPr="001213F7" w:rsidRDefault="00732BC0" w:rsidP="0023596A">
      <w:pPr>
        <w:pStyle w:val="Heading3"/>
      </w:pPr>
      <w:r w:rsidRPr="001213F7">
        <w:t>State taxes</w:t>
      </w:r>
    </w:p>
    <w:p w14:paraId="2A1A2075" w14:textId="77777777" w:rsidR="00732BC0" w:rsidRPr="001213F7" w:rsidRDefault="00732BC0">
      <w:pPr>
        <w:rPr>
          <w:rFonts w:ascii="Garamond" w:eastAsia="Garamond" w:hAnsi="Garamond" w:cs="Garamond"/>
          <w:color w:val="000000" w:themeColor="text1"/>
        </w:rPr>
      </w:pPr>
      <w:r w:rsidRPr="001213F7">
        <w:rPr>
          <w:rFonts w:ascii="Garamond" w:eastAsia="Garamond" w:hAnsi="Garamond" w:cs="Garamond"/>
          <w:color w:val="000000" w:themeColor="text1"/>
        </w:rPr>
        <w:t>State tax forecasts are primarily modelled on the relationships between taxation revenue and projected economic variables. As a result, the main source of uncertainty for state taxation estimates is unforeseen changes in the economic outlook.</w:t>
      </w:r>
    </w:p>
    <w:p w14:paraId="475BE26C" w14:textId="77777777" w:rsidR="00732BC0" w:rsidRPr="001213F7" w:rsidRDefault="00732BC0">
      <w:pPr>
        <w:ind w:right="-29"/>
        <w:rPr>
          <w:rFonts w:ascii="Garamond" w:eastAsia="Garamond" w:hAnsi="Garamond" w:cs="Garamond"/>
          <w:color w:val="000000" w:themeColor="text1"/>
        </w:rPr>
      </w:pPr>
      <w:r w:rsidRPr="001213F7">
        <w:rPr>
          <w:rFonts w:ascii="Garamond" w:eastAsia="Garamond" w:hAnsi="Garamond" w:cs="Garamond"/>
          <w:color w:val="000000" w:themeColor="text1"/>
        </w:rPr>
        <w:t>Uncertainty in global conditions, particularly the conflict in the Middle East, is a risk to the Victorian economy and state taxation revenue. A longer or more severe conflict could put further upward pressure on global energy prices. Higher prices and prolonged uncertainty may cause households and firms to defer spending and business expansion decisions, posing downside risks to tax revenues. Conversely, higher than expected inflation may increase the nominal value of Victoria’s tax bases which could drive higher revenues.</w:t>
      </w:r>
    </w:p>
    <w:p w14:paraId="2B0A32BC" w14:textId="77777777" w:rsidR="00732BC0" w:rsidRPr="001213F7" w:rsidRDefault="00732BC0">
      <w:pPr>
        <w:rPr>
          <w:rFonts w:ascii="Garamond" w:eastAsia="Garamond" w:hAnsi="Garamond" w:cs="Garamond"/>
          <w:color w:val="000000" w:themeColor="text1"/>
        </w:rPr>
      </w:pPr>
      <w:r w:rsidRPr="001213F7">
        <w:rPr>
          <w:rFonts w:ascii="Garamond" w:eastAsia="Garamond" w:hAnsi="Garamond" w:cs="Garamond"/>
          <w:color w:val="000000" w:themeColor="text1"/>
        </w:rPr>
        <w:t>Victoria’s labour market remains healthy, and a higher inflationary environment could factor into wage negotiations, leading to higher than expected wage growth and bolstering the revenue outlook for taxes on employers’ payroll and labour force. However, there remain risks around employers’ responses to the expected moderation in economic growth, where lower</w:t>
      </w:r>
      <w:r w:rsidRPr="001213F7" w:rsidDel="00126537">
        <w:rPr>
          <w:rFonts w:ascii="Garamond" w:eastAsia="Garamond" w:hAnsi="Garamond" w:cs="Garamond"/>
          <w:color w:val="000000" w:themeColor="text1"/>
        </w:rPr>
        <w:t xml:space="preserve"> </w:t>
      </w:r>
      <w:r w:rsidRPr="001213F7">
        <w:rPr>
          <w:rFonts w:ascii="Garamond" w:eastAsia="Garamond" w:hAnsi="Garamond" w:cs="Garamond"/>
          <w:color w:val="000000" w:themeColor="text1"/>
        </w:rPr>
        <w:t>than</w:t>
      </w:r>
      <w:r w:rsidRPr="001213F7" w:rsidDel="00126537">
        <w:rPr>
          <w:rFonts w:ascii="Garamond" w:eastAsia="Garamond" w:hAnsi="Garamond" w:cs="Garamond"/>
          <w:color w:val="000000" w:themeColor="text1"/>
        </w:rPr>
        <w:t xml:space="preserve"> </w:t>
      </w:r>
      <w:r w:rsidRPr="001213F7">
        <w:rPr>
          <w:rFonts w:ascii="Garamond" w:eastAsia="Garamond" w:hAnsi="Garamond" w:cs="Garamond"/>
          <w:color w:val="000000" w:themeColor="text1"/>
        </w:rPr>
        <w:t xml:space="preserve">expected hours worked or lower employment growth could weigh on taxes on employers’ payroll. </w:t>
      </w:r>
    </w:p>
    <w:p w14:paraId="4149268C" w14:textId="77777777" w:rsidR="00732BC0" w:rsidRPr="001213F7" w:rsidRDefault="00732BC0" w:rsidP="0023596A">
      <w:pPr>
        <w:pStyle w:val="Heading3"/>
      </w:pPr>
      <w:r w:rsidRPr="001213F7">
        <w:t>Property-related taxes</w:t>
      </w:r>
    </w:p>
    <w:p w14:paraId="2E5890F1" w14:textId="77777777" w:rsidR="00732BC0" w:rsidRPr="001213F7" w:rsidRDefault="00732BC0">
      <w:pPr>
        <w:ind w:right="-29"/>
        <w:rPr>
          <w:rFonts w:ascii="Garamond" w:eastAsia="Garamond" w:hAnsi="Garamond" w:cs="Garamond"/>
          <w:color w:val="000000" w:themeColor="text1"/>
        </w:rPr>
      </w:pPr>
      <w:r w:rsidRPr="001213F7">
        <w:rPr>
          <w:rFonts w:ascii="Garamond" w:eastAsia="Garamond" w:hAnsi="Garamond" w:cs="Garamond"/>
          <w:color w:val="000000" w:themeColor="text1"/>
        </w:rPr>
        <w:t xml:space="preserve">Revenue from property-based taxes is subject to unique risks, and historically has been volatile, as property markets can exhibit large cycles typically related to changes in interest rates and buyer sentiment. </w:t>
      </w:r>
    </w:p>
    <w:p w14:paraId="16BD3D5A" w14:textId="77777777" w:rsidR="00732BC0" w:rsidRPr="001213F7" w:rsidRDefault="00732BC0" w:rsidP="005E747A">
      <w:pPr>
        <w:ind w:right="-37"/>
        <w:rPr>
          <w:rFonts w:ascii="Garamond" w:eastAsia="Garamond" w:hAnsi="Garamond" w:cs="Garamond"/>
          <w:color w:val="000000" w:themeColor="text1"/>
        </w:rPr>
      </w:pPr>
      <w:r w:rsidRPr="001213F7">
        <w:rPr>
          <w:rFonts w:ascii="Garamond" w:eastAsia="Garamond" w:hAnsi="Garamond" w:cs="Garamond"/>
          <w:color w:val="000000" w:themeColor="text1"/>
        </w:rPr>
        <w:t>Property prices and transaction volumes reached cyclical peaks in late 2025, shortly before interest rates began to rise. Both prices and volumes approached pandemic-era highs and have since declined moderately. However, borrowing costs may rise more than expected in the near term, or remain elevated for longer, presenting risks to revenue from land transfer duty in the near term and land tax in the medium term. Market activity for non-residential properties is also at risk of slowing, with accelerated inflationary pressures possibly pausing investment decisions. If investors delay purchasing decisions, this could lead to lower transaction volumes. At the same time, stronger income growth and improving interstate migration, combined with the relative affordability of Victorian dwellings, pose upside risks to property-related taxes.</w:t>
      </w:r>
    </w:p>
    <w:p w14:paraId="74E76A54" w14:textId="77777777" w:rsidR="00732BC0" w:rsidRPr="001213F7" w:rsidRDefault="00732BC0" w:rsidP="0023596A">
      <w:pPr>
        <w:pStyle w:val="Heading3"/>
      </w:pPr>
      <w:r w:rsidRPr="001213F7">
        <w:lastRenderedPageBreak/>
        <w:t>Interest expenses</w:t>
      </w:r>
    </w:p>
    <w:p w14:paraId="6CE7010A" w14:textId="77777777" w:rsidR="00732BC0" w:rsidRPr="001213F7" w:rsidRDefault="00732BC0" w:rsidP="00E90C2A">
      <w:pPr>
        <w:ind w:right="-37"/>
      </w:pPr>
      <w:r w:rsidRPr="001213F7">
        <w:t xml:space="preserve">The State’s debt portfolio is made up predominantly of fixed-interest debt, which means that most of the interest expense on existing debt is not exposed to movements in interest rates. However, typically 6 to 10 per cent of this debt matures each year and must be refinanced at the prevailing market interest rate. The interest expense on the refinancing of maturing debt, along with new borrowings and a small proportion of floating-rate notes in the portfolio, are subject to changes in interest rates. </w:t>
      </w:r>
    </w:p>
    <w:p w14:paraId="751FC574" w14:textId="77777777" w:rsidR="00732BC0" w:rsidRPr="001213F7" w:rsidRDefault="00732BC0">
      <w:pPr>
        <w:ind w:right="-115"/>
      </w:pPr>
      <w:r w:rsidRPr="001213F7">
        <w:t>The interest rate forecasts used in the estimates for interest expenses are based on the forward interest rates derived from the yield curve for the Treasury Corporation of Victoria (TCV) bonds traded in financial markets. Currently, TCV’s</w:t>
      </w:r>
      <w:r w:rsidRPr="001213F7" w:rsidDel="00F10B87">
        <w:t xml:space="preserve"> </w:t>
      </w:r>
      <w:r w:rsidRPr="001213F7">
        <w:t xml:space="preserve">yield curve is upward sloping, implying that future interest rates will be higher than current interest rates. Consequently, the interest expense estimates assume that the average interest rate on new and refinanced borrowings will increase over time. </w:t>
      </w:r>
    </w:p>
    <w:p w14:paraId="5EE6F7D6" w14:textId="77777777" w:rsidR="00732BC0" w:rsidRPr="001213F7" w:rsidRDefault="00732BC0" w:rsidP="0023596A">
      <w:pPr>
        <w:pStyle w:val="Heading3"/>
      </w:pPr>
      <w:r w:rsidRPr="001213F7">
        <w:t>Employee expenses</w:t>
      </w:r>
    </w:p>
    <w:p w14:paraId="5DBEC0F4" w14:textId="77777777" w:rsidR="00732BC0" w:rsidRPr="001213F7" w:rsidRDefault="00732BC0" w:rsidP="0023596A">
      <w:r w:rsidRPr="001213F7">
        <w:t xml:space="preserve">Employee expenses are the State’s largest expense. Two important determinants of employee expenses are wages growth and the number of employees. Wages growth is primarily driven by enterprise bargaining agreements, which are subject to the Government’s Wages Policy. Other factors contributing to projected employee expenses include the anticipated composition and profile of the workforce. </w:t>
      </w:r>
    </w:p>
    <w:p w14:paraId="79FD4646" w14:textId="77777777" w:rsidR="00732BC0" w:rsidRPr="001213F7" w:rsidRDefault="00732BC0" w:rsidP="0023596A">
      <w:pPr>
        <w:pStyle w:val="Heading3"/>
      </w:pPr>
      <w:r w:rsidRPr="001213F7">
        <w:t>Demand for government services</w:t>
      </w:r>
    </w:p>
    <w:p w14:paraId="047DF261" w14:textId="77777777" w:rsidR="00732BC0" w:rsidRPr="001213F7" w:rsidRDefault="00732BC0" w:rsidP="0023596A">
      <w:r w:rsidRPr="001213F7">
        <w:t xml:space="preserve">Another key uncertainty is whether growth in demand for government services will be lower or higher than current projections. This can occur, for example, as a result of higher than forecast population growth or expenditure in response to unforeseen events such as natural disasters, including bushfires and floods. </w:t>
      </w:r>
    </w:p>
    <w:p w14:paraId="6EC82BF5" w14:textId="77777777" w:rsidR="00732BC0" w:rsidRPr="001213F7" w:rsidRDefault="00732BC0" w:rsidP="0023596A">
      <w:r w:rsidRPr="001213F7">
        <w:t>The estimates incorporate contingency provisions to mitigate the impacts of expenditure risks that may be realised during the next four years. The contingency provisions are sized to allow for growth in Victoria’s population and the derived increased demand for government services.</w:t>
      </w:r>
    </w:p>
    <w:p w14:paraId="104B431A" w14:textId="7BD71AA1" w:rsidR="00732BC0" w:rsidRPr="001213F7" w:rsidRDefault="00732BC0" w:rsidP="0023596A">
      <w:r w:rsidRPr="001213F7">
        <w:t xml:space="preserve">Note 1.3.7 and Note 1.3.8 of Budget Paper No. 5, Chapter 1 </w:t>
      </w:r>
      <w:r w:rsidRPr="001213F7">
        <w:rPr>
          <w:i/>
          <w:iCs/>
        </w:rPr>
        <w:t xml:space="preserve">Estimated </w:t>
      </w:r>
      <w:r w:rsidR="00514650" w:rsidRPr="001213F7">
        <w:rPr>
          <w:i/>
          <w:iCs/>
        </w:rPr>
        <w:t xml:space="preserve">financial statements </w:t>
      </w:r>
      <w:r w:rsidRPr="001213F7">
        <w:rPr>
          <w:i/>
          <w:iCs/>
        </w:rPr>
        <w:t>for the general government sector</w:t>
      </w:r>
      <w:r w:rsidRPr="001213F7">
        <w:t xml:space="preserve"> disclose general government output and asset contingencies not allocated to departments.</w:t>
      </w:r>
    </w:p>
    <w:p w14:paraId="325A01E8" w14:textId="77777777" w:rsidR="00732BC0" w:rsidRPr="001213F7" w:rsidRDefault="00732BC0" w:rsidP="0023596A">
      <w:pPr>
        <w:pStyle w:val="Heading3"/>
      </w:pPr>
      <w:r w:rsidRPr="001213F7">
        <w:lastRenderedPageBreak/>
        <w:t>Capital program risks</w:t>
      </w:r>
    </w:p>
    <w:p w14:paraId="4207E35E" w14:textId="749F1AE3" w:rsidR="00732BC0" w:rsidRPr="001213F7" w:rsidRDefault="00732BC0" w:rsidP="00E90C2A">
      <w:pPr>
        <w:pStyle w:val="Heading3"/>
        <w:tabs>
          <w:tab w:val="clear" w:pos="7711"/>
        </w:tabs>
        <w:rPr>
          <w:rFonts w:asciiTheme="minorHAnsi" w:eastAsiaTheme="minorHAnsi" w:hAnsiTheme="minorHAnsi" w:cstheme="minorBidi"/>
          <w:b w:val="0"/>
          <w:sz w:val="22"/>
          <w:szCs w:val="22"/>
        </w:rPr>
      </w:pPr>
      <w:r w:rsidRPr="001213F7">
        <w:rPr>
          <w:rFonts w:asciiTheme="minorHAnsi" w:eastAsiaTheme="minorHAnsi" w:hAnsiTheme="minorHAnsi" w:cstheme="minorBidi"/>
          <w:b w:val="0"/>
          <w:sz w:val="22"/>
          <w:szCs w:val="22"/>
        </w:rPr>
        <w:t xml:space="preserve">Commonwealth investment in the joint infrastructure program included in the </w:t>
      </w:r>
      <w:r w:rsidRPr="001213F7">
        <w:rPr>
          <w:rFonts w:asciiTheme="minorHAnsi" w:eastAsiaTheme="minorHAnsi" w:hAnsiTheme="minorHAnsi" w:cstheme="minorBidi"/>
          <w:b w:val="0"/>
          <w:i/>
          <w:sz w:val="22"/>
          <w:szCs w:val="22"/>
        </w:rPr>
        <w:t>Commonwealth</w:t>
      </w:r>
      <w:r w:rsidR="00E90C2A" w:rsidRPr="001213F7">
        <w:rPr>
          <w:rFonts w:asciiTheme="minorHAnsi" w:eastAsiaTheme="minorHAnsi" w:hAnsiTheme="minorHAnsi" w:cstheme="minorBidi"/>
          <w:b w:val="0"/>
          <w:i/>
          <w:sz w:val="22"/>
          <w:szCs w:val="22"/>
        </w:rPr>
        <w:t xml:space="preserve"> </w:t>
      </w:r>
      <w:r w:rsidRPr="001213F7">
        <w:rPr>
          <w:rFonts w:asciiTheme="minorHAnsi" w:eastAsiaTheme="minorHAnsi" w:hAnsiTheme="minorHAnsi" w:cstheme="minorBidi"/>
          <w:b w:val="0"/>
          <w:i/>
          <w:sz w:val="22"/>
          <w:szCs w:val="22"/>
        </w:rPr>
        <w:t>Budget 2025-26</w:t>
      </w:r>
      <w:r w:rsidRPr="001213F7">
        <w:rPr>
          <w:rFonts w:asciiTheme="minorHAnsi" w:eastAsiaTheme="minorHAnsi" w:hAnsiTheme="minorHAnsi" w:cstheme="minorBidi"/>
          <w:b w:val="0"/>
          <w:sz w:val="22"/>
          <w:szCs w:val="22"/>
        </w:rPr>
        <w:t xml:space="preserve"> and </w:t>
      </w:r>
      <w:r w:rsidRPr="001213F7">
        <w:rPr>
          <w:rFonts w:asciiTheme="minorHAnsi" w:eastAsiaTheme="minorHAnsi" w:hAnsiTheme="minorHAnsi" w:cstheme="minorBidi"/>
          <w:b w:val="0"/>
          <w:i/>
          <w:sz w:val="22"/>
          <w:szCs w:val="22"/>
        </w:rPr>
        <w:t>Mid-Year Economic and Fiscal Outlook 2025-26</w:t>
      </w:r>
      <w:r w:rsidRPr="001213F7">
        <w:rPr>
          <w:rFonts w:asciiTheme="minorHAnsi" w:eastAsiaTheme="minorHAnsi" w:hAnsiTheme="minorHAnsi" w:cstheme="minorBidi"/>
          <w:b w:val="0"/>
          <w:sz w:val="22"/>
          <w:szCs w:val="22"/>
        </w:rPr>
        <w:t xml:space="preserve"> continued the positive trend in strengthening the partnership to fund nationally significant projects. </w:t>
      </w:r>
    </w:p>
    <w:p w14:paraId="43AA6EEE" w14:textId="77777777" w:rsidR="00732BC0" w:rsidRPr="001213F7" w:rsidRDefault="00732BC0" w:rsidP="005E747A">
      <w:pPr>
        <w:pStyle w:val="Heading3"/>
        <w:tabs>
          <w:tab w:val="clear" w:pos="7711"/>
        </w:tabs>
        <w:rPr>
          <w:rFonts w:asciiTheme="minorHAnsi" w:eastAsiaTheme="minorHAnsi" w:hAnsiTheme="minorHAnsi" w:cstheme="minorBidi"/>
          <w:b w:val="0"/>
          <w:sz w:val="22"/>
          <w:szCs w:val="22"/>
        </w:rPr>
      </w:pPr>
      <w:r w:rsidRPr="001213F7">
        <w:rPr>
          <w:rFonts w:asciiTheme="minorHAnsi" w:eastAsiaTheme="minorHAnsi" w:hAnsiTheme="minorHAnsi" w:cstheme="minorBidi"/>
          <w:b w:val="0"/>
          <w:sz w:val="22"/>
          <w:szCs w:val="22"/>
        </w:rPr>
        <w:t xml:space="preserve">Victoria and other jurisdictions across Australia have addressed challenges with the supply of labour and materials by moderating their major public transport infrastructure expenditure and investing in programs to increase the supply of skilled workers. While materials cost growth was easing prior to the start of the conflict in the Middle East, nationwide shortfalls in skilled labour across the construction industry remain a challenge. </w:t>
      </w:r>
    </w:p>
    <w:p w14:paraId="7C6E7BDF" w14:textId="77777777" w:rsidR="00732BC0" w:rsidRPr="001213F7" w:rsidRDefault="00732BC0">
      <w:pPr>
        <w:pStyle w:val="Heading3"/>
      </w:pPr>
      <w:r w:rsidRPr="001213F7">
        <w:rPr>
          <w:rFonts w:asciiTheme="minorHAnsi" w:eastAsiaTheme="minorHAnsi" w:hAnsiTheme="minorHAnsi" w:cstheme="minorBidi"/>
          <w:b w:val="0"/>
          <w:sz w:val="22"/>
          <w:szCs w:val="22"/>
        </w:rPr>
        <w:t>Recent cost increases in fuel and other key supply chain inputs will create escalation pressure across the construction program of all jurisdictions. The potential for such cost pressures to materialise during construction is the reason projects include provisions for cost escalation.</w:t>
      </w:r>
    </w:p>
    <w:p w14:paraId="35930AEE" w14:textId="77777777" w:rsidR="00732BC0" w:rsidRPr="001213F7" w:rsidRDefault="00732BC0" w:rsidP="0023596A">
      <w:pPr>
        <w:pStyle w:val="Heading2"/>
      </w:pPr>
      <w:r w:rsidRPr="001213F7">
        <w:t>Specific fiscal risks</w:t>
      </w:r>
    </w:p>
    <w:p w14:paraId="65171C1C" w14:textId="77777777" w:rsidR="00732BC0" w:rsidRPr="001213F7" w:rsidRDefault="00732BC0" w:rsidP="0023596A">
      <w:pPr>
        <w:pStyle w:val="Heading3"/>
      </w:pPr>
      <w:r w:rsidRPr="001213F7">
        <w:t>Commonwealth schools funding</w:t>
      </w:r>
    </w:p>
    <w:p w14:paraId="429E3B3C" w14:textId="77777777" w:rsidR="00732BC0" w:rsidRPr="001213F7" w:rsidRDefault="00732BC0">
      <w:pPr>
        <w:spacing w:before="80"/>
      </w:pPr>
      <w:r w:rsidRPr="001213F7">
        <w:t>In January 2025, Victoria signed the 10-year multilateral Better and Fairer Schools (BFSA) head agreement. It will run from 1 January 2025 to 31 December 2034. The multilateral agreement will be supported by a bilateral agreement which sets out the agreed trajectory in Schooling Resource Standard (SRS) funding. On 8 December 2025, Victoria signed an interim bilateral agreement that outlines SRS commitments for 2026 while negotiations continue with the Commonwealth on a long-term bilateral agreement.</w:t>
      </w:r>
    </w:p>
    <w:p w14:paraId="4B533733" w14:textId="77777777" w:rsidR="00732BC0" w:rsidRPr="001213F7" w:rsidRDefault="00732BC0">
      <w:pPr>
        <w:spacing w:before="80"/>
      </w:pPr>
      <w:r w:rsidRPr="001213F7">
        <w:t xml:space="preserve">Estimates of funding required to acquit the SRS target each year are based on estimated student numbers and profile projections and are subject to indexation. </w:t>
      </w:r>
    </w:p>
    <w:p w14:paraId="52798787" w14:textId="77777777" w:rsidR="00732BC0" w:rsidRPr="001213F7" w:rsidRDefault="00732BC0">
      <w:pPr>
        <w:spacing w:before="80"/>
      </w:pPr>
      <w:r w:rsidRPr="001213F7">
        <w:t>As expenditure targets are based on actual rather than forecast student data, there is a risk that allocated funding does not meet final expenditure targets.</w:t>
      </w:r>
    </w:p>
    <w:p w14:paraId="1B512461" w14:textId="77777777" w:rsidR="00732BC0" w:rsidRPr="001213F7" w:rsidRDefault="00732BC0" w:rsidP="0023596A">
      <w:pPr>
        <w:pStyle w:val="Heading3"/>
        <w:rPr>
          <w:b w:val="0"/>
          <w:bCs/>
        </w:rPr>
      </w:pPr>
      <w:r w:rsidRPr="001213F7">
        <w:rPr>
          <w:bCs/>
        </w:rPr>
        <w:t xml:space="preserve">Commonwealth housing funding </w:t>
      </w:r>
    </w:p>
    <w:p w14:paraId="12ED6B04" w14:textId="77777777" w:rsidR="00732BC0" w:rsidRPr="001213F7" w:rsidRDefault="00732BC0">
      <w:pPr>
        <w:spacing w:before="80"/>
      </w:pPr>
      <w:r w:rsidRPr="001213F7">
        <w:t xml:space="preserve">The National Agreement on Social Housing and Homelessness (NASHH) was signed by the Commonwealth, states and territories in May 2024 for the term 1 July 2024 to 30 June 2029. </w:t>
      </w:r>
    </w:p>
    <w:p w14:paraId="392F40C2" w14:textId="77777777" w:rsidR="00732BC0" w:rsidRPr="001213F7" w:rsidRDefault="00732BC0">
      <w:pPr>
        <w:spacing w:before="80"/>
      </w:pPr>
      <w:r w:rsidRPr="001213F7">
        <w:t xml:space="preserve">Commonwealth funding contributions are indexed annually by wage inflation and funding is allocated among the states on a population basis; therefore, annual payments may vary from estimates. </w:t>
      </w:r>
    </w:p>
    <w:p w14:paraId="64D4372E" w14:textId="77777777" w:rsidR="00732BC0" w:rsidRPr="001213F7" w:rsidRDefault="00732BC0">
      <w:pPr>
        <w:spacing w:before="80"/>
      </w:pPr>
      <w:r w:rsidRPr="001213F7">
        <w:t>Victoria is required to match the Commonwealth’s funding contribution towards the homelessness component of funding. The matched funding requirement could vary from estimates due to actual indexation and population share diverging from budget estimates.</w:t>
      </w:r>
    </w:p>
    <w:p w14:paraId="3C55BE59" w14:textId="77777777" w:rsidR="00732BC0" w:rsidRPr="001213F7" w:rsidRDefault="00732BC0" w:rsidP="0023596A">
      <w:pPr>
        <w:pStyle w:val="Heading3"/>
        <w:rPr>
          <w:b w:val="0"/>
          <w:bCs/>
          <w:szCs w:val="23"/>
        </w:rPr>
      </w:pPr>
      <w:r w:rsidRPr="001213F7">
        <w:lastRenderedPageBreak/>
        <w:t>Disability funding arrangements</w:t>
      </w:r>
    </w:p>
    <w:p w14:paraId="40741F9E" w14:textId="77777777" w:rsidR="00732BC0" w:rsidRPr="001213F7" w:rsidRDefault="00732BC0">
      <w:pPr>
        <w:spacing w:before="80"/>
      </w:pPr>
      <w:r w:rsidRPr="001213F7">
        <w:t xml:space="preserve">The National Cabinet meeting on 30 January 2026 agreed to significant changes to Australia’s disability services and funding, outlined in the Heads of Agreement on the National Health Reform Agreement, NDIS reforms and Foundational Supports. </w:t>
      </w:r>
    </w:p>
    <w:p w14:paraId="41EDCE95" w14:textId="77777777" w:rsidR="00732BC0" w:rsidRPr="001213F7" w:rsidRDefault="00732BC0">
      <w:pPr>
        <w:spacing w:before="80"/>
      </w:pPr>
      <w:r w:rsidRPr="001213F7">
        <w:t>These included:</w:t>
      </w:r>
    </w:p>
    <w:p w14:paraId="5B1B1054" w14:textId="4B77FB2F" w:rsidR="00732BC0" w:rsidRPr="001213F7" w:rsidRDefault="00732BC0" w:rsidP="00D20C0A">
      <w:pPr>
        <w:pStyle w:val="ListBullet"/>
        <w:numPr>
          <w:ilvl w:val="0"/>
          <w:numId w:val="13"/>
        </w:numPr>
      </w:pPr>
      <w:r w:rsidRPr="001213F7">
        <w:t>an increase in Victoria’s NDIS contribution rate from 4 per cent to be in line with actual NDIS growth, capped at 8 per cent, from 1 July 2028, to be reviewed before 1 July 2031</w:t>
      </w:r>
    </w:p>
    <w:p w14:paraId="384E5D6D" w14:textId="77777777" w:rsidR="00732BC0" w:rsidRPr="001213F7" w:rsidRDefault="00732BC0" w:rsidP="00D20C0A">
      <w:pPr>
        <w:pStyle w:val="ListBullet"/>
        <w:numPr>
          <w:ilvl w:val="0"/>
          <w:numId w:val="13"/>
        </w:numPr>
      </w:pPr>
      <w:r w:rsidRPr="001213F7">
        <w:t>a new National Agreement on Foundational Supports (NAFS) to strengthen the broader support system outside the NDIS for agreed cohorts.</w:t>
      </w:r>
    </w:p>
    <w:p w14:paraId="3163028E" w14:textId="77777777" w:rsidR="00732BC0" w:rsidRPr="001213F7" w:rsidRDefault="00732BC0">
      <w:pPr>
        <w:spacing w:before="80"/>
      </w:pPr>
      <w:r w:rsidRPr="001213F7">
        <w:t>The Heads of Agreement included that Thriving Kids would be the initial focus of Foundational Supports, with a bilateral</w:t>
      </w:r>
      <w:r w:rsidRPr="001213F7" w:rsidDel="00546B47">
        <w:t xml:space="preserve"> </w:t>
      </w:r>
      <w:r w:rsidRPr="001213F7">
        <w:t xml:space="preserve">schedule specifying the details to be subsequently agreed. Thriving Kids will support children aged 8 and under with developmental delay and autism with low to moderate support needs. Some services will commence from 1 October 2026, with full implementation by 1 January 2028. </w:t>
      </w:r>
    </w:p>
    <w:p w14:paraId="3E65C0E7" w14:textId="77777777" w:rsidR="00732BC0" w:rsidRPr="001213F7" w:rsidRDefault="00732BC0">
      <w:pPr>
        <w:spacing w:before="80"/>
      </w:pPr>
      <w:r w:rsidRPr="001213F7">
        <w:t>Foundational Supports for further specific cohorts will be negotiated as bilateral</w:t>
      </w:r>
      <w:r w:rsidRPr="001213F7" w:rsidDel="00546B47">
        <w:t xml:space="preserve"> </w:t>
      </w:r>
      <w:r w:rsidRPr="001213F7">
        <w:t>schedules to the NAFS, with the potential financial and service delivery impacts for Victoria to be considered as part of agreeing to future schedules.</w:t>
      </w:r>
    </w:p>
    <w:p w14:paraId="60A6240D" w14:textId="77777777" w:rsidR="00732BC0" w:rsidRPr="001213F7" w:rsidRDefault="00732BC0">
      <w:pPr>
        <w:spacing w:before="80"/>
      </w:pPr>
      <w:r w:rsidRPr="001213F7">
        <w:t xml:space="preserve">In line with Victoria’s Bilateral agreement with the Commonwealth on the NDIS, a reallocation of all state and territory contributions will occur on 1 July 2028 in line with each state and territory’s share of the national population. This will likely result in increased NDIS contributions for Victoria. </w:t>
      </w:r>
    </w:p>
    <w:p w14:paraId="60C1E129" w14:textId="77777777" w:rsidR="00732BC0" w:rsidRPr="001213F7" w:rsidRDefault="00732BC0" w:rsidP="0023596A">
      <w:pPr>
        <w:pStyle w:val="Heading3"/>
        <w:rPr>
          <w:szCs w:val="23"/>
        </w:rPr>
      </w:pPr>
      <w:r w:rsidRPr="001213F7">
        <w:t>Commonwealth healt</w:t>
      </w:r>
      <w:r w:rsidRPr="001213F7">
        <w:rPr>
          <w:szCs w:val="23"/>
        </w:rPr>
        <w:t>h funding</w:t>
      </w:r>
    </w:p>
    <w:p w14:paraId="08E7C4F4" w14:textId="77777777" w:rsidR="00732BC0" w:rsidRPr="001213F7" w:rsidRDefault="00732BC0">
      <w:pPr>
        <w:spacing w:before="80"/>
      </w:pPr>
      <w:r w:rsidRPr="001213F7">
        <w:t>The National Health Reform Agreement (NHRA) sets out joint responsibility between the states and territories and the Commonwealth for supporting Australia’s public hospital system. On 3 February 2026, Victoria signed a new five-year NHRA Addendum for the period 1 July 2026 to 30 June 2031.</w:t>
      </w:r>
    </w:p>
    <w:p w14:paraId="3E7B7D10" w14:textId="77777777" w:rsidR="00732BC0" w:rsidRPr="001213F7" w:rsidRDefault="00732BC0">
      <w:pPr>
        <w:spacing w:before="80"/>
      </w:pPr>
      <w:r w:rsidRPr="001213F7">
        <w:t xml:space="preserve">Commonwealth funding under the new agreement is calculated based on eligible activity delivered, multiplied by the National Efficient Price and the Commonwealth Contribution Rate up to an annual funding cap. </w:t>
      </w:r>
    </w:p>
    <w:p w14:paraId="2279A009" w14:textId="77777777" w:rsidR="00732BC0" w:rsidRPr="001213F7" w:rsidRDefault="00732BC0">
      <w:pPr>
        <w:spacing w:before="80"/>
        <w:rPr>
          <w:strike/>
        </w:rPr>
      </w:pPr>
      <w:r w:rsidRPr="001213F7">
        <w:t>The new agreement includes a minimum funding guarantee (MFG), which amounts to a locked-in trajectory of revenue that was previously contingent on the level of additional activity delivered in public hospitals each year. The MFG guarantees a minimum level of revenue for Victoria in each year of the agreement, irrespective of activity delivered, reducing forward uncertainty from variation in Commonwealth revenue. Commonwealth funding contributions above the MFG, but below the NHRA revenue cap are still contingent on eligible activity delivered.</w:t>
      </w:r>
    </w:p>
    <w:p w14:paraId="2EFD4F37" w14:textId="77777777" w:rsidR="00732BC0" w:rsidRPr="001213F7" w:rsidRDefault="00732BC0" w:rsidP="0023596A">
      <w:pPr>
        <w:pStyle w:val="Heading3"/>
        <w:rPr>
          <w:szCs w:val="23"/>
        </w:rPr>
      </w:pPr>
      <w:r w:rsidRPr="001213F7">
        <w:lastRenderedPageBreak/>
        <w:t>National Sk</w:t>
      </w:r>
      <w:r w:rsidRPr="001213F7">
        <w:rPr>
          <w:szCs w:val="23"/>
        </w:rPr>
        <w:t>ills Agreement</w:t>
      </w:r>
    </w:p>
    <w:p w14:paraId="46D4B192" w14:textId="77777777" w:rsidR="00732BC0" w:rsidRPr="001213F7" w:rsidRDefault="00732BC0">
      <w:pPr>
        <w:keepNext/>
        <w:spacing w:before="80"/>
      </w:pPr>
      <w:r w:rsidRPr="001213F7">
        <w:t>The National Skills Agreement (NSA) commenced on 1 January 2024 and expires on 31 December 2028.</w:t>
      </w:r>
    </w:p>
    <w:p w14:paraId="68ACF78B" w14:textId="5FF718B4" w:rsidR="00732BC0" w:rsidRPr="001213F7" w:rsidRDefault="00732BC0">
      <w:pPr>
        <w:spacing w:before="80"/>
        <w:ind w:right="-119"/>
      </w:pPr>
      <w:r w:rsidRPr="001213F7">
        <w:t>The NSA provides access to up to $3.2 billion in funding to Victoria over the five-year term of the agreement. This includes up to $231 million in funding to Victoria for specific policy initiatives, subject to matched funding. Victoria has signed overarching implementation plans for all seven specific policy initiatives under the NSA. Finalisation of</w:t>
      </w:r>
      <w:r w:rsidR="005E747A" w:rsidRPr="001213F7">
        <w:t> </w:t>
      </w:r>
      <w:r w:rsidRPr="001213F7">
        <w:t xml:space="preserve">specific initiatives under implementation plans may vary Victoria’s revenue under the agreement in the forward estimates. </w:t>
      </w:r>
    </w:p>
    <w:p w14:paraId="4EA1709A" w14:textId="77777777" w:rsidR="00732BC0" w:rsidRPr="001213F7" w:rsidRDefault="00732BC0" w:rsidP="0023596A">
      <w:pPr>
        <w:pStyle w:val="Heading3"/>
      </w:pPr>
      <w:r w:rsidRPr="001213F7">
        <w:t>Victoria’s GST revenue</w:t>
      </w:r>
    </w:p>
    <w:p w14:paraId="2269AD5F" w14:textId="77777777" w:rsidR="00732BC0" w:rsidRPr="001213F7" w:rsidRDefault="00732BC0" w:rsidP="00052ED1">
      <w:pPr>
        <w:keepNext/>
        <w:rPr>
          <w:rFonts w:ascii="Garamond" w:eastAsia="Garamond" w:hAnsi="Garamond" w:cs="Garamond"/>
          <w:color w:val="000000" w:themeColor="text1"/>
        </w:rPr>
      </w:pPr>
      <w:r w:rsidRPr="001213F7">
        <w:rPr>
          <w:rFonts w:ascii="Garamond" w:eastAsia="Garamond" w:hAnsi="Garamond" w:cs="Garamond"/>
          <w:color w:val="000000" w:themeColor="text1"/>
        </w:rPr>
        <w:t xml:space="preserve">Victoria’s goods and services tax (GST) revenue is broadly determined by three factors: </w:t>
      </w:r>
    </w:p>
    <w:p w14:paraId="4B2CDECB" w14:textId="14119818" w:rsidR="00732BC0" w:rsidRPr="001213F7" w:rsidRDefault="005E747A" w:rsidP="00D20C0A">
      <w:pPr>
        <w:pStyle w:val="ListBullet"/>
        <w:keepNext/>
        <w:numPr>
          <w:ilvl w:val="0"/>
          <w:numId w:val="13"/>
        </w:numPr>
      </w:pPr>
      <w:r w:rsidRPr="001213F7">
        <w:t>the</w:t>
      </w:r>
      <w:r w:rsidR="00732BC0" w:rsidRPr="001213F7">
        <w:t xml:space="preserve"> amount of GST collected by the Commonwealth (the national GST pool) </w:t>
      </w:r>
    </w:p>
    <w:p w14:paraId="136BDDF4" w14:textId="77777777" w:rsidR="00732BC0" w:rsidRPr="001213F7" w:rsidRDefault="00732BC0" w:rsidP="00D20C0A">
      <w:pPr>
        <w:pStyle w:val="ListBullet"/>
        <w:numPr>
          <w:ilvl w:val="0"/>
          <w:numId w:val="13"/>
        </w:numPr>
      </w:pPr>
      <w:r w:rsidRPr="001213F7">
        <w:t xml:space="preserve">Victoria’s GST relativity </w:t>
      </w:r>
    </w:p>
    <w:p w14:paraId="2C2E82B4" w14:textId="77777777" w:rsidR="00732BC0" w:rsidRPr="001213F7" w:rsidRDefault="00732BC0" w:rsidP="00D20C0A">
      <w:pPr>
        <w:pStyle w:val="ListBullet"/>
        <w:numPr>
          <w:ilvl w:val="0"/>
          <w:numId w:val="13"/>
        </w:numPr>
      </w:pPr>
      <w:r w:rsidRPr="001213F7">
        <w:t xml:space="preserve">Victoria’s share of the national population. </w:t>
      </w:r>
    </w:p>
    <w:p w14:paraId="0F58FB8D" w14:textId="77777777" w:rsidR="00732BC0" w:rsidRPr="001213F7" w:rsidRDefault="00732BC0" w:rsidP="00394DBC">
      <w:r w:rsidRPr="001213F7">
        <w:t xml:space="preserve">The national GST pool is dependent on nominal consumption across Australia, and its outlook is influenced by macroeconomic conditions. Uncertainty from global conditions, particularly geopolitical developments, presents risks to the outlook for national consumption. There is uncertainty around the national inflation outlook and the path for the RBA cash rate. Higher consumer prices would support higher nominal household consumption. Conversely, higher than expected interest rates could weigh on household disposable income and weigh on household consumption. </w:t>
      </w:r>
    </w:p>
    <w:p w14:paraId="63B700A0" w14:textId="77777777" w:rsidR="00732BC0" w:rsidRPr="001213F7" w:rsidRDefault="00732BC0">
      <w:pPr>
        <w:ind w:right="-119"/>
      </w:pPr>
      <w:r w:rsidRPr="001213F7">
        <w:t xml:space="preserve">GST relativities are used to distribute the national GST pool and are sensitive to a broad range of factors, including demographics, infrastructure needs, property market outcomes and global commodity prices (particularly for iron ore, thermal coal and coking coal). These factors are exacerbated by the conflict in the Middle East and the consequential impacts on the Australia economy; further details can be found in Chapter 2 </w:t>
      </w:r>
      <w:r w:rsidRPr="001213F7">
        <w:rPr>
          <w:i/>
          <w:iCs/>
        </w:rPr>
        <w:t>Economic context</w:t>
      </w:r>
      <w:r w:rsidRPr="001213F7">
        <w:t xml:space="preserve">. </w:t>
      </w:r>
    </w:p>
    <w:p w14:paraId="7E9FE100" w14:textId="77777777" w:rsidR="00732BC0" w:rsidRPr="001213F7" w:rsidRDefault="00732BC0" w:rsidP="0023596A">
      <w:pPr>
        <w:rPr>
          <w:rFonts w:ascii="Garamond" w:eastAsia="Garamond" w:hAnsi="Garamond" w:cs="Garamond"/>
          <w:color w:val="000000" w:themeColor="text1"/>
        </w:rPr>
      </w:pPr>
      <w:r w:rsidRPr="001213F7">
        <w:t>Victoria’s population share is affected by evolving migration patterns that might result in a decline or an increase in Victoria’s population growth compared with other states, which would affect Victoria’s share of GST</w:t>
      </w:r>
      <w:r w:rsidRPr="001213F7">
        <w:rPr>
          <w:rFonts w:ascii="Garamond" w:eastAsia="Garamond" w:hAnsi="Garamond" w:cs="Garamond"/>
          <w:color w:val="000000" w:themeColor="text1"/>
        </w:rPr>
        <w:t xml:space="preserve">. </w:t>
      </w:r>
    </w:p>
    <w:p w14:paraId="5687A5E6" w14:textId="77777777" w:rsidR="00732BC0" w:rsidRPr="001213F7" w:rsidRDefault="00732BC0" w:rsidP="0023596A">
      <w:pPr>
        <w:pStyle w:val="Heading4"/>
        <w:rPr>
          <w:b/>
          <w:bCs/>
        </w:rPr>
      </w:pPr>
      <w:r w:rsidRPr="001213F7">
        <w:rPr>
          <w:b/>
          <w:bCs/>
        </w:rPr>
        <w:lastRenderedPageBreak/>
        <w:t>Commonwealth no-worse-off guarantee for GST entitlement</w:t>
      </w:r>
    </w:p>
    <w:p w14:paraId="2CF44DC9" w14:textId="77777777" w:rsidR="00732BC0" w:rsidRPr="001213F7" w:rsidRDefault="00732BC0">
      <w:pPr>
        <w:keepNext/>
        <w:ind w:right="331"/>
        <w:rPr>
          <w:rFonts w:ascii="Garamond" w:eastAsia="Garamond" w:hAnsi="Garamond" w:cs="Garamond"/>
          <w:color w:val="000000" w:themeColor="text1"/>
        </w:rPr>
      </w:pPr>
      <w:bookmarkStart w:id="57" w:name="_Hlk163724652"/>
      <w:r w:rsidRPr="001213F7">
        <w:rPr>
          <w:rFonts w:ascii="Garamond" w:eastAsia="Garamond" w:hAnsi="Garamond" w:cs="Garamond"/>
          <w:color w:val="000000" w:themeColor="text1"/>
        </w:rPr>
        <w:t>In 2018, the Commonwealth changed the GST distribution system. During a six-year transition period commencing in 2021-22, each state or territory is entitled to receive additional Commonwealth financial assistance to ensure it is no worse off compared with its GST entitlement had the Commonwealth not changed the system. The no</w:t>
      </w:r>
      <w:r w:rsidRPr="001213F7">
        <w:rPr>
          <w:rFonts w:ascii="Garamond" w:eastAsia="Garamond" w:hAnsi="Garamond" w:cs="Garamond"/>
          <w:color w:val="000000" w:themeColor="text1"/>
        </w:rPr>
        <w:noBreakHyphen/>
        <w:t xml:space="preserve">worse-off guarantee was legislated until the end of the transition period in 2026-27. On 29 November 2024, the Council on Federal Financial Relations signed an agreement to extend the guarantee for three years to 2029-30, to provide funding certainty for states and territories for that period. </w:t>
      </w:r>
    </w:p>
    <w:p w14:paraId="3358DAB5" w14:textId="77777777" w:rsidR="00732BC0" w:rsidRPr="001213F7" w:rsidRDefault="00732BC0">
      <w:r w:rsidRPr="001213F7">
        <w:rPr>
          <w:rFonts w:ascii="Garamond" w:eastAsia="Garamond" w:hAnsi="Garamond" w:cs="Garamond"/>
          <w:color w:val="000000" w:themeColor="text1"/>
        </w:rPr>
        <w:t xml:space="preserve">The Commonwealth’s </w:t>
      </w:r>
      <w:r w:rsidRPr="001213F7">
        <w:rPr>
          <w:rFonts w:ascii="Garamond" w:eastAsia="Garamond" w:hAnsi="Garamond" w:cs="Garamond"/>
          <w:i/>
          <w:color w:val="000000" w:themeColor="text1"/>
        </w:rPr>
        <w:t>Mid-Year Economic and Fiscal Outlook</w:t>
      </w:r>
      <w:r w:rsidRPr="001213F7">
        <w:rPr>
          <w:rFonts w:ascii="Garamond" w:eastAsia="Garamond" w:hAnsi="Garamond" w:cs="Garamond"/>
          <w:color w:val="000000" w:themeColor="text1"/>
        </w:rPr>
        <w:t xml:space="preserve"> </w:t>
      </w:r>
      <w:r w:rsidRPr="001213F7">
        <w:rPr>
          <w:rFonts w:ascii="Garamond" w:eastAsia="Garamond" w:hAnsi="Garamond" w:cs="Garamond"/>
          <w:i/>
          <w:iCs/>
          <w:color w:val="000000" w:themeColor="text1"/>
        </w:rPr>
        <w:t xml:space="preserve">2025-26 </w:t>
      </w:r>
      <w:r w:rsidRPr="001213F7">
        <w:rPr>
          <w:rFonts w:ascii="Garamond" w:eastAsia="Garamond" w:hAnsi="Garamond" w:cs="Garamond"/>
          <w:color w:val="000000" w:themeColor="text1"/>
        </w:rPr>
        <w:t xml:space="preserve">projects that, without the guarantee, Victoria would lose $8.3 billion in GST revenue between 2025-26 and 2028-29. The 2018 changes are currently the subject of a Productivity Commission inquiry, through which Victoria is advocating for a return to the former GST distribution system of full horizontal fiscal equalisation. The final report from the inquiry must be provided to the Commonwealth Treasurer by 31 December 2026. More information on Victoria’s submission to the Inquiry is presented in Budget Paper No. 5, Chapter 4 </w:t>
      </w:r>
      <w:r w:rsidRPr="001213F7">
        <w:rPr>
          <w:rFonts w:ascii="Garamond" w:eastAsia="Garamond" w:hAnsi="Garamond" w:cs="Garamond"/>
          <w:i/>
          <w:iCs/>
          <w:color w:val="000000" w:themeColor="text1"/>
        </w:rPr>
        <w:t>State Revenue</w:t>
      </w:r>
      <w:r w:rsidRPr="001213F7">
        <w:rPr>
          <w:rFonts w:ascii="Garamond" w:eastAsia="Garamond" w:hAnsi="Garamond" w:cs="Garamond"/>
          <w:color w:val="000000" w:themeColor="text1"/>
        </w:rPr>
        <w:t xml:space="preserve">, Box 4.3: </w:t>
      </w:r>
      <w:r w:rsidRPr="001213F7">
        <w:rPr>
          <w:rFonts w:ascii="Garamond" w:eastAsia="Garamond" w:hAnsi="Garamond" w:cs="Garamond"/>
          <w:i/>
          <w:iCs/>
          <w:color w:val="000000" w:themeColor="text1"/>
        </w:rPr>
        <w:t>The Victorian Government is fighting for Victoria’s fair share of GST.</w:t>
      </w:r>
    </w:p>
    <w:bookmarkEnd w:id="57"/>
    <w:p w14:paraId="72CB1E8D" w14:textId="77777777" w:rsidR="00732BC0" w:rsidRPr="001213F7" w:rsidRDefault="00732BC0" w:rsidP="004A7978"/>
    <w:p w14:paraId="75600E64" w14:textId="77777777" w:rsidR="00732BC0" w:rsidRPr="001213F7" w:rsidRDefault="00732BC0">
      <w:pPr>
        <w:keepLines w:val="0"/>
      </w:pPr>
      <w:r w:rsidRPr="001213F7">
        <w:br w:type="page"/>
      </w:r>
    </w:p>
    <w:p w14:paraId="0115063F" w14:textId="77777777" w:rsidR="00732BC0" w:rsidRPr="001213F7" w:rsidRDefault="00732BC0" w:rsidP="004A7978"/>
    <w:p w14:paraId="1E9D525D" w14:textId="77777777" w:rsidR="00732BC0" w:rsidRPr="001213F7" w:rsidRDefault="00732BC0" w:rsidP="004D6A31">
      <w:pPr>
        <w:pStyle w:val="ChapterHeading"/>
        <w:pageBreakBefore/>
        <w:sectPr w:rsidR="00732BC0" w:rsidRPr="001213F7" w:rsidSect="00732BC0">
          <w:footerReference w:type="even" r:id="rId61"/>
          <w:footerReference w:type="default" r:id="rId62"/>
          <w:type w:val="oddPage"/>
          <w:pgSz w:w="9979" w:h="14175"/>
          <w:pgMar w:top="1138" w:right="1138" w:bottom="1138" w:left="1138" w:header="619" w:footer="562" w:gutter="0"/>
          <w:cols w:space="708"/>
          <w:docGrid w:linePitch="360"/>
        </w:sectPr>
      </w:pPr>
      <w:bookmarkStart w:id="58" w:name="_Toc197955073"/>
    </w:p>
    <w:p w14:paraId="146D8B76" w14:textId="77777777" w:rsidR="00732BC0" w:rsidRPr="001213F7" w:rsidRDefault="00732BC0" w:rsidP="004D6A31">
      <w:pPr>
        <w:pStyle w:val="ChapterHeading"/>
        <w:pageBreakBefore/>
      </w:pPr>
      <w:bookmarkStart w:id="59" w:name="_Toc228545305"/>
      <w:r w:rsidRPr="001213F7">
        <w:rPr>
          <w:rStyle w:val="Chapternumber"/>
        </w:rPr>
        <w:lastRenderedPageBreak/>
        <w:t>Chapter 5</w:t>
      </w:r>
      <w:r w:rsidRPr="001213F7">
        <w:t xml:space="preserve"> – Position and outlook of the broader public sector</w:t>
      </w:r>
      <w:bookmarkEnd w:id="58"/>
      <w:bookmarkEnd w:id="59"/>
    </w:p>
    <w:p w14:paraId="498BEC65" w14:textId="044A2D14" w:rsidR="00732BC0" w:rsidRPr="001213F7" w:rsidRDefault="00732BC0" w:rsidP="00D20C0A">
      <w:pPr>
        <w:pStyle w:val="ShadedBoxBullet"/>
        <w:numPr>
          <w:ilvl w:val="0"/>
          <w:numId w:val="13"/>
        </w:numPr>
      </w:pPr>
      <w:r w:rsidRPr="001213F7">
        <w:t>The net result from transactions of the public non-financial corporation (PNFC) sector is expected to be a deficit of $1</w:t>
      </w:r>
      <w:r w:rsidRPr="001213F7">
        <w:rPr>
          <w:rFonts w:hint="eastAsia"/>
        </w:rPr>
        <w:t> </w:t>
      </w:r>
      <w:r w:rsidRPr="001213F7">
        <w:t>billion in 2026-27 and remain in deficit over the</w:t>
      </w:r>
      <w:r w:rsidR="005E747A" w:rsidRPr="001213F7">
        <w:t> </w:t>
      </w:r>
      <w:r w:rsidRPr="001213F7">
        <w:t>forward estimates. Once non-cash items are removed, such as depreciation and movements in liabilities for employee benefits, the operating cash flow surplus of the PNFC sector is expected to average $1.6</w:t>
      </w:r>
      <w:r w:rsidRPr="001213F7">
        <w:rPr>
          <w:rFonts w:hint="eastAsia"/>
        </w:rPr>
        <w:t> </w:t>
      </w:r>
      <w:r w:rsidRPr="001213F7">
        <w:t>billion a year over the budget and forward estimates period.</w:t>
      </w:r>
    </w:p>
    <w:p w14:paraId="17F8BB91" w14:textId="77777777" w:rsidR="00732BC0" w:rsidRPr="001213F7" w:rsidRDefault="00732BC0" w:rsidP="00D20C0A">
      <w:pPr>
        <w:pStyle w:val="ShadedBoxBullet"/>
        <w:numPr>
          <w:ilvl w:val="0"/>
          <w:numId w:val="13"/>
        </w:numPr>
      </w:pPr>
      <w:r w:rsidRPr="001213F7">
        <w:t>The net result from transactions of the non-financial public sector (NFPS), which includes both the general government and the PNFC sectors, is expected to improve from a deficit of $2.9</w:t>
      </w:r>
      <w:r w:rsidRPr="001213F7">
        <w:rPr>
          <w:rFonts w:hint="eastAsia"/>
        </w:rPr>
        <w:t> </w:t>
      </w:r>
      <w:r w:rsidRPr="001213F7">
        <w:t>billion in 2026-27 to a deficit of $2.3</w:t>
      </w:r>
      <w:r w:rsidRPr="001213F7">
        <w:rPr>
          <w:rFonts w:hint="eastAsia"/>
        </w:rPr>
        <w:t> </w:t>
      </w:r>
      <w:r w:rsidRPr="001213F7">
        <w:t xml:space="preserve">billion in 2029-30. The sector improvement mainly reflects the improved operating performance of the general government sector, which is outlined in Chapter 4 </w:t>
      </w:r>
      <w:r w:rsidRPr="001213F7">
        <w:rPr>
          <w:i/>
          <w:iCs/>
        </w:rPr>
        <w:t>Budget position and outlook</w:t>
      </w:r>
      <w:r w:rsidRPr="001213F7">
        <w:t xml:space="preserve">. </w:t>
      </w:r>
    </w:p>
    <w:p w14:paraId="3C4075CE" w14:textId="77777777" w:rsidR="00732BC0" w:rsidRPr="001213F7" w:rsidRDefault="00732BC0" w:rsidP="00D20C0A">
      <w:pPr>
        <w:pStyle w:val="ShadedBoxBullet"/>
        <w:numPr>
          <w:ilvl w:val="0"/>
          <w:numId w:val="13"/>
        </w:numPr>
      </w:pPr>
      <w:r w:rsidRPr="001213F7">
        <w:t>The net result from transactions of the public financial corporations (PFC) sector is expected to deteriorate from a deficit of $1.8</w:t>
      </w:r>
      <w:r w:rsidRPr="001213F7">
        <w:rPr>
          <w:rFonts w:hint="eastAsia"/>
        </w:rPr>
        <w:t> </w:t>
      </w:r>
      <w:r w:rsidRPr="001213F7">
        <w:t>billion in 2026-27 to a deficit of $2.1</w:t>
      </w:r>
      <w:r w:rsidRPr="001213F7">
        <w:rPr>
          <w:rFonts w:hint="eastAsia"/>
        </w:rPr>
        <w:t> </w:t>
      </w:r>
      <w:r w:rsidRPr="001213F7">
        <w:t>billion in 2029-30. After allowing for other economic flows, which primarily relate to unrealised capital gains on the investments held by the State’s insurance agencies and movements in deferred tax assets, the net result for the PFC sector is expected to improve from a surplus of $504</w:t>
      </w:r>
      <w:r w:rsidRPr="001213F7">
        <w:rPr>
          <w:rFonts w:hint="eastAsia"/>
        </w:rPr>
        <w:t> </w:t>
      </w:r>
      <w:r w:rsidRPr="001213F7">
        <w:t>million in 2026-27 to a surplus of $1.1</w:t>
      </w:r>
      <w:r w:rsidRPr="001213F7">
        <w:rPr>
          <w:rFonts w:hint="eastAsia"/>
        </w:rPr>
        <w:t> </w:t>
      </w:r>
      <w:r w:rsidRPr="001213F7">
        <w:t>billion in 2029</w:t>
      </w:r>
      <w:r w:rsidRPr="001213F7">
        <w:noBreakHyphen/>
        <w:t>30.</w:t>
      </w:r>
    </w:p>
    <w:p w14:paraId="0FF4284B" w14:textId="77777777" w:rsidR="00732BC0" w:rsidRPr="001213F7" w:rsidRDefault="00732BC0" w:rsidP="00D20C0A">
      <w:pPr>
        <w:pStyle w:val="ShadedBoxBullet"/>
        <w:numPr>
          <w:ilvl w:val="0"/>
          <w:numId w:val="13"/>
        </w:numPr>
      </w:pPr>
      <w:r w:rsidRPr="001213F7">
        <w:t>The net result from transactions of the State of Victoria, which combines the NFPS and PFC sector, is projected to improve from a deficit of $5.7</w:t>
      </w:r>
      <w:r w:rsidRPr="001213F7">
        <w:rPr>
          <w:rFonts w:hint="eastAsia"/>
        </w:rPr>
        <w:t> </w:t>
      </w:r>
      <w:r w:rsidRPr="001213F7">
        <w:t>billion in 2026-27 to a deficit of $5.1</w:t>
      </w:r>
      <w:r w:rsidRPr="001213F7">
        <w:rPr>
          <w:rFonts w:hint="eastAsia"/>
        </w:rPr>
        <w:t> </w:t>
      </w:r>
      <w:r w:rsidRPr="001213F7">
        <w:t>billion in 2029-30.</w:t>
      </w:r>
    </w:p>
    <w:p w14:paraId="24BA9186" w14:textId="77777777" w:rsidR="00732BC0" w:rsidRPr="001213F7" w:rsidRDefault="00732BC0" w:rsidP="00D20C0A">
      <w:pPr>
        <w:pStyle w:val="ShadedBoxBullet"/>
        <w:numPr>
          <w:ilvl w:val="0"/>
          <w:numId w:val="13"/>
        </w:numPr>
      </w:pPr>
      <w:r w:rsidRPr="001213F7">
        <w:t>As a proportion of gross state product (GSP), NFPS net debt is estimated to average 30.3</w:t>
      </w:r>
      <w:r w:rsidRPr="001213F7">
        <w:rPr>
          <w:rFonts w:hint="eastAsia"/>
        </w:rPr>
        <w:t> </w:t>
      </w:r>
      <w:r w:rsidRPr="001213F7">
        <w:t>per</w:t>
      </w:r>
      <w:r w:rsidRPr="001213F7">
        <w:rPr>
          <w:rFonts w:hint="eastAsia"/>
        </w:rPr>
        <w:t> </w:t>
      </w:r>
      <w:r w:rsidRPr="001213F7">
        <w:t>cent over the budget and forward estimates.</w:t>
      </w:r>
    </w:p>
    <w:p w14:paraId="246D9813" w14:textId="77777777" w:rsidR="00732BC0" w:rsidRPr="001213F7" w:rsidRDefault="00732BC0" w:rsidP="0023596A">
      <w:pPr>
        <w:keepNext/>
        <w:pageBreakBefore/>
      </w:pPr>
      <w:r w:rsidRPr="001213F7">
        <w:lastRenderedPageBreak/>
        <w:t>This chapter provides an overview of the activities of the broader public sector, comprising:</w:t>
      </w:r>
    </w:p>
    <w:p w14:paraId="1B6FD4F1" w14:textId="77777777" w:rsidR="00732BC0" w:rsidRPr="001213F7" w:rsidRDefault="00732BC0" w:rsidP="00D20C0A">
      <w:pPr>
        <w:pStyle w:val="ListBullet"/>
        <w:numPr>
          <w:ilvl w:val="0"/>
          <w:numId w:val="13"/>
        </w:numPr>
      </w:pPr>
      <w:r w:rsidRPr="001213F7">
        <w:t xml:space="preserve">the NFPS, which consolidates the general government and the PNFC sectors. The general government sector is discussed in Chapter 4 </w:t>
      </w:r>
      <w:r w:rsidRPr="001213F7">
        <w:rPr>
          <w:i/>
        </w:rPr>
        <w:t>Budget position and outlook</w:t>
      </w:r>
      <w:r w:rsidRPr="001213F7">
        <w:t>. The PNFC sector comprises a wide range of entities that provide services that are primarily funded by user charges and fees. The main services provided by PNFCs include water, housing and transport</w:t>
      </w:r>
    </w:p>
    <w:p w14:paraId="2C48D255" w14:textId="77777777" w:rsidR="00732BC0" w:rsidRPr="001213F7" w:rsidRDefault="00732BC0" w:rsidP="00D20C0A">
      <w:pPr>
        <w:pStyle w:val="ListBullet"/>
        <w:numPr>
          <w:ilvl w:val="0"/>
          <w:numId w:val="13"/>
        </w:numPr>
      </w:pPr>
      <w:r w:rsidRPr="001213F7">
        <w:t>the State of Victoria, which consolidates the NFPS and the PFC sector. PFCs can be categorised into two broad types: those that provide services to the general public and businesses (such as WorkSafe Victoria, the Transport Accident Commission, Breakthrough Victoria and State Trustees Limited), and those that predominantly provide financial services to other government entities (such as the Victorian Funds Management Corporation, Treasury Corporation of Victoria and the Victorian Managed Insurance Authority).</w:t>
      </w:r>
    </w:p>
    <w:p w14:paraId="00B9C3E0" w14:textId="77777777" w:rsidR="00732BC0" w:rsidRPr="001213F7" w:rsidRDefault="00732BC0" w:rsidP="0023596A">
      <w:pPr>
        <w:spacing w:after="120"/>
        <w:ind w:right="-115"/>
      </w:pPr>
      <w:r w:rsidRPr="001213F7">
        <w:t>The following chart shows the relationship between the various sectors of the State and indicates the relevant tables that disclose the data on these sectors within this budget paper.</w:t>
      </w:r>
    </w:p>
    <w:p w14:paraId="719C164E" w14:textId="77777777" w:rsidR="00732BC0" w:rsidRPr="001213F7" w:rsidRDefault="00732BC0">
      <w:r w:rsidRPr="001213F7">
        <w:rPr>
          <w:noProof/>
        </w:rPr>
        <mc:AlternateContent>
          <mc:Choice Requires="wpc">
            <w:drawing>
              <wp:inline distT="0" distB="0" distL="0" distR="0" wp14:anchorId="0CA6D14D" wp14:editId="76B83682">
                <wp:extent cx="4896485" cy="2846152"/>
                <wp:effectExtent l="0" t="0" r="0" b="0"/>
                <wp:docPr id="31" name="Canvas 3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2" name="Rectangle 4"/>
                        <wps:cNvSpPr>
                          <a:spLocks noChangeArrowheads="1"/>
                        </wps:cNvSpPr>
                        <wps:spPr bwMode="auto">
                          <a:xfrm>
                            <a:off x="2315342" y="0"/>
                            <a:ext cx="1144021" cy="611042"/>
                          </a:xfrm>
                          <a:prstGeom prst="rect">
                            <a:avLst/>
                          </a:prstGeom>
                          <a:solidFill>
                            <a:schemeClr val="bg2">
                              <a:lumMod val="100000"/>
                              <a:lumOff val="0"/>
                            </a:schemeClr>
                          </a:solidFill>
                          <a:ln w="12700">
                            <a:solidFill>
                              <a:schemeClr val="bg1">
                                <a:lumMod val="50000"/>
                                <a:lumOff val="0"/>
                              </a:schemeClr>
                            </a:solidFill>
                            <a:miter lim="800000"/>
                            <a:headEnd/>
                            <a:tailEnd/>
                          </a:ln>
                        </wps:spPr>
                        <wps:txbx>
                          <w:txbxContent>
                            <w:p w14:paraId="62A7A66E" w14:textId="77777777" w:rsidR="00732BC0" w:rsidRDefault="00732BC0" w:rsidP="003623CE">
                              <w:pPr>
                                <w:spacing w:before="0"/>
                                <w:jc w:val="center"/>
                                <w:rPr>
                                  <w:rFonts w:asciiTheme="majorHAnsi" w:hAnsiTheme="majorHAnsi"/>
                                  <w:color w:val="171717" w:themeColor="background2" w:themeShade="1A"/>
                                  <w:sz w:val="18"/>
                                  <w:szCs w:val="18"/>
                                </w:rPr>
                              </w:pPr>
                              <w:r>
                                <w:rPr>
                                  <w:rFonts w:asciiTheme="majorHAnsi" w:hAnsiTheme="majorHAnsi"/>
                                  <w:b/>
                                  <w:bCs/>
                                  <w:color w:val="171717" w:themeColor="background2" w:themeShade="1A"/>
                                  <w:kern w:val="24"/>
                                  <w:sz w:val="18"/>
                                  <w:szCs w:val="18"/>
                                </w:rPr>
                                <w:t>State of Victoria</w:t>
                              </w:r>
                            </w:p>
                            <w:p w14:paraId="54A8AAC4" w14:textId="77777777" w:rsidR="00732BC0" w:rsidRDefault="00732BC0" w:rsidP="003623CE">
                              <w:pPr>
                                <w:spacing w:before="0"/>
                                <w:jc w:val="center"/>
                                <w:rPr>
                                  <w:rFonts w:asciiTheme="majorHAnsi" w:hAnsiTheme="majorHAnsi"/>
                                  <w:color w:val="171717" w:themeColor="background2" w:themeShade="1A"/>
                                  <w:sz w:val="18"/>
                                  <w:szCs w:val="18"/>
                                </w:rPr>
                              </w:pPr>
                              <w:r>
                                <w:rPr>
                                  <w:rFonts w:asciiTheme="majorHAnsi" w:hAnsiTheme="majorHAnsi"/>
                                  <w:color w:val="171717" w:themeColor="background2" w:themeShade="1A"/>
                                  <w:kern w:val="24"/>
                                  <w:sz w:val="18"/>
                                  <w:szCs w:val="18"/>
                                </w:rPr>
                                <w:t>Tables 5.9 and 5.10</w:t>
                              </w:r>
                            </w:p>
                          </w:txbxContent>
                        </wps:txbx>
                        <wps:bodyPr rot="0" vert="horz" wrap="square" lIns="91440" tIns="45720" rIns="91440" bIns="45720" anchor="ctr" anchorCtr="0" upright="1">
                          <a:noAutofit/>
                        </wps:bodyPr>
                      </wps:wsp>
                      <wps:wsp>
                        <wps:cNvPr id="23" name="Rectangle 5"/>
                        <wps:cNvSpPr>
                          <a:spLocks noChangeArrowheads="1"/>
                        </wps:cNvSpPr>
                        <wps:spPr bwMode="auto">
                          <a:xfrm>
                            <a:off x="2988861" y="996832"/>
                            <a:ext cx="1669224" cy="640249"/>
                          </a:xfrm>
                          <a:prstGeom prst="rect">
                            <a:avLst/>
                          </a:prstGeom>
                          <a:solidFill>
                            <a:schemeClr val="bg2">
                              <a:lumMod val="100000"/>
                              <a:lumOff val="0"/>
                            </a:schemeClr>
                          </a:solidFill>
                          <a:ln w="12700">
                            <a:solidFill>
                              <a:schemeClr val="bg1">
                                <a:lumMod val="50000"/>
                                <a:lumOff val="0"/>
                              </a:schemeClr>
                            </a:solidFill>
                            <a:miter lim="800000"/>
                            <a:headEnd/>
                            <a:tailEnd/>
                          </a:ln>
                        </wps:spPr>
                        <wps:txbx>
                          <w:txbxContent>
                            <w:p w14:paraId="15B2F9AA" w14:textId="77777777" w:rsidR="00732BC0" w:rsidRDefault="00732BC0" w:rsidP="003623CE">
                              <w:pPr>
                                <w:spacing w:before="0"/>
                                <w:jc w:val="center"/>
                                <w:rPr>
                                  <w:rFonts w:asciiTheme="majorHAnsi" w:hAnsiTheme="majorHAnsi"/>
                                  <w:color w:val="171717" w:themeColor="background2" w:themeShade="1A"/>
                                  <w:sz w:val="18"/>
                                  <w:szCs w:val="18"/>
                                </w:rPr>
                              </w:pPr>
                              <w:r>
                                <w:rPr>
                                  <w:rFonts w:asciiTheme="majorHAnsi" w:hAnsiTheme="majorHAnsi"/>
                                  <w:b/>
                                  <w:bCs/>
                                  <w:color w:val="171717" w:themeColor="background2" w:themeShade="1A"/>
                                  <w:sz w:val="18"/>
                                  <w:szCs w:val="18"/>
                                </w:rPr>
                                <w:t xml:space="preserve">Public financial </w:t>
                              </w:r>
                              <w:r>
                                <w:rPr>
                                  <w:rFonts w:asciiTheme="majorHAnsi" w:hAnsiTheme="majorHAnsi"/>
                                  <w:b/>
                                  <w:bCs/>
                                  <w:color w:val="171717" w:themeColor="background2" w:themeShade="1A"/>
                                  <w:sz w:val="18"/>
                                  <w:szCs w:val="18"/>
                                </w:rPr>
                                <w:br/>
                                <w:t>corporations sector</w:t>
                              </w:r>
                            </w:p>
                            <w:p w14:paraId="0E20B977" w14:textId="77777777" w:rsidR="00732BC0" w:rsidRDefault="00732BC0" w:rsidP="003623CE">
                              <w:pPr>
                                <w:spacing w:before="0"/>
                                <w:jc w:val="center"/>
                                <w:rPr>
                                  <w:rFonts w:asciiTheme="majorHAnsi" w:hAnsiTheme="majorHAnsi"/>
                                  <w:color w:val="171717" w:themeColor="background2" w:themeShade="1A"/>
                                  <w:sz w:val="18"/>
                                  <w:szCs w:val="18"/>
                                </w:rPr>
                              </w:pPr>
                              <w:r>
                                <w:rPr>
                                  <w:rFonts w:asciiTheme="majorHAnsi" w:hAnsiTheme="majorHAnsi"/>
                                  <w:color w:val="171717" w:themeColor="background2" w:themeShade="1A"/>
                                  <w:kern w:val="24"/>
                                  <w:sz w:val="18"/>
                                  <w:szCs w:val="18"/>
                                </w:rPr>
                                <w:t>Tables 5.7 and 5.8</w:t>
                              </w:r>
                            </w:p>
                          </w:txbxContent>
                        </wps:txbx>
                        <wps:bodyPr rot="0" vert="horz" wrap="square" lIns="91440" tIns="45720" rIns="91440" bIns="45720" anchor="ctr" anchorCtr="0" upright="1">
                          <a:noAutofit/>
                        </wps:bodyPr>
                      </wps:wsp>
                      <wps:wsp>
                        <wps:cNvPr id="24" name="Rectangle 6"/>
                        <wps:cNvSpPr>
                          <a:spLocks noChangeArrowheads="1"/>
                        </wps:cNvSpPr>
                        <wps:spPr bwMode="auto">
                          <a:xfrm>
                            <a:off x="0" y="2145398"/>
                            <a:ext cx="1286923" cy="671956"/>
                          </a:xfrm>
                          <a:prstGeom prst="rect">
                            <a:avLst/>
                          </a:prstGeom>
                          <a:solidFill>
                            <a:schemeClr val="bg2">
                              <a:lumMod val="100000"/>
                              <a:lumOff val="0"/>
                            </a:schemeClr>
                          </a:solidFill>
                          <a:ln w="12700">
                            <a:solidFill>
                              <a:schemeClr val="bg1">
                                <a:lumMod val="50000"/>
                                <a:lumOff val="0"/>
                              </a:schemeClr>
                            </a:solidFill>
                            <a:miter lim="800000"/>
                            <a:headEnd/>
                            <a:tailEnd/>
                          </a:ln>
                        </wps:spPr>
                        <wps:txbx>
                          <w:txbxContent>
                            <w:p w14:paraId="45427417" w14:textId="77777777" w:rsidR="00732BC0" w:rsidRDefault="00732BC0" w:rsidP="003623CE">
                              <w:pPr>
                                <w:spacing w:before="0"/>
                                <w:jc w:val="center"/>
                                <w:rPr>
                                  <w:rFonts w:asciiTheme="majorHAnsi" w:hAnsiTheme="majorHAnsi"/>
                                  <w:color w:val="171717" w:themeColor="background2" w:themeShade="1A"/>
                                  <w:sz w:val="18"/>
                                  <w:szCs w:val="18"/>
                                </w:rPr>
                              </w:pPr>
                              <w:r>
                                <w:rPr>
                                  <w:rFonts w:asciiTheme="majorHAnsi" w:hAnsiTheme="majorHAnsi"/>
                                  <w:b/>
                                  <w:bCs/>
                                  <w:color w:val="171717" w:themeColor="background2" w:themeShade="1A"/>
                                  <w:kern w:val="24"/>
                                  <w:sz w:val="18"/>
                                  <w:szCs w:val="18"/>
                                </w:rPr>
                                <w:t xml:space="preserve">General </w:t>
                              </w:r>
                              <w:r>
                                <w:rPr>
                                  <w:rFonts w:asciiTheme="majorHAnsi" w:hAnsiTheme="majorHAnsi"/>
                                  <w:b/>
                                  <w:bCs/>
                                  <w:color w:val="171717" w:themeColor="background2" w:themeShade="1A"/>
                                  <w:kern w:val="24"/>
                                  <w:sz w:val="18"/>
                                  <w:szCs w:val="18"/>
                                </w:rPr>
                                <w:br/>
                                <w:t>government sector</w:t>
                              </w:r>
                            </w:p>
                            <w:p w14:paraId="216C65A2" w14:textId="77777777" w:rsidR="00732BC0" w:rsidRDefault="00732BC0" w:rsidP="003623CE">
                              <w:pPr>
                                <w:spacing w:before="0"/>
                                <w:jc w:val="center"/>
                                <w:rPr>
                                  <w:rFonts w:asciiTheme="majorHAnsi" w:hAnsiTheme="majorHAnsi"/>
                                  <w:color w:val="171717" w:themeColor="background2" w:themeShade="1A"/>
                                  <w:sz w:val="18"/>
                                  <w:szCs w:val="18"/>
                                </w:rPr>
                              </w:pPr>
                              <w:r>
                                <w:rPr>
                                  <w:rFonts w:asciiTheme="majorHAnsi" w:hAnsiTheme="majorHAnsi"/>
                                  <w:color w:val="171717" w:themeColor="background2" w:themeShade="1A"/>
                                  <w:kern w:val="24"/>
                                  <w:sz w:val="18"/>
                                  <w:szCs w:val="18"/>
                                </w:rPr>
                                <w:t>Tables 4.1 to 4.5</w:t>
                              </w:r>
                            </w:p>
                          </w:txbxContent>
                        </wps:txbx>
                        <wps:bodyPr rot="0" vert="horz" wrap="square" lIns="91440" tIns="45720" rIns="91440" bIns="45720" anchor="ctr" anchorCtr="0" upright="1">
                          <a:noAutofit/>
                        </wps:bodyPr>
                      </wps:wsp>
                      <wps:wsp>
                        <wps:cNvPr id="25" name="Rectangle 7"/>
                        <wps:cNvSpPr>
                          <a:spLocks noChangeArrowheads="1"/>
                        </wps:cNvSpPr>
                        <wps:spPr bwMode="auto">
                          <a:xfrm>
                            <a:off x="2250941" y="2145398"/>
                            <a:ext cx="1570432" cy="671956"/>
                          </a:xfrm>
                          <a:prstGeom prst="rect">
                            <a:avLst/>
                          </a:prstGeom>
                          <a:solidFill>
                            <a:schemeClr val="bg2">
                              <a:lumMod val="100000"/>
                              <a:lumOff val="0"/>
                            </a:schemeClr>
                          </a:solidFill>
                          <a:ln w="12700">
                            <a:solidFill>
                              <a:schemeClr val="bg1">
                                <a:lumMod val="50000"/>
                                <a:lumOff val="0"/>
                              </a:schemeClr>
                            </a:solidFill>
                            <a:miter lim="800000"/>
                            <a:headEnd/>
                            <a:tailEnd/>
                          </a:ln>
                        </wps:spPr>
                        <wps:txbx>
                          <w:txbxContent>
                            <w:p w14:paraId="15533B8D" w14:textId="77777777" w:rsidR="00732BC0" w:rsidRDefault="00732BC0" w:rsidP="003623CE">
                              <w:pPr>
                                <w:spacing w:before="0"/>
                                <w:jc w:val="center"/>
                                <w:rPr>
                                  <w:rFonts w:asciiTheme="majorHAnsi" w:hAnsiTheme="majorHAnsi"/>
                                  <w:color w:val="171717" w:themeColor="background2" w:themeShade="1A"/>
                                  <w:sz w:val="18"/>
                                  <w:szCs w:val="18"/>
                                </w:rPr>
                              </w:pPr>
                              <w:r>
                                <w:rPr>
                                  <w:rFonts w:asciiTheme="majorHAnsi" w:hAnsiTheme="majorHAnsi"/>
                                  <w:b/>
                                  <w:bCs/>
                                  <w:color w:val="171717" w:themeColor="background2" w:themeShade="1A"/>
                                  <w:kern w:val="24"/>
                                  <w:sz w:val="18"/>
                                  <w:szCs w:val="18"/>
                                </w:rPr>
                                <w:t>Public non</w:t>
                              </w:r>
                              <w:r>
                                <w:rPr>
                                  <w:rFonts w:asciiTheme="majorHAnsi" w:hAnsiTheme="majorHAnsi"/>
                                  <w:b/>
                                  <w:bCs/>
                                  <w:color w:val="171717" w:themeColor="background2" w:themeShade="1A"/>
                                  <w:kern w:val="24"/>
                                  <w:sz w:val="18"/>
                                  <w:szCs w:val="18"/>
                                </w:rPr>
                                <w:noBreakHyphen/>
                                <w:t>financial corporations sector</w:t>
                              </w:r>
                            </w:p>
                            <w:p w14:paraId="35204FFD" w14:textId="77777777" w:rsidR="00732BC0" w:rsidRDefault="00732BC0" w:rsidP="003623CE">
                              <w:pPr>
                                <w:spacing w:before="0"/>
                                <w:jc w:val="center"/>
                                <w:rPr>
                                  <w:rFonts w:asciiTheme="majorHAnsi" w:hAnsiTheme="majorHAnsi"/>
                                  <w:color w:val="171717" w:themeColor="background2" w:themeShade="1A"/>
                                  <w:sz w:val="18"/>
                                  <w:szCs w:val="18"/>
                                </w:rPr>
                              </w:pPr>
                              <w:r>
                                <w:rPr>
                                  <w:rFonts w:asciiTheme="majorHAnsi" w:hAnsiTheme="majorHAnsi"/>
                                  <w:color w:val="171717" w:themeColor="background2" w:themeShade="1A"/>
                                  <w:kern w:val="24"/>
                                  <w:sz w:val="18"/>
                                  <w:szCs w:val="18"/>
                                </w:rPr>
                                <w:t>Tables 5.1 and 5.2</w:t>
                              </w:r>
                            </w:p>
                          </w:txbxContent>
                        </wps:txbx>
                        <wps:bodyPr rot="0" vert="horz" wrap="square" lIns="91440" tIns="45720" rIns="91440" bIns="45720" anchor="ctr" anchorCtr="0" upright="1">
                          <a:noAutofit/>
                        </wps:bodyPr>
                      </wps:wsp>
                      <wps:wsp>
                        <wps:cNvPr id="26" name="Straight Connector 12"/>
                        <wps:cNvCnPr>
                          <a:cxnSpLocks noChangeShapeType="1"/>
                        </wps:cNvCnPr>
                        <wps:spPr bwMode="auto">
                          <a:xfrm rot="16200000" flipH="1">
                            <a:off x="2086487" y="1337633"/>
                            <a:ext cx="476611" cy="1139021"/>
                          </a:xfrm>
                          <a:prstGeom prst="bentConnector3">
                            <a:avLst>
                              <a:gd name="adj1" fmla="val 50000"/>
                            </a:avLst>
                          </a:prstGeom>
                          <a:noFill/>
                          <a:ln w="12700">
                            <a:solidFill>
                              <a:schemeClr val="bg1">
                                <a:lumMod val="50000"/>
                                <a:lumOff val="0"/>
                              </a:schemeClr>
                            </a:solidFill>
                            <a:miter lim="800000"/>
                            <a:headEnd/>
                            <a:tailEnd/>
                          </a:ln>
                          <a:extLst>
                            <a:ext uri="{909E8E84-426E-40DD-AFC4-6F175D3DCCD1}">
                              <a14:hiddenFill xmlns:a14="http://schemas.microsoft.com/office/drawing/2010/main">
                                <a:noFill/>
                              </a14:hiddenFill>
                            </a:ext>
                          </a:extLst>
                        </wps:spPr>
                        <wps:bodyPr/>
                      </wps:wsp>
                      <wps:wsp>
                        <wps:cNvPr id="27" name="Rectangle 9"/>
                        <wps:cNvSpPr>
                          <a:spLocks noChangeArrowheads="1"/>
                        </wps:cNvSpPr>
                        <wps:spPr bwMode="auto">
                          <a:xfrm>
                            <a:off x="1111820" y="996832"/>
                            <a:ext cx="1286923" cy="671956"/>
                          </a:xfrm>
                          <a:prstGeom prst="rect">
                            <a:avLst/>
                          </a:prstGeom>
                          <a:solidFill>
                            <a:schemeClr val="bg2">
                              <a:lumMod val="100000"/>
                              <a:lumOff val="0"/>
                            </a:schemeClr>
                          </a:solidFill>
                          <a:ln w="12700">
                            <a:solidFill>
                              <a:schemeClr val="bg1">
                                <a:lumMod val="50000"/>
                                <a:lumOff val="0"/>
                              </a:schemeClr>
                            </a:solidFill>
                            <a:miter lim="800000"/>
                            <a:headEnd/>
                            <a:tailEnd/>
                          </a:ln>
                        </wps:spPr>
                        <wps:txbx>
                          <w:txbxContent>
                            <w:p w14:paraId="04CDB17D" w14:textId="77777777" w:rsidR="00732BC0" w:rsidRDefault="00732BC0" w:rsidP="003623CE">
                              <w:pPr>
                                <w:spacing w:before="0"/>
                                <w:jc w:val="center"/>
                                <w:rPr>
                                  <w:rFonts w:asciiTheme="majorHAnsi" w:hAnsiTheme="majorHAnsi"/>
                                  <w:color w:val="171717" w:themeColor="background2" w:themeShade="1A"/>
                                  <w:sz w:val="18"/>
                                  <w:szCs w:val="18"/>
                                </w:rPr>
                              </w:pPr>
                              <w:r>
                                <w:rPr>
                                  <w:rFonts w:asciiTheme="majorHAnsi" w:hAnsiTheme="majorHAnsi"/>
                                  <w:b/>
                                  <w:bCs/>
                                  <w:color w:val="171717" w:themeColor="background2" w:themeShade="1A"/>
                                  <w:kern w:val="24"/>
                                  <w:sz w:val="18"/>
                                  <w:szCs w:val="18"/>
                                </w:rPr>
                                <w:t>Non</w:t>
                              </w:r>
                              <w:r>
                                <w:rPr>
                                  <w:rFonts w:asciiTheme="majorHAnsi" w:hAnsiTheme="majorHAnsi"/>
                                  <w:b/>
                                  <w:bCs/>
                                  <w:color w:val="171717" w:themeColor="background2" w:themeShade="1A"/>
                                  <w:kern w:val="24"/>
                                  <w:sz w:val="18"/>
                                  <w:szCs w:val="18"/>
                                </w:rPr>
                                <w:noBreakHyphen/>
                                <w:t xml:space="preserve">financial </w:t>
                              </w:r>
                              <w:r>
                                <w:rPr>
                                  <w:rFonts w:asciiTheme="majorHAnsi" w:hAnsiTheme="majorHAnsi"/>
                                  <w:b/>
                                  <w:bCs/>
                                  <w:color w:val="171717" w:themeColor="background2" w:themeShade="1A"/>
                                  <w:kern w:val="24"/>
                                  <w:sz w:val="18"/>
                                  <w:szCs w:val="18"/>
                                </w:rPr>
                                <w:br/>
                                <w:t>public sector</w:t>
                              </w:r>
                            </w:p>
                            <w:p w14:paraId="621EC759" w14:textId="77777777" w:rsidR="00732BC0" w:rsidRDefault="00732BC0" w:rsidP="003623CE">
                              <w:pPr>
                                <w:spacing w:before="0"/>
                                <w:jc w:val="center"/>
                                <w:rPr>
                                  <w:rFonts w:asciiTheme="majorHAnsi" w:hAnsiTheme="majorHAnsi"/>
                                  <w:color w:val="171717" w:themeColor="background2" w:themeShade="1A"/>
                                  <w:kern w:val="24"/>
                                  <w:sz w:val="18"/>
                                  <w:szCs w:val="18"/>
                                </w:rPr>
                              </w:pPr>
                              <w:r>
                                <w:rPr>
                                  <w:rFonts w:asciiTheme="majorHAnsi" w:hAnsiTheme="majorHAnsi"/>
                                  <w:color w:val="171717" w:themeColor="background2" w:themeShade="1A"/>
                                  <w:kern w:val="24"/>
                                  <w:sz w:val="18"/>
                                  <w:szCs w:val="18"/>
                                </w:rPr>
                                <w:t>Tables 5.3 to 5.6</w:t>
                              </w:r>
                            </w:p>
                          </w:txbxContent>
                        </wps:txbx>
                        <wps:bodyPr rot="0" vert="horz" wrap="square" lIns="91440" tIns="45720" rIns="91440" bIns="45720" anchor="ctr" anchorCtr="0" upright="1">
                          <a:noAutofit/>
                        </wps:bodyPr>
                      </wps:wsp>
                      <wps:wsp>
                        <wps:cNvPr id="28" name="Straight Connector 12"/>
                        <wps:cNvCnPr>
                          <a:cxnSpLocks noChangeShapeType="1"/>
                        </wps:cNvCnPr>
                        <wps:spPr bwMode="auto">
                          <a:xfrm rot="5400000">
                            <a:off x="2128397" y="237977"/>
                            <a:ext cx="385790" cy="1132021"/>
                          </a:xfrm>
                          <a:prstGeom prst="bentConnector3">
                            <a:avLst>
                              <a:gd name="adj1" fmla="val 50000"/>
                            </a:avLst>
                          </a:prstGeom>
                          <a:noFill/>
                          <a:ln w="12700">
                            <a:solidFill>
                              <a:schemeClr val="bg1">
                                <a:lumMod val="50000"/>
                                <a:lumOff val="0"/>
                              </a:schemeClr>
                            </a:solidFill>
                            <a:miter lim="800000"/>
                            <a:headEnd type="stealth" w="med" len="med"/>
                            <a:tailEnd/>
                          </a:ln>
                          <a:extLst>
                            <a:ext uri="{909E8E84-426E-40DD-AFC4-6F175D3DCCD1}">
                              <a14:hiddenFill xmlns:a14="http://schemas.microsoft.com/office/drawing/2010/main">
                                <a:noFill/>
                              </a14:hiddenFill>
                            </a:ext>
                          </a:extLst>
                        </wps:spPr>
                        <wps:bodyPr/>
                      </wps:wsp>
                      <wps:wsp>
                        <wps:cNvPr id="29" name="Straight Connector 12"/>
                        <wps:cNvCnPr>
                          <a:cxnSpLocks noChangeShapeType="1"/>
                        </wps:cNvCnPr>
                        <wps:spPr bwMode="auto">
                          <a:xfrm rot="16200000" flipH="1">
                            <a:off x="3259718" y="238677"/>
                            <a:ext cx="385790" cy="1130621"/>
                          </a:xfrm>
                          <a:prstGeom prst="bentConnector3">
                            <a:avLst>
                              <a:gd name="adj1" fmla="val 50000"/>
                            </a:avLst>
                          </a:prstGeom>
                          <a:noFill/>
                          <a:ln w="12700">
                            <a:solidFill>
                              <a:schemeClr val="bg1">
                                <a:lumMod val="50000"/>
                                <a:lumOff val="0"/>
                              </a:schemeClr>
                            </a:solidFill>
                            <a:miter lim="800000"/>
                            <a:headEnd type="stealth" w="med" len="med"/>
                            <a:tailEnd/>
                          </a:ln>
                          <a:extLst>
                            <a:ext uri="{909E8E84-426E-40DD-AFC4-6F175D3DCCD1}">
                              <a14:hiddenFill xmlns:a14="http://schemas.microsoft.com/office/drawing/2010/main">
                                <a:noFill/>
                              </a14:hiddenFill>
                            </a:ext>
                          </a:extLst>
                        </wps:spPr>
                        <wps:bodyPr/>
                      </wps:wsp>
                      <wps:wsp>
                        <wps:cNvPr id="30" name="Straight Connector 12"/>
                        <wps:cNvCnPr>
                          <a:cxnSpLocks noChangeShapeType="1"/>
                        </wps:cNvCnPr>
                        <wps:spPr bwMode="auto">
                          <a:xfrm rot="5400000">
                            <a:off x="961066" y="1351133"/>
                            <a:ext cx="476611" cy="1111920"/>
                          </a:xfrm>
                          <a:prstGeom prst="bentConnector3">
                            <a:avLst>
                              <a:gd name="adj1" fmla="val 50000"/>
                            </a:avLst>
                          </a:prstGeom>
                          <a:noFill/>
                          <a:ln w="12700">
                            <a:solidFill>
                              <a:schemeClr val="bg1">
                                <a:lumMod val="50000"/>
                                <a:lumOff val="0"/>
                              </a:schemeClr>
                            </a:solidFill>
                            <a:miter lim="800000"/>
                            <a:headEnd type="stealth" w="med" len="med"/>
                            <a:tailEnd type="none" w="med" len="lg"/>
                          </a:ln>
                          <a:extLst>
                            <a:ext uri="{909E8E84-426E-40DD-AFC4-6F175D3DCCD1}">
                              <a14:hiddenFill xmlns:a14="http://schemas.microsoft.com/office/drawing/2010/main">
                                <a:noFill/>
                              </a14:hiddenFill>
                            </a:ext>
                          </a:extLst>
                        </wps:spPr>
                        <wps:bodyPr/>
                      </wps:wsp>
                    </wpc:wpc>
                  </a:graphicData>
                </a:graphic>
              </wp:inline>
            </w:drawing>
          </mc:Choice>
          <mc:Fallback>
            <w:pict>
              <v:group w14:anchorId="0CA6D14D" id="Canvas 31" o:spid="_x0000_s1026" editas="canvas" style="width:385.55pt;height:224.1pt;mso-position-horizontal-relative:char;mso-position-vertical-relative:line" coordsize="48964,28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48964;height:28460;visibility:visible;mso-wrap-style:square">
                  <v:fill o:detectmouseclick="t"/>
                  <v:path o:connecttype="none"/>
                </v:shape>
                <v:rect id="Rectangle 4" o:spid="_x0000_s1028" style="position:absolute;left:23153;width:11440;height:61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" fillcolor="#e8e8e8 [3214]" strokecolor="#7f7f7f [1612]" strokeweight="1pt">
                  <v:textbox>
                    <w:txbxContent>
                      <w:p w14:paraId="62A7A66E" w14:textId="77777777" w:rsidR="00732BC0" w:rsidRDefault="00732BC0" w:rsidP="003623CE">
                        <w:pPr>
                          <w:spacing w:before="0"/>
                          <w:jc w:val="center"/>
                          <w:rPr>
                            <w:rFonts w:asciiTheme="majorHAnsi" w:hAnsiTheme="majorHAnsi"/>
                            <w:color w:val="171717" w:themeColor="background2" w:themeShade="1A"/>
                            <w:sz w:val="18"/>
                            <w:szCs w:val="18"/>
                          </w:rPr>
                        </w:pPr>
                        <w:r>
                          <w:rPr>
                            <w:rFonts w:asciiTheme="majorHAnsi" w:hAnsiTheme="majorHAnsi"/>
                            <w:b/>
                            <w:bCs/>
                            <w:color w:val="171717" w:themeColor="background2" w:themeShade="1A"/>
                            <w:kern w:val="24"/>
                            <w:sz w:val="18"/>
                            <w:szCs w:val="18"/>
                          </w:rPr>
                          <w:t>State of Victoria</w:t>
                        </w:r>
                      </w:p>
                      <w:p w14:paraId="54A8AAC4" w14:textId="77777777" w:rsidR="00732BC0" w:rsidRDefault="00732BC0" w:rsidP="003623CE">
                        <w:pPr>
                          <w:spacing w:before="0"/>
                          <w:jc w:val="center"/>
                          <w:rPr>
                            <w:rFonts w:asciiTheme="majorHAnsi" w:hAnsiTheme="majorHAnsi"/>
                            <w:color w:val="171717" w:themeColor="background2" w:themeShade="1A"/>
                            <w:sz w:val="18"/>
                            <w:szCs w:val="18"/>
                          </w:rPr>
                        </w:pPr>
                        <w:r>
                          <w:rPr>
                            <w:rFonts w:asciiTheme="majorHAnsi" w:hAnsiTheme="majorHAnsi"/>
                            <w:color w:val="171717" w:themeColor="background2" w:themeShade="1A"/>
                            <w:kern w:val="24"/>
                            <w:sz w:val="18"/>
                            <w:szCs w:val="18"/>
                          </w:rPr>
                          <w:t>Tables 5.9 and 5.10</w:t>
                        </w:r>
                      </w:p>
                    </w:txbxContent>
                  </v:textbox>
                </v:rect>
                <v:rect id="Rectangle 5" o:spid="_x0000_s1029" style="position:absolute;left:29888;top:9968;width:16692;height:64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" fillcolor="#e8e8e8 [3214]" strokecolor="#7f7f7f [1612]" strokeweight="1pt">
                  <v:textbox>
                    <w:txbxContent>
                      <w:p w14:paraId="15B2F9AA" w14:textId="77777777" w:rsidR="00732BC0" w:rsidRDefault="00732BC0" w:rsidP="003623CE">
                        <w:pPr>
                          <w:spacing w:before="0"/>
                          <w:jc w:val="center"/>
                          <w:rPr>
                            <w:rFonts w:asciiTheme="majorHAnsi" w:hAnsiTheme="majorHAnsi"/>
                            <w:color w:val="171717" w:themeColor="background2" w:themeShade="1A"/>
                            <w:sz w:val="18"/>
                            <w:szCs w:val="18"/>
                          </w:rPr>
                        </w:pPr>
                        <w:r>
                          <w:rPr>
                            <w:rFonts w:asciiTheme="majorHAnsi" w:hAnsiTheme="majorHAnsi"/>
                            <w:b/>
                            <w:bCs/>
                            <w:color w:val="171717" w:themeColor="background2" w:themeShade="1A"/>
                            <w:sz w:val="18"/>
                            <w:szCs w:val="18"/>
                          </w:rPr>
                          <w:t xml:space="preserve">Public financial </w:t>
                        </w:r>
                        <w:r>
                          <w:rPr>
                            <w:rFonts w:asciiTheme="majorHAnsi" w:hAnsiTheme="majorHAnsi"/>
                            <w:b/>
                            <w:bCs/>
                            <w:color w:val="171717" w:themeColor="background2" w:themeShade="1A"/>
                            <w:sz w:val="18"/>
                            <w:szCs w:val="18"/>
                          </w:rPr>
                          <w:br/>
                          <w:t>corporations sector</w:t>
                        </w:r>
                      </w:p>
                      <w:p w14:paraId="0E20B977" w14:textId="77777777" w:rsidR="00732BC0" w:rsidRDefault="00732BC0" w:rsidP="003623CE">
                        <w:pPr>
                          <w:spacing w:before="0"/>
                          <w:jc w:val="center"/>
                          <w:rPr>
                            <w:rFonts w:asciiTheme="majorHAnsi" w:hAnsiTheme="majorHAnsi"/>
                            <w:color w:val="171717" w:themeColor="background2" w:themeShade="1A"/>
                            <w:sz w:val="18"/>
                            <w:szCs w:val="18"/>
                          </w:rPr>
                        </w:pPr>
                        <w:r>
                          <w:rPr>
                            <w:rFonts w:asciiTheme="majorHAnsi" w:hAnsiTheme="majorHAnsi"/>
                            <w:color w:val="171717" w:themeColor="background2" w:themeShade="1A"/>
                            <w:kern w:val="24"/>
                            <w:sz w:val="18"/>
                            <w:szCs w:val="18"/>
                          </w:rPr>
                          <w:t>Tables 5.7 and 5.8</w:t>
                        </w:r>
                      </w:p>
                    </w:txbxContent>
                  </v:textbox>
                </v:rect>
                <v:rect id="Rectangle 6" o:spid="_x0000_s1030" style="position:absolute;top:21453;width:12869;height:6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" fillcolor="#e8e8e8 [3214]" strokecolor="#7f7f7f [1612]" strokeweight="1pt">
                  <v:textbox>
                    <w:txbxContent>
                      <w:p w14:paraId="45427417" w14:textId="77777777" w:rsidR="00732BC0" w:rsidRDefault="00732BC0" w:rsidP="003623CE">
                        <w:pPr>
                          <w:spacing w:before="0"/>
                          <w:jc w:val="center"/>
                          <w:rPr>
                            <w:rFonts w:asciiTheme="majorHAnsi" w:hAnsiTheme="majorHAnsi"/>
                            <w:color w:val="171717" w:themeColor="background2" w:themeShade="1A"/>
                            <w:sz w:val="18"/>
                            <w:szCs w:val="18"/>
                          </w:rPr>
                        </w:pPr>
                        <w:r>
                          <w:rPr>
                            <w:rFonts w:asciiTheme="majorHAnsi" w:hAnsiTheme="majorHAnsi"/>
                            <w:b/>
                            <w:bCs/>
                            <w:color w:val="171717" w:themeColor="background2" w:themeShade="1A"/>
                            <w:kern w:val="24"/>
                            <w:sz w:val="18"/>
                            <w:szCs w:val="18"/>
                          </w:rPr>
                          <w:t xml:space="preserve">General </w:t>
                        </w:r>
                        <w:r>
                          <w:rPr>
                            <w:rFonts w:asciiTheme="majorHAnsi" w:hAnsiTheme="majorHAnsi"/>
                            <w:b/>
                            <w:bCs/>
                            <w:color w:val="171717" w:themeColor="background2" w:themeShade="1A"/>
                            <w:kern w:val="24"/>
                            <w:sz w:val="18"/>
                            <w:szCs w:val="18"/>
                          </w:rPr>
                          <w:br/>
                          <w:t>government sector</w:t>
                        </w:r>
                      </w:p>
                      <w:p w14:paraId="216C65A2" w14:textId="77777777" w:rsidR="00732BC0" w:rsidRDefault="00732BC0" w:rsidP="003623CE">
                        <w:pPr>
                          <w:spacing w:before="0"/>
                          <w:jc w:val="center"/>
                          <w:rPr>
                            <w:rFonts w:asciiTheme="majorHAnsi" w:hAnsiTheme="majorHAnsi"/>
                            <w:color w:val="171717" w:themeColor="background2" w:themeShade="1A"/>
                            <w:sz w:val="18"/>
                            <w:szCs w:val="18"/>
                          </w:rPr>
                        </w:pPr>
                        <w:r>
                          <w:rPr>
                            <w:rFonts w:asciiTheme="majorHAnsi" w:hAnsiTheme="majorHAnsi"/>
                            <w:color w:val="171717" w:themeColor="background2" w:themeShade="1A"/>
                            <w:kern w:val="24"/>
                            <w:sz w:val="18"/>
                            <w:szCs w:val="18"/>
                          </w:rPr>
                          <w:t>Tables 4.1 to 4.5</w:t>
                        </w:r>
                      </w:p>
                    </w:txbxContent>
                  </v:textbox>
                </v:rect>
                <v:rect id="Rectangle 7" o:spid="_x0000_s1031" style="position:absolute;left:22509;top:21453;width:15704;height:6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" fillcolor="#e8e8e8 [3214]" strokecolor="#7f7f7f [1612]" strokeweight="1pt">
                  <v:textbox>
                    <w:txbxContent>
                      <w:p w14:paraId="15533B8D" w14:textId="77777777" w:rsidR="00732BC0" w:rsidRDefault="00732BC0" w:rsidP="003623CE">
                        <w:pPr>
                          <w:spacing w:before="0"/>
                          <w:jc w:val="center"/>
                          <w:rPr>
                            <w:rFonts w:asciiTheme="majorHAnsi" w:hAnsiTheme="majorHAnsi"/>
                            <w:color w:val="171717" w:themeColor="background2" w:themeShade="1A"/>
                            <w:sz w:val="18"/>
                            <w:szCs w:val="18"/>
                          </w:rPr>
                        </w:pPr>
                        <w:r>
                          <w:rPr>
                            <w:rFonts w:asciiTheme="majorHAnsi" w:hAnsiTheme="majorHAnsi"/>
                            <w:b/>
                            <w:bCs/>
                            <w:color w:val="171717" w:themeColor="background2" w:themeShade="1A"/>
                            <w:kern w:val="24"/>
                            <w:sz w:val="18"/>
                            <w:szCs w:val="18"/>
                          </w:rPr>
                          <w:t>Public non</w:t>
                        </w:r>
                        <w:r>
                          <w:rPr>
                            <w:rFonts w:asciiTheme="majorHAnsi" w:hAnsiTheme="majorHAnsi"/>
                            <w:b/>
                            <w:bCs/>
                            <w:color w:val="171717" w:themeColor="background2" w:themeShade="1A"/>
                            <w:kern w:val="24"/>
                            <w:sz w:val="18"/>
                            <w:szCs w:val="18"/>
                          </w:rPr>
                          <w:noBreakHyphen/>
                          <w:t>financial corporations sector</w:t>
                        </w:r>
                      </w:p>
                      <w:p w14:paraId="35204FFD" w14:textId="77777777" w:rsidR="00732BC0" w:rsidRDefault="00732BC0" w:rsidP="003623CE">
                        <w:pPr>
                          <w:spacing w:before="0"/>
                          <w:jc w:val="center"/>
                          <w:rPr>
                            <w:rFonts w:asciiTheme="majorHAnsi" w:hAnsiTheme="majorHAnsi"/>
                            <w:color w:val="171717" w:themeColor="background2" w:themeShade="1A"/>
                            <w:sz w:val="18"/>
                            <w:szCs w:val="18"/>
                          </w:rPr>
                        </w:pPr>
                        <w:r>
                          <w:rPr>
                            <w:rFonts w:asciiTheme="majorHAnsi" w:hAnsiTheme="majorHAnsi"/>
                            <w:color w:val="171717" w:themeColor="background2" w:themeShade="1A"/>
                            <w:kern w:val="24"/>
                            <w:sz w:val="18"/>
                            <w:szCs w:val="18"/>
                          </w:rPr>
                          <w:t>Tables 5.1 and 5.2</w:t>
                        </w:r>
                      </w:p>
                    </w:txbxContent>
                  </v:textbox>
                </v: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Straight Connector 12" o:spid="_x0000_s1032" type="#_x0000_t34" style="position:absolute;left:20865;top:13375;width:4766;height:11391;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" strokecolor="#7f7f7f [1612]" strokeweight="1pt"/>
                <v:rect id="Rectangle 9" o:spid="_x0000_s1033" style="position:absolute;left:11118;top:9968;width:12869;height:67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" fillcolor="#e8e8e8 [3214]" strokecolor="#7f7f7f [1612]" strokeweight="1pt">
                  <v:textbox>
                    <w:txbxContent>
                      <w:p w14:paraId="04CDB17D" w14:textId="77777777" w:rsidR="00732BC0" w:rsidRDefault="00732BC0" w:rsidP="003623CE">
                        <w:pPr>
                          <w:spacing w:before="0"/>
                          <w:jc w:val="center"/>
                          <w:rPr>
                            <w:rFonts w:asciiTheme="majorHAnsi" w:hAnsiTheme="majorHAnsi"/>
                            <w:color w:val="171717" w:themeColor="background2" w:themeShade="1A"/>
                            <w:sz w:val="18"/>
                            <w:szCs w:val="18"/>
                          </w:rPr>
                        </w:pPr>
                        <w:r>
                          <w:rPr>
                            <w:rFonts w:asciiTheme="majorHAnsi" w:hAnsiTheme="majorHAnsi"/>
                            <w:b/>
                            <w:bCs/>
                            <w:color w:val="171717" w:themeColor="background2" w:themeShade="1A"/>
                            <w:kern w:val="24"/>
                            <w:sz w:val="18"/>
                            <w:szCs w:val="18"/>
                          </w:rPr>
                          <w:t>Non</w:t>
                        </w:r>
                        <w:r>
                          <w:rPr>
                            <w:rFonts w:asciiTheme="majorHAnsi" w:hAnsiTheme="majorHAnsi"/>
                            <w:b/>
                            <w:bCs/>
                            <w:color w:val="171717" w:themeColor="background2" w:themeShade="1A"/>
                            <w:kern w:val="24"/>
                            <w:sz w:val="18"/>
                            <w:szCs w:val="18"/>
                          </w:rPr>
                          <w:noBreakHyphen/>
                          <w:t xml:space="preserve">financial </w:t>
                        </w:r>
                        <w:r>
                          <w:rPr>
                            <w:rFonts w:asciiTheme="majorHAnsi" w:hAnsiTheme="majorHAnsi"/>
                            <w:b/>
                            <w:bCs/>
                            <w:color w:val="171717" w:themeColor="background2" w:themeShade="1A"/>
                            <w:kern w:val="24"/>
                            <w:sz w:val="18"/>
                            <w:szCs w:val="18"/>
                          </w:rPr>
                          <w:br/>
                          <w:t>public sector</w:t>
                        </w:r>
                      </w:p>
                      <w:p w14:paraId="621EC759" w14:textId="77777777" w:rsidR="00732BC0" w:rsidRDefault="00732BC0" w:rsidP="003623CE">
                        <w:pPr>
                          <w:spacing w:before="0"/>
                          <w:jc w:val="center"/>
                          <w:rPr>
                            <w:rFonts w:asciiTheme="majorHAnsi" w:hAnsiTheme="majorHAnsi"/>
                            <w:color w:val="171717" w:themeColor="background2" w:themeShade="1A"/>
                            <w:kern w:val="24"/>
                            <w:sz w:val="18"/>
                            <w:szCs w:val="18"/>
                          </w:rPr>
                        </w:pPr>
                        <w:r>
                          <w:rPr>
                            <w:rFonts w:asciiTheme="majorHAnsi" w:hAnsiTheme="majorHAnsi"/>
                            <w:color w:val="171717" w:themeColor="background2" w:themeShade="1A"/>
                            <w:kern w:val="24"/>
                            <w:sz w:val="18"/>
                            <w:szCs w:val="18"/>
                          </w:rPr>
                          <w:t>Tables 5.3 to 5.6</w:t>
                        </w:r>
                      </w:p>
                    </w:txbxContent>
                  </v:textbox>
                </v:rect>
                <v:shape id="Straight Connector 12" o:spid="_x0000_s1034" type="#_x0000_t34" style="position:absolute;left:21284;top:2378;width:3858;height:11321;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" strokecolor="#7f7f7f [1612]" strokeweight="1pt">
                  <v:stroke startarrow="classic"/>
                </v:shape>
                <v:shape id="Straight Connector 12" o:spid="_x0000_s1035" type="#_x0000_t34" style="position:absolute;left:32597;top:2386;width:3858;height:11306;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" strokecolor="#7f7f7f [1612]" strokeweight="1pt">
                  <v:stroke startarrow="classic"/>
                </v:shape>
                <v:shape id="Straight Connector 12" o:spid="_x0000_s1036" type="#_x0000_t34" style="position:absolute;left:9611;top:13510;width:4766;height:11119;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" strokecolor="#7f7f7f [1612]" strokeweight="1pt">
                  <v:stroke startarrow="classic" endarrowlength="long"/>
                </v:shape>
                <w10:anchorlock/>
              </v:group>
            </w:pict>
          </mc:Fallback>
        </mc:AlternateContent>
      </w:r>
    </w:p>
    <w:p w14:paraId="0C109571" w14:textId="77777777" w:rsidR="00732BC0" w:rsidRPr="001213F7" w:rsidRDefault="00732BC0"/>
    <w:p w14:paraId="7341CCAA" w14:textId="77777777" w:rsidR="00732BC0" w:rsidRPr="001213F7" w:rsidRDefault="00732BC0">
      <w:pPr>
        <w:pStyle w:val="Heading1"/>
        <w:pageBreakBefore/>
      </w:pPr>
      <w:bookmarkStart w:id="60" w:name="_Toc197955074"/>
      <w:bookmarkStart w:id="61" w:name="_Toc228545306"/>
      <w:r w:rsidRPr="001213F7">
        <w:lastRenderedPageBreak/>
        <w:t>Public non-financial corporations sector</w:t>
      </w:r>
      <w:bookmarkEnd w:id="60"/>
      <w:bookmarkEnd w:id="61"/>
    </w:p>
    <w:p w14:paraId="3E5593F0" w14:textId="77777777" w:rsidR="00732BC0" w:rsidRPr="001213F7" w:rsidRDefault="00732BC0">
      <w:r w:rsidRPr="001213F7">
        <w:t xml:space="preserve">Tables 5.1 and 5.2 summarise the operating statement and financial position for the PNFC sector. A comprehensive operating statement and balance sheet are presented in Budget Paper No. 5, Chapter 2 </w:t>
      </w:r>
      <w:r w:rsidRPr="001213F7">
        <w:rPr>
          <w:i/>
        </w:rPr>
        <w:t>Supplementary uniform presentation framework tables</w:t>
      </w:r>
      <w:r w:rsidRPr="001213F7">
        <w:t xml:space="preserve">. </w:t>
      </w:r>
    </w:p>
    <w:p w14:paraId="74193387" w14:textId="77777777" w:rsidR="00732BC0" w:rsidRPr="001213F7" w:rsidRDefault="00732BC0" w:rsidP="004D6A31">
      <w:pPr>
        <w:pStyle w:val="TableHeading"/>
      </w:pPr>
      <w:r w:rsidRPr="001213F7">
        <w:t xml:space="preserve">Table 5.1: </w:t>
      </w:r>
      <w:r w:rsidRPr="001213F7">
        <w:tab/>
        <w:t xml:space="preserve">Summary operating statement for the PNFC sector </w:t>
      </w:r>
      <w:r w:rsidRPr="001213F7">
        <w:rPr>
          <w:vertAlign w:val="superscript"/>
        </w:rPr>
        <w:t>(a)</w:t>
      </w:r>
      <w:r w:rsidRPr="001213F7">
        <w:rPr>
          <w:vertAlign w:val="superscript"/>
        </w:rPr>
        <w:tab/>
      </w:r>
      <w:r w:rsidRPr="001213F7">
        <w:t>($ million)</w:t>
      </w:r>
    </w:p>
    <w:tbl>
      <w:tblPr>
        <w:tblStyle w:val="DTFTableNumeric"/>
        <w:tblW w:w="7710" w:type="dxa"/>
        <w:tblLayout w:type="fixed"/>
        <w:tblLook w:val="06A0" w:firstRow="1" w:lastRow="0" w:firstColumn="1" w:lastColumn="0" w:noHBand="1" w:noVBand="1"/>
        <w:tblDescription w:val="Type:DtfTable|Workbook:https://vicgov.sharepoint.com/sites/VG002735/BP2/Spreadsheets/Chapter%205%20-%20CRA_FAL/SRIMS_BP2_Chap5_PNFC_PFC_SoV.xlsx|Table:Summary_OS_PNFC|TableGroup:Chapter 5"/>
      </w:tblPr>
      <w:tblGrid>
        <w:gridCol w:w="2946"/>
        <w:gridCol w:w="794"/>
        <w:gridCol w:w="794"/>
        <w:gridCol w:w="794"/>
        <w:gridCol w:w="794"/>
        <w:gridCol w:w="794"/>
        <w:gridCol w:w="794"/>
      </w:tblGrid>
      <w:tr w:rsidR="00732BC0" w:rsidRPr="001213F7" w14:paraId="4CFF8D44"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946" w:type="dxa"/>
          </w:tcPr>
          <w:p w14:paraId="05DABDFA" w14:textId="77777777" w:rsidR="00732BC0" w:rsidRPr="001213F7" w:rsidRDefault="00732BC0">
            <w:pPr>
              <w:keepNext/>
            </w:pPr>
          </w:p>
        </w:tc>
        <w:tc>
          <w:tcPr>
            <w:tcW w:w="794" w:type="dxa"/>
          </w:tcPr>
          <w:p w14:paraId="33B6E415" w14:textId="77777777" w:rsidR="00732BC0" w:rsidRPr="001213F7" w:rsidRDefault="00732BC0">
            <w:pPr>
              <w:keepNext/>
              <w:cnfStyle w:val="100000000000" w:firstRow="1" w:lastRow="0" w:firstColumn="0" w:lastColumn="0" w:oddVBand="0" w:evenVBand="0" w:oddHBand="0" w:evenHBand="0" w:firstRowFirstColumn="0" w:firstRowLastColumn="0" w:lastRowFirstColumn="0" w:lastRowLastColumn="0"/>
            </w:pPr>
            <w:r w:rsidRPr="001213F7">
              <w:t>2024</w:t>
            </w:r>
            <w:r w:rsidRPr="001213F7">
              <w:noBreakHyphen/>
              <w:t>25</w:t>
            </w:r>
          </w:p>
        </w:tc>
        <w:tc>
          <w:tcPr>
            <w:tcW w:w="794" w:type="dxa"/>
          </w:tcPr>
          <w:p w14:paraId="0A58BF51" w14:textId="77777777" w:rsidR="00732BC0" w:rsidRPr="001213F7" w:rsidRDefault="00732BC0">
            <w:pPr>
              <w:keepNext/>
              <w:cnfStyle w:val="100000000000" w:firstRow="1" w:lastRow="0" w:firstColumn="0" w:lastColumn="0" w:oddVBand="0" w:evenVBand="0" w:oddHBand="0" w:evenHBand="0" w:firstRowFirstColumn="0" w:firstRowLastColumn="0" w:lastRowFirstColumn="0" w:lastRowLastColumn="0"/>
            </w:pPr>
            <w:r w:rsidRPr="001213F7">
              <w:t>2025</w:t>
            </w:r>
            <w:r w:rsidRPr="001213F7">
              <w:noBreakHyphen/>
              <w:t>26</w:t>
            </w:r>
          </w:p>
        </w:tc>
        <w:tc>
          <w:tcPr>
            <w:tcW w:w="794" w:type="dxa"/>
          </w:tcPr>
          <w:p w14:paraId="09B0370F" w14:textId="77777777" w:rsidR="00732BC0" w:rsidRPr="001213F7" w:rsidRDefault="00732BC0">
            <w:pPr>
              <w:keepNext/>
              <w:cnfStyle w:val="100000000000" w:firstRow="1" w:lastRow="0" w:firstColumn="0" w:lastColumn="0" w:oddVBand="0" w:evenVBand="0" w:oddHBand="0" w:evenHBand="0" w:firstRowFirstColumn="0" w:firstRowLastColumn="0" w:lastRowFirstColumn="0" w:lastRowLastColumn="0"/>
            </w:pPr>
            <w:r w:rsidRPr="001213F7">
              <w:t>2026</w:t>
            </w:r>
            <w:r w:rsidRPr="001213F7">
              <w:noBreakHyphen/>
              <w:t>27</w:t>
            </w:r>
          </w:p>
        </w:tc>
        <w:tc>
          <w:tcPr>
            <w:tcW w:w="794" w:type="dxa"/>
          </w:tcPr>
          <w:p w14:paraId="483CE981" w14:textId="77777777" w:rsidR="00732BC0" w:rsidRPr="001213F7" w:rsidRDefault="00732BC0">
            <w:pPr>
              <w:keepNext/>
              <w:cnfStyle w:val="100000000000" w:firstRow="1" w:lastRow="0" w:firstColumn="0" w:lastColumn="0" w:oddVBand="0" w:evenVBand="0" w:oddHBand="0" w:evenHBand="0" w:firstRowFirstColumn="0" w:firstRowLastColumn="0" w:lastRowFirstColumn="0" w:lastRowLastColumn="0"/>
            </w:pPr>
            <w:r w:rsidRPr="001213F7">
              <w:t>2027</w:t>
            </w:r>
            <w:r w:rsidRPr="001213F7">
              <w:noBreakHyphen/>
              <w:t>28</w:t>
            </w:r>
          </w:p>
        </w:tc>
        <w:tc>
          <w:tcPr>
            <w:tcW w:w="794" w:type="dxa"/>
          </w:tcPr>
          <w:p w14:paraId="63D6D666" w14:textId="77777777" w:rsidR="00732BC0" w:rsidRPr="001213F7" w:rsidRDefault="00732BC0">
            <w:pPr>
              <w:keepNext/>
              <w:cnfStyle w:val="100000000000" w:firstRow="1" w:lastRow="0" w:firstColumn="0" w:lastColumn="0" w:oddVBand="0" w:evenVBand="0" w:oddHBand="0" w:evenHBand="0" w:firstRowFirstColumn="0" w:firstRowLastColumn="0" w:lastRowFirstColumn="0" w:lastRowLastColumn="0"/>
            </w:pPr>
            <w:r w:rsidRPr="001213F7">
              <w:t>2028</w:t>
            </w:r>
            <w:r w:rsidRPr="001213F7">
              <w:noBreakHyphen/>
              <w:t>29</w:t>
            </w:r>
          </w:p>
        </w:tc>
        <w:tc>
          <w:tcPr>
            <w:tcW w:w="794" w:type="dxa"/>
          </w:tcPr>
          <w:p w14:paraId="43EBED68" w14:textId="77777777" w:rsidR="00732BC0" w:rsidRPr="001213F7" w:rsidRDefault="00732BC0">
            <w:pPr>
              <w:keepNext/>
              <w:cnfStyle w:val="100000000000" w:firstRow="1" w:lastRow="0" w:firstColumn="0" w:lastColumn="0" w:oddVBand="0" w:evenVBand="0" w:oddHBand="0" w:evenHBand="0" w:firstRowFirstColumn="0" w:firstRowLastColumn="0" w:lastRowFirstColumn="0" w:lastRowLastColumn="0"/>
            </w:pPr>
            <w:r w:rsidRPr="001213F7">
              <w:t>2029</w:t>
            </w:r>
            <w:r w:rsidRPr="001213F7">
              <w:noBreakHyphen/>
              <w:t>30</w:t>
            </w:r>
          </w:p>
        </w:tc>
      </w:tr>
      <w:tr w:rsidR="00732BC0" w:rsidRPr="001213F7" w14:paraId="0FAEC62C"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946" w:type="dxa"/>
          </w:tcPr>
          <w:p w14:paraId="02DB456B" w14:textId="77777777" w:rsidR="00732BC0" w:rsidRPr="001213F7" w:rsidRDefault="00732BC0">
            <w:pPr>
              <w:keepNext/>
            </w:pPr>
          </w:p>
        </w:tc>
        <w:tc>
          <w:tcPr>
            <w:tcW w:w="794" w:type="dxa"/>
          </w:tcPr>
          <w:p w14:paraId="3102D9F0" w14:textId="77777777" w:rsidR="00732BC0" w:rsidRPr="001213F7" w:rsidRDefault="00732BC0">
            <w:pPr>
              <w:keepNext/>
              <w:cnfStyle w:val="100000000000" w:firstRow="1" w:lastRow="0" w:firstColumn="0" w:lastColumn="0" w:oddVBand="0" w:evenVBand="0" w:oddHBand="0" w:evenHBand="0" w:firstRowFirstColumn="0" w:firstRowLastColumn="0" w:lastRowFirstColumn="0" w:lastRowLastColumn="0"/>
            </w:pPr>
            <w:r w:rsidRPr="001213F7">
              <w:t>actual</w:t>
            </w:r>
          </w:p>
        </w:tc>
        <w:tc>
          <w:tcPr>
            <w:tcW w:w="794" w:type="dxa"/>
          </w:tcPr>
          <w:p w14:paraId="556F8B47" w14:textId="77777777" w:rsidR="00732BC0" w:rsidRPr="001213F7" w:rsidRDefault="00732BC0">
            <w:pPr>
              <w:keepNext/>
              <w:cnfStyle w:val="100000000000" w:firstRow="1" w:lastRow="0" w:firstColumn="0" w:lastColumn="0" w:oddVBand="0" w:evenVBand="0" w:oddHBand="0" w:evenHBand="0" w:firstRowFirstColumn="0" w:firstRowLastColumn="0" w:lastRowFirstColumn="0" w:lastRowLastColumn="0"/>
            </w:pPr>
            <w:r w:rsidRPr="001213F7">
              <w:t>revised</w:t>
            </w:r>
          </w:p>
        </w:tc>
        <w:tc>
          <w:tcPr>
            <w:tcW w:w="794" w:type="dxa"/>
          </w:tcPr>
          <w:p w14:paraId="333F1163" w14:textId="77777777" w:rsidR="00732BC0" w:rsidRPr="001213F7" w:rsidRDefault="00732BC0">
            <w:pPr>
              <w:keepNext/>
              <w:cnfStyle w:val="100000000000" w:firstRow="1" w:lastRow="0" w:firstColumn="0" w:lastColumn="0" w:oddVBand="0" w:evenVBand="0" w:oddHBand="0" w:evenHBand="0" w:firstRowFirstColumn="0" w:firstRowLastColumn="0" w:lastRowFirstColumn="0" w:lastRowLastColumn="0"/>
            </w:pPr>
            <w:r w:rsidRPr="001213F7">
              <w:t>budget</w:t>
            </w:r>
          </w:p>
        </w:tc>
        <w:tc>
          <w:tcPr>
            <w:tcW w:w="794" w:type="dxa"/>
          </w:tcPr>
          <w:p w14:paraId="158AE0B4" w14:textId="77777777" w:rsidR="00732BC0" w:rsidRPr="001213F7" w:rsidRDefault="00732BC0">
            <w:pPr>
              <w:keepNext/>
              <w:cnfStyle w:val="100000000000" w:firstRow="1" w:lastRow="0" w:firstColumn="0" w:lastColumn="0" w:oddVBand="0" w:evenVBand="0" w:oddHBand="0" w:evenHBand="0" w:firstRowFirstColumn="0" w:firstRowLastColumn="0" w:lastRowFirstColumn="0" w:lastRowLastColumn="0"/>
            </w:pPr>
            <w:r w:rsidRPr="001213F7">
              <w:t>estimate</w:t>
            </w:r>
          </w:p>
        </w:tc>
        <w:tc>
          <w:tcPr>
            <w:tcW w:w="794" w:type="dxa"/>
          </w:tcPr>
          <w:p w14:paraId="0BDB15C9" w14:textId="77777777" w:rsidR="00732BC0" w:rsidRPr="001213F7" w:rsidRDefault="00732BC0">
            <w:pPr>
              <w:keepNext/>
              <w:cnfStyle w:val="100000000000" w:firstRow="1" w:lastRow="0" w:firstColumn="0" w:lastColumn="0" w:oddVBand="0" w:evenVBand="0" w:oddHBand="0" w:evenHBand="0" w:firstRowFirstColumn="0" w:firstRowLastColumn="0" w:lastRowFirstColumn="0" w:lastRowLastColumn="0"/>
            </w:pPr>
            <w:r w:rsidRPr="001213F7">
              <w:t>estimate</w:t>
            </w:r>
          </w:p>
        </w:tc>
        <w:tc>
          <w:tcPr>
            <w:tcW w:w="794" w:type="dxa"/>
          </w:tcPr>
          <w:p w14:paraId="6EDF82EE" w14:textId="77777777" w:rsidR="00732BC0" w:rsidRPr="001213F7" w:rsidRDefault="00732BC0">
            <w:pPr>
              <w:keepNext/>
              <w:cnfStyle w:val="100000000000" w:firstRow="1" w:lastRow="0" w:firstColumn="0" w:lastColumn="0" w:oddVBand="0" w:evenVBand="0" w:oddHBand="0" w:evenHBand="0" w:firstRowFirstColumn="0" w:firstRowLastColumn="0" w:lastRowFirstColumn="0" w:lastRowLastColumn="0"/>
            </w:pPr>
            <w:r w:rsidRPr="001213F7">
              <w:t>estimate</w:t>
            </w:r>
          </w:p>
        </w:tc>
      </w:tr>
      <w:tr w:rsidR="00732BC0" w:rsidRPr="001213F7" w14:paraId="3560ABA0" w14:textId="77777777">
        <w:tc>
          <w:tcPr>
            <w:cnfStyle w:val="001000000000" w:firstRow="0" w:lastRow="0" w:firstColumn="1" w:lastColumn="0" w:oddVBand="0" w:evenVBand="0" w:oddHBand="0" w:evenHBand="0" w:firstRowFirstColumn="0" w:firstRowLastColumn="0" w:lastRowFirstColumn="0" w:lastRowLastColumn="0"/>
            <w:tcW w:w="2946" w:type="dxa"/>
          </w:tcPr>
          <w:p w14:paraId="3EF53411" w14:textId="77777777" w:rsidR="00732BC0" w:rsidRPr="001213F7" w:rsidRDefault="00732BC0">
            <w:r w:rsidRPr="001213F7">
              <w:rPr>
                <w:b/>
              </w:rPr>
              <w:t>Revenue and income from transactions</w:t>
            </w:r>
          </w:p>
        </w:tc>
        <w:tc>
          <w:tcPr>
            <w:tcW w:w="794" w:type="dxa"/>
          </w:tcPr>
          <w:p w14:paraId="5FDB3ED9"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p>
        </w:tc>
        <w:tc>
          <w:tcPr>
            <w:tcW w:w="794" w:type="dxa"/>
          </w:tcPr>
          <w:p w14:paraId="79070064"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p>
        </w:tc>
        <w:tc>
          <w:tcPr>
            <w:tcW w:w="794" w:type="dxa"/>
          </w:tcPr>
          <w:p w14:paraId="1CA6FC4F"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p>
        </w:tc>
        <w:tc>
          <w:tcPr>
            <w:tcW w:w="794" w:type="dxa"/>
          </w:tcPr>
          <w:p w14:paraId="4D2A1F77"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p>
        </w:tc>
        <w:tc>
          <w:tcPr>
            <w:tcW w:w="794" w:type="dxa"/>
          </w:tcPr>
          <w:p w14:paraId="6405FDFB"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p>
        </w:tc>
        <w:tc>
          <w:tcPr>
            <w:tcW w:w="794" w:type="dxa"/>
          </w:tcPr>
          <w:p w14:paraId="54ED79A6"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p>
        </w:tc>
      </w:tr>
      <w:tr w:rsidR="00732BC0" w:rsidRPr="001213F7" w14:paraId="7974B1EF" w14:textId="77777777">
        <w:tc>
          <w:tcPr>
            <w:cnfStyle w:val="001000000000" w:firstRow="0" w:lastRow="0" w:firstColumn="1" w:lastColumn="0" w:oddVBand="0" w:evenVBand="0" w:oddHBand="0" w:evenHBand="0" w:firstRowFirstColumn="0" w:firstRowLastColumn="0" w:lastRowFirstColumn="0" w:lastRowLastColumn="0"/>
            <w:tcW w:w="2946" w:type="dxa"/>
          </w:tcPr>
          <w:p w14:paraId="58A4D631" w14:textId="77777777" w:rsidR="00732BC0" w:rsidRPr="001213F7" w:rsidRDefault="00732BC0">
            <w:r w:rsidRPr="001213F7">
              <w:t>Taxation</w:t>
            </w:r>
          </w:p>
        </w:tc>
        <w:tc>
          <w:tcPr>
            <w:tcW w:w="794" w:type="dxa"/>
          </w:tcPr>
          <w:p w14:paraId="46B9F110"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w:t>
            </w:r>
          </w:p>
        </w:tc>
        <w:tc>
          <w:tcPr>
            <w:tcW w:w="794" w:type="dxa"/>
          </w:tcPr>
          <w:p w14:paraId="6661D5CA"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w:t>
            </w:r>
          </w:p>
        </w:tc>
        <w:tc>
          <w:tcPr>
            <w:tcW w:w="794" w:type="dxa"/>
          </w:tcPr>
          <w:p w14:paraId="5253A490"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w:t>
            </w:r>
          </w:p>
        </w:tc>
        <w:tc>
          <w:tcPr>
            <w:tcW w:w="794" w:type="dxa"/>
          </w:tcPr>
          <w:p w14:paraId="6DDCFDA7"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w:t>
            </w:r>
          </w:p>
        </w:tc>
        <w:tc>
          <w:tcPr>
            <w:tcW w:w="794" w:type="dxa"/>
          </w:tcPr>
          <w:p w14:paraId="51FBEB99"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w:t>
            </w:r>
          </w:p>
        </w:tc>
        <w:tc>
          <w:tcPr>
            <w:tcW w:w="794" w:type="dxa"/>
          </w:tcPr>
          <w:p w14:paraId="488A3734"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w:t>
            </w:r>
          </w:p>
        </w:tc>
      </w:tr>
      <w:tr w:rsidR="00732BC0" w:rsidRPr="001213F7" w14:paraId="7F6EE20E" w14:textId="77777777">
        <w:tc>
          <w:tcPr>
            <w:cnfStyle w:val="001000000000" w:firstRow="0" w:lastRow="0" w:firstColumn="1" w:lastColumn="0" w:oddVBand="0" w:evenVBand="0" w:oddHBand="0" w:evenHBand="0" w:firstRowFirstColumn="0" w:firstRowLastColumn="0" w:lastRowFirstColumn="0" w:lastRowLastColumn="0"/>
            <w:tcW w:w="2946" w:type="dxa"/>
          </w:tcPr>
          <w:p w14:paraId="0CDB1B2F" w14:textId="77777777" w:rsidR="00732BC0" w:rsidRPr="001213F7" w:rsidRDefault="00732BC0">
            <w:r w:rsidRPr="001213F7">
              <w:t>Interest income</w:t>
            </w:r>
          </w:p>
        </w:tc>
        <w:tc>
          <w:tcPr>
            <w:tcW w:w="794" w:type="dxa"/>
          </w:tcPr>
          <w:p w14:paraId="4CAE8934"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140</w:t>
            </w:r>
          </w:p>
        </w:tc>
        <w:tc>
          <w:tcPr>
            <w:tcW w:w="794" w:type="dxa"/>
          </w:tcPr>
          <w:p w14:paraId="5ED27365"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145</w:t>
            </w:r>
          </w:p>
        </w:tc>
        <w:tc>
          <w:tcPr>
            <w:tcW w:w="794" w:type="dxa"/>
          </w:tcPr>
          <w:p w14:paraId="4AA1CBEC"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115</w:t>
            </w:r>
          </w:p>
        </w:tc>
        <w:tc>
          <w:tcPr>
            <w:tcW w:w="794" w:type="dxa"/>
          </w:tcPr>
          <w:p w14:paraId="3C18FB98"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100</w:t>
            </w:r>
          </w:p>
        </w:tc>
        <w:tc>
          <w:tcPr>
            <w:tcW w:w="794" w:type="dxa"/>
          </w:tcPr>
          <w:p w14:paraId="2578CE69"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107</w:t>
            </w:r>
          </w:p>
        </w:tc>
        <w:tc>
          <w:tcPr>
            <w:tcW w:w="794" w:type="dxa"/>
          </w:tcPr>
          <w:p w14:paraId="269363F8"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113</w:t>
            </w:r>
          </w:p>
        </w:tc>
      </w:tr>
      <w:tr w:rsidR="00732BC0" w:rsidRPr="001213F7" w14:paraId="4256B82A" w14:textId="77777777">
        <w:tc>
          <w:tcPr>
            <w:cnfStyle w:val="001000000000" w:firstRow="0" w:lastRow="0" w:firstColumn="1" w:lastColumn="0" w:oddVBand="0" w:evenVBand="0" w:oddHBand="0" w:evenHBand="0" w:firstRowFirstColumn="0" w:firstRowLastColumn="0" w:lastRowFirstColumn="0" w:lastRowLastColumn="0"/>
            <w:tcW w:w="2946" w:type="dxa"/>
          </w:tcPr>
          <w:p w14:paraId="5BE31F6E" w14:textId="77777777" w:rsidR="00732BC0" w:rsidRPr="001213F7" w:rsidRDefault="00732BC0">
            <w:r w:rsidRPr="001213F7">
              <w:t>Dividend income</w:t>
            </w:r>
          </w:p>
        </w:tc>
        <w:tc>
          <w:tcPr>
            <w:tcW w:w="794" w:type="dxa"/>
          </w:tcPr>
          <w:p w14:paraId="3339B1FA"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29</w:t>
            </w:r>
          </w:p>
        </w:tc>
        <w:tc>
          <w:tcPr>
            <w:tcW w:w="794" w:type="dxa"/>
          </w:tcPr>
          <w:p w14:paraId="476D96B1"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34</w:t>
            </w:r>
          </w:p>
        </w:tc>
        <w:tc>
          <w:tcPr>
            <w:tcW w:w="794" w:type="dxa"/>
          </w:tcPr>
          <w:p w14:paraId="523ADA18"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31</w:t>
            </w:r>
          </w:p>
        </w:tc>
        <w:tc>
          <w:tcPr>
            <w:tcW w:w="794" w:type="dxa"/>
          </w:tcPr>
          <w:p w14:paraId="36CDA3BC"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32</w:t>
            </w:r>
          </w:p>
        </w:tc>
        <w:tc>
          <w:tcPr>
            <w:tcW w:w="794" w:type="dxa"/>
          </w:tcPr>
          <w:p w14:paraId="0A0F350C"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35</w:t>
            </w:r>
          </w:p>
        </w:tc>
        <w:tc>
          <w:tcPr>
            <w:tcW w:w="794" w:type="dxa"/>
          </w:tcPr>
          <w:p w14:paraId="0472C75C"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35</w:t>
            </w:r>
          </w:p>
        </w:tc>
      </w:tr>
      <w:tr w:rsidR="00732BC0" w:rsidRPr="001213F7" w14:paraId="3C0A0A87" w14:textId="77777777">
        <w:tc>
          <w:tcPr>
            <w:cnfStyle w:val="001000000000" w:firstRow="0" w:lastRow="0" w:firstColumn="1" w:lastColumn="0" w:oddVBand="0" w:evenVBand="0" w:oddHBand="0" w:evenHBand="0" w:firstRowFirstColumn="0" w:firstRowLastColumn="0" w:lastRowFirstColumn="0" w:lastRowLastColumn="0"/>
            <w:tcW w:w="2946" w:type="dxa"/>
          </w:tcPr>
          <w:p w14:paraId="13E3EF63" w14:textId="77777777" w:rsidR="00732BC0" w:rsidRPr="001213F7" w:rsidRDefault="00732BC0">
            <w:r w:rsidRPr="001213F7">
              <w:t>Sales of goods and services</w:t>
            </w:r>
          </w:p>
        </w:tc>
        <w:tc>
          <w:tcPr>
            <w:tcW w:w="794" w:type="dxa"/>
          </w:tcPr>
          <w:p w14:paraId="2A63716C"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8 093</w:t>
            </w:r>
          </w:p>
        </w:tc>
        <w:tc>
          <w:tcPr>
            <w:tcW w:w="794" w:type="dxa"/>
          </w:tcPr>
          <w:p w14:paraId="44030883"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8 847</w:t>
            </w:r>
          </w:p>
        </w:tc>
        <w:tc>
          <w:tcPr>
            <w:tcW w:w="794" w:type="dxa"/>
          </w:tcPr>
          <w:p w14:paraId="436A5FFB"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9 246</w:t>
            </w:r>
          </w:p>
        </w:tc>
        <w:tc>
          <w:tcPr>
            <w:tcW w:w="794" w:type="dxa"/>
          </w:tcPr>
          <w:p w14:paraId="62F10A94"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9 757</w:t>
            </w:r>
          </w:p>
        </w:tc>
        <w:tc>
          <w:tcPr>
            <w:tcW w:w="794" w:type="dxa"/>
          </w:tcPr>
          <w:p w14:paraId="542FCD45"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10 504</w:t>
            </w:r>
          </w:p>
        </w:tc>
        <w:tc>
          <w:tcPr>
            <w:tcW w:w="794" w:type="dxa"/>
          </w:tcPr>
          <w:p w14:paraId="48E2B36C"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11 315</w:t>
            </w:r>
          </w:p>
        </w:tc>
      </w:tr>
      <w:tr w:rsidR="00732BC0" w:rsidRPr="001213F7" w14:paraId="06AF7B57" w14:textId="77777777">
        <w:tc>
          <w:tcPr>
            <w:cnfStyle w:val="001000000000" w:firstRow="0" w:lastRow="0" w:firstColumn="1" w:lastColumn="0" w:oddVBand="0" w:evenVBand="0" w:oddHBand="0" w:evenHBand="0" w:firstRowFirstColumn="0" w:firstRowLastColumn="0" w:lastRowFirstColumn="0" w:lastRowLastColumn="0"/>
            <w:tcW w:w="2946" w:type="dxa"/>
          </w:tcPr>
          <w:p w14:paraId="6842C424" w14:textId="77777777" w:rsidR="00732BC0" w:rsidRPr="001213F7" w:rsidRDefault="00732BC0">
            <w:r w:rsidRPr="001213F7">
              <w:t>Grants</w:t>
            </w:r>
          </w:p>
        </w:tc>
        <w:tc>
          <w:tcPr>
            <w:tcW w:w="794" w:type="dxa"/>
          </w:tcPr>
          <w:p w14:paraId="646B96E1"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2 597</w:t>
            </w:r>
          </w:p>
        </w:tc>
        <w:tc>
          <w:tcPr>
            <w:tcW w:w="794" w:type="dxa"/>
          </w:tcPr>
          <w:p w14:paraId="0E8834F8"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2 784</w:t>
            </w:r>
          </w:p>
        </w:tc>
        <w:tc>
          <w:tcPr>
            <w:tcW w:w="794" w:type="dxa"/>
          </w:tcPr>
          <w:p w14:paraId="1A64D1E8"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2 685</w:t>
            </w:r>
          </w:p>
        </w:tc>
        <w:tc>
          <w:tcPr>
            <w:tcW w:w="794" w:type="dxa"/>
          </w:tcPr>
          <w:p w14:paraId="28D57385"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2 113</w:t>
            </w:r>
          </w:p>
        </w:tc>
        <w:tc>
          <w:tcPr>
            <w:tcW w:w="794" w:type="dxa"/>
          </w:tcPr>
          <w:p w14:paraId="1FBD7EAC"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2 083</w:t>
            </w:r>
          </w:p>
        </w:tc>
        <w:tc>
          <w:tcPr>
            <w:tcW w:w="794" w:type="dxa"/>
          </w:tcPr>
          <w:p w14:paraId="43B15FA8"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2 108</w:t>
            </w:r>
          </w:p>
        </w:tc>
      </w:tr>
      <w:tr w:rsidR="00732BC0" w:rsidRPr="001213F7" w14:paraId="37E85CC4" w14:textId="77777777">
        <w:tc>
          <w:tcPr>
            <w:cnfStyle w:val="001000000000" w:firstRow="0" w:lastRow="0" w:firstColumn="1" w:lastColumn="0" w:oddVBand="0" w:evenVBand="0" w:oddHBand="0" w:evenHBand="0" w:firstRowFirstColumn="0" w:firstRowLastColumn="0" w:lastRowFirstColumn="0" w:lastRowLastColumn="0"/>
            <w:tcW w:w="2946" w:type="dxa"/>
            <w:tcBorders>
              <w:bottom w:val="single" w:sz="6" w:space="0" w:color="auto"/>
            </w:tcBorders>
          </w:tcPr>
          <w:p w14:paraId="151B5AC7" w14:textId="77777777" w:rsidR="00732BC0" w:rsidRPr="001213F7" w:rsidRDefault="00732BC0">
            <w:r w:rsidRPr="001213F7">
              <w:t>Other revenue and income</w:t>
            </w:r>
          </w:p>
        </w:tc>
        <w:tc>
          <w:tcPr>
            <w:tcW w:w="794" w:type="dxa"/>
            <w:tcBorders>
              <w:bottom w:val="single" w:sz="6" w:space="0" w:color="auto"/>
            </w:tcBorders>
          </w:tcPr>
          <w:p w14:paraId="5576312D"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843</w:t>
            </w:r>
          </w:p>
        </w:tc>
        <w:tc>
          <w:tcPr>
            <w:tcW w:w="794" w:type="dxa"/>
            <w:tcBorders>
              <w:bottom w:val="single" w:sz="6" w:space="0" w:color="auto"/>
            </w:tcBorders>
          </w:tcPr>
          <w:p w14:paraId="32495D9F"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658</w:t>
            </w:r>
          </w:p>
        </w:tc>
        <w:tc>
          <w:tcPr>
            <w:tcW w:w="794" w:type="dxa"/>
            <w:tcBorders>
              <w:bottom w:val="single" w:sz="6" w:space="0" w:color="auto"/>
            </w:tcBorders>
          </w:tcPr>
          <w:p w14:paraId="4399612C"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712</w:t>
            </w:r>
          </w:p>
        </w:tc>
        <w:tc>
          <w:tcPr>
            <w:tcW w:w="794" w:type="dxa"/>
            <w:tcBorders>
              <w:bottom w:val="single" w:sz="6" w:space="0" w:color="auto"/>
            </w:tcBorders>
          </w:tcPr>
          <w:p w14:paraId="6E31A89A"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765</w:t>
            </w:r>
          </w:p>
        </w:tc>
        <w:tc>
          <w:tcPr>
            <w:tcW w:w="794" w:type="dxa"/>
            <w:tcBorders>
              <w:bottom w:val="single" w:sz="6" w:space="0" w:color="auto"/>
            </w:tcBorders>
          </w:tcPr>
          <w:p w14:paraId="021E1110"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815</w:t>
            </w:r>
          </w:p>
        </w:tc>
        <w:tc>
          <w:tcPr>
            <w:tcW w:w="794" w:type="dxa"/>
            <w:tcBorders>
              <w:bottom w:val="single" w:sz="6" w:space="0" w:color="auto"/>
            </w:tcBorders>
          </w:tcPr>
          <w:p w14:paraId="568142B1"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870</w:t>
            </w:r>
          </w:p>
        </w:tc>
      </w:tr>
      <w:tr w:rsidR="00732BC0" w:rsidRPr="001213F7" w14:paraId="2E3DB663" w14:textId="77777777">
        <w:tc>
          <w:tcPr>
            <w:cnfStyle w:val="001000000000" w:firstRow="0" w:lastRow="0" w:firstColumn="1" w:lastColumn="0" w:oddVBand="0" w:evenVBand="0" w:oddHBand="0" w:evenHBand="0" w:firstRowFirstColumn="0" w:firstRowLastColumn="0" w:lastRowFirstColumn="0" w:lastRowLastColumn="0"/>
            <w:tcW w:w="2946" w:type="dxa"/>
            <w:tcBorders>
              <w:top w:val="single" w:sz="6" w:space="0" w:color="auto"/>
            </w:tcBorders>
          </w:tcPr>
          <w:p w14:paraId="683B9B39" w14:textId="77777777" w:rsidR="00732BC0" w:rsidRPr="001213F7" w:rsidRDefault="00732BC0">
            <w:r w:rsidRPr="001213F7">
              <w:rPr>
                <w:b/>
              </w:rPr>
              <w:t>Total revenue and income from transactions</w:t>
            </w:r>
          </w:p>
        </w:tc>
        <w:tc>
          <w:tcPr>
            <w:tcW w:w="794" w:type="dxa"/>
            <w:tcBorders>
              <w:top w:val="single" w:sz="6" w:space="0" w:color="auto"/>
            </w:tcBorders>
          </w:tcPr>
          <w:p w14:paraId="51BED99C"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rPr>
                <w:b/>
              </w:rPr>
              <w:t>11 701</w:t>
            </w:r>
          </w:p>
        </w:tc>
        <w:tc>
          <w:tcPr>
            <w:tcW w:w="794" w:type="dxa"/>
            <w:tcBorders>
              <w:top w:val="single" w:sz="6" w:space="0" w:color="auto"/>
            </w:tcBorders>
          </w:tcPr>
          <w:p w14:paraId="21AF11D6"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rPr>
                <w:b/>
              </w:rPr>
              <w:t>12 468</w:t>
            </w:r>
          </w:p>
        </w:tc>
        <w:tc>
          <w:tcPr>
            <w:tcW w:w="794" w:type="dxa"/>
            <w:tcBorders>
              <w:top w:val="single" w:sz="6" w:space="0" w:color="auto"/>
            </w:tcBorders>
          </w:tcPr>
          <w:p w14:paraId="544C0240"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rPr>
                <w:b/>
              </w:rPr>
              <w:t>12 788</w:t>
            </w:r>
          </w:p>
        </w:tc>
        <w:tc>
          <w:tcPr>
            <w:tcW w:w="794" w:type="dxa"/>
            <w:tcBorders>
              <w:top w:val="single" w:sz="6" w:space="0" w:color="auto"/>
            </w:tcBorders>
          </w:tcPr>
          <w:p w14:paraId="02FF4458"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rPr>
                <w:b/>
              </w:rPr>
              <w:t>12 767</w:t>
            </w:r>
          </w:p>
        </w:tc>
        <w:tc>
          <w:tcPr>
            <w:tcW w:w="794" w:type="dxa"/>
            <w:tcBorders>
              <w:top w:val="single" w:sz="6" w:space="0" w:color="auto"/>
            </w:tcBorders>
          </w:tcPr>
          <w:p w14:paraId="15ED9773"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rPr>
                <w:b/>
              </w:rPr>
              <w:t>13 545</w:t>
            </w:r>
          </w:p>
        </w:tc>
        <w:tc>
          <w:tcPr>
            <w:tcW w:w="794" w:type="dxa"/>
            <w:tcBorders>
              <w:top w:val="single" w:sz="6" w:space="0" w:color="auto"/>
            </w:tcBorders>
          </w:tcPr>
          <w:p w14:paraId="56D7C216"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rPr>
                <w:b/>
              </w:rPr>
              <w:t>14 440</w:t>
            </w:r>
          </w:p>
        </w:tc>
      </w:tr>
      <w:tr w:rsidR="00732BC0" w:rsidRPr="001213F7" w14:paraId="02EF3288" w14:textId="77777777">
        <w:tc>
          <w:tcPr>
            <w:cnfStyle w:val="001000000000" w:firstRow="0" w:lastRow="0" w:firstColumn="1" w:lastColumn="0" w:oddVBand="0" w:evenVBand="0" w:oddHBand="0" w:evenHBand="0" w:firstRowFirstColumn="0" w:firstRowLastColumn="0" w:lastRowFirstColumn="0" w:lastRowLastColumn="0"/>
            <w:tcW w:w="2946" w:type="dxa"/>
          </w:tcPr>
          <w:p w14:paraId="108AB920" w14:textId="77777777" w:rsidR="00732BC0" w:rsidRPr="001213F7" w:rsidRDefault="00732BC0">
            <w:r w:rsidRPr="001213F7">
              <w:rPr>
                <w:i/>
              </w:rPr>
              <w:t>per cent change</w:t>
            </w:r>
          </w:p>
        </w:tc>
        <w:tc>
          <w:tcPr>
            <w:tcW w:w="794" w:type="dxa"/>
          </w:tcPr>
          <w:p w14:paraId="34ECCD34"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rPr>
                <w:i/>
              </w:rPr>
              <w:t>5.6</w:t>
            </w:r>
          </w:p>
        </w:tc>
        <w:tc>
          <w:tcPr>
            <w:tcW w:w="794" w:type="dxa"/>
          </w:tcPr>
          <w:p w14:paraId="7B890FCA"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rPr>
                <w:i/>
              </w:rPr>
              <w:t>6.6</w:t>
            </w:r>
          </w:p>
        </w:tc>
        <w:tc>
          <w:tcPr>
            <w:tcW w:w="794" w:type="dxa"/>
          </w:tcPr>
          <w:p w14:paraId="542FB8A9"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rPr>
                <w:i/>
              </w:rPr>
              <w:t>2.6</w:t>
            </w:r>
          </w:p>
        </w:tc>
        <w:tc>
          <w:tcPr>
            <w:tcW w:w="794" w:type="dxa"/>
          </w:tcPr>
          <w:p w14:paraId="45CC0409"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rPr>
                <w:i/>
              </w:rPr>
              <w:noBreakHyphen/>
              <w:t>0.2</w:t>
            </w:r>
          </w:p>
        </w:tc>
        <w:tc>
          <w:tcPr>
            <w:tcW w:w="794" w:type="dxa"/>
          </w:tcPr>
          <w:p w14:paraId="3EC3A28A"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rPr>
                <w:i/>
              </w:rPr>
              <w:t>6.1</w:t>
            </w:r>
          </w:p>
        </w:tc>
        <w:tc>
          <w:tcPr>
            <w:tcW w:w="794" w:type="dxa"/>
          </w:tcPr>
          <w:p w14:paraId="723F56BB"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rPr>
                <w:i/>
              </w:rPr>
              <w:t>6.6</w:t>
            </w:r>
          </w:p>
        </w:tc>
      </w:tr>
      <w:tr w:rsidR="00732BC0" w:rsidRPr="001213F7" w14:paraId="0A88703A" w14:textId="77777777">
        <w:trPr>
          <w:trHeight w:hRule="exact" w:val="113"/>
        </w:trPr>
        <w:tc>
          <w:tcPr>
            <w:cnfStyle w:val="001000000000" w:firstRow="0" w:lastRow="0" w:firstColumn="1" w:lastColumn="0" w:oddVBand="0" w:evenVBand="0" w:oddHBand="0" w:evenHBand="0" w:firstRowFirstColumn="0" w:firstRowLastColumn="0" w:lastRowFirstColumn="0" w:lastRowLastColumn="0"/>
            <w:tcW w:w="2946" w:type="dxa"/>
          </w:tcPr>
          <w:p w14:paraId="2D7242C8" w14:textId="77777777" w:rsidR="00732BC0" w:rsidRPr="001213F7" w:rsidRDefault="00732BC0"/>
        </w:tc>
        <w:tc>
          <w:tcPr>
            <w:tcW w:w="794" w:type="dxa"/>
          </w:tcPr>
          <w:p w14:paraId="1378AF0E"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p>
        </w:tc>
        <w:tc>
          <w:tcPr>
            <w:tcW w:w="794" w:type="dxa"/>
          </w:tcPr>
          <w:p w14:paraId="17E05FA4"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p>
        </w:tc>
        <w:tc>
          <w:tcPr>
            <w:tcW w:w="794" w:type="dxa"/>
          </w:tcPr>
          <w:p w14:paraId="15C1C8DC"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p>
        </w:tc>
        <w:tc>
          <w:tcPr>
            <w:tcW w:w="794" w:type="dxa"/>
          </w:tcPr>
          <w:p w14:paraId="46434ED4"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p>
        </w:tc>
        <w:tc>
          <w:tcPr>
            <w:tcW w:w="794" w:type="dxa"/>
          </w:tcPr>
          <w:p w14:paraId="1F33E99E"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p>
        </w:tc>
        <w:tc>
          <w:tcPr>
            <w:tcW w:w="794" w:type="dxa"/>
          </w:tcPr>
          <w:p w14:paraId="25961AA2"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p>
        </w:tc>
      </w:tr>
      <w:tr w:rsidR="00732BC0" w:rsidRPr="001213F7" w14:paraId="7153529C" w14:textId="77777777">
        <w:tc>
          <w:tcPr>
            <w:cnfStyle w:val="001000000000" w:firstRow="0" w:lastRow="0" w:firstColumn="1" w:lastColumn="0" w:oddVBand="0" w:evenVBand="0" w:oddHBand="0" w:evenHBand="0" w:firstRowFirstColumn="0" w:firstRowLastColumn="0" w:lastRowFirstColumn="0" w:lastRowLastColumn="0"/>
            <w:tcW w:w="2946" w:type="dxa"/>
          </w:tcPr>
          <w:p w14:paraId="2F461D77" w14:textId="77777777" w:rsidR="00732BC0" w:rsidRPr="001213F7" w:rsidRDefault="00732BC0">
            <w:r w:rsidRPr="001213F7">
              <w:rPr>
                <w:b/>
              </w:rPr>
              <w:t>Expenses from transactions</w:t>
            </w:r>
          </w:p>
        </w:tc>
        <w:tc>
          <w:tcPr>
            <w:tcW w:w="794" w:type="dxa"/>
          </w:tcPr>
          <w:p w14:paraId="2FE52125"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p>
        </w:tc>
        <w:tc>
          <w:tcPr>
            <w:tcW w:w="794" w:type="dxa"/>
          </w:tcPr>
          <w:p w14:paraId="043543CA"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p>
        </w:tc>
        <w:tc>
          <w:tcPr>
            <w:tcW w:w="794" w:type="dxa"/>
          </w:tcPr>
          <w:p w14:paraId="0A764A78"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p>
        </w:tc>
        <w:tc>
          <w:tcPr>
            <w:tcW w:w="794" w:type="dxa"/>
          </w:tcPr>
          <w:p w14:paraId="771385E7"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p>
        </w:tc>
        <w:tc>
          <w:tcPr>
            <w:tcW w:w="794" w:type="dxa"/>
          </w:tcPr>
          <w:p w14:paraId="4304E47B"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p>
        </w:tc>
        <w:tc>
          <w:tcPr>
            <w:tcW w:w="794" w:type="dxa"/>
          </w:tcPr>
          <w:p w14:paraId="2DBE1C60"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p>
        </w:tc>
      </w:tr>
      <w:tr w:rsidR="00732BC0" w:rsidRPr="001213F7" w14:paraId="0C80F976" w14:textId="77777777">
        <w:tc>
          <w:tcPr>
            <w:cnfStyle w:val="001000000000" w:firstRow="0" w:lastRow="0" w:firstColumn="1" w:lastColumn="0" w:oddVBand="0" w:evenVBand="0" w:oddHBand="0" w:evenHBand="0" w:firstRowFirstColumn="0" w:firstRowLastColumn="0" w:lastRowFirstColumn="0" w:lastRowLastColumn="0"/>
            <w:tcW w:w="2946" w:type="dxa"/>
          </w:tcPr>
          <w:p w14:paraId="24950C4E" w14:textId="77777777" w:rsidR="00732BC0" w:rsidRPr="001213F7" w:rsidRDefault="00732BC0">
            <w:r w:rsidRPr="001213F7">
              <w:t>Employee expenses</w:t>
            </w:r>
          </w:p>
        </w:tc>
        <w:tc>
          <w:tcPr>
            <w:tcW w:w="794" w:type="dxa"/>
          </w:tcPr>
          <w:p w14:paraId="0505D9E4"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2 114</w:t>
            </w:r>
          </w:p>
        </w:tc>
        <w:tc>
          <w:tcPr>
            <w:tcW w:w="794" w:type="dxa"/>
          </w:tcPr>
          <w:p w14:paraId="4C84B33A"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2 294</w:t>
            </w:r>
          </w:p>
        </w:tc>
        <w:tc>
          <w:tcPr>
            <w:tcW w:w="794" w:type="dxa"/>
          </w:tcPr>
          <w:p w14:paraId="19DCA924"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2 391</w:t>
            </w:r>
          </w:p>
        </w:tc>
        <w:tc>
          <w:tcPr>
            <w:tcW w:w="794" w:type="dxa"/>
          </w:tcPr>
          <w:p w14:paraId="4151813A"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2 356</w:t>
            </w:r>
          </w:p>
        </w:tc>
        <w:tc>
          <w:tcPr>
            <w:tcW w:w="794" w:type="dxa"/>
          </w:tcPr>
          <w:p w14:paraId="6ED75BEB"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2 402</w:t>
            </w:r>
          </w:p>
        </w:tc>
        <w:tc>
          <w:tcPr>
            <w:tcW w:w="794" w:type="dxa"/>
          </w:tcPr>
          <w:p w14:paraId="56EE3C02"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2 485</w:t>
            </w:r>
          </w:p>
        </w:tc>
      </w:tr>
      <w:tr w:rsidR="00732BC0" w:rsidRPr="001213F7" w14:paraId="3C993F04" w14:textId="77777777">
        <w:tc>
          <w:tcPr>
            <w:cnfStyle w:val="001000000000" w:firstRow="0" w:lastRow="0" w:firstColumn="1" w:lastColumn="0" w:oddVBand="0" w:evenVBand="0" w:oddHBand="0" w:evenHBand="0" w:firstRowFirstColumn="0" w:firstRowLastColumn="0" w:lastRowFirstColumn="0" w:lastRowLastColumn="0"/>
            <w:tcW w:w="2946" w:type="dxa"/>
          </w:tcPr>
          <w:p w14:paraId="4AEEEA73" w14:textId="77777777" w:rsidR="00732BC0" w:rsidRPr="001213F7" w:rsidRDefault="00732BC0">
            <w:r w:rsidRPr="001213F7">
              <w:t>Superannuation:</w:t>
            </w:r>
          </w:p>
        </w:tc>
        <w:tc>
          <w:tcPr>
            <w:tcW w:w="794" w:type="dxa"/>
          </w:tcPr>
          <w:p w14:paraId="4AA51BAA"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p>
        </w:tc>
        <w:tc>
          <w:tcPr>
            <w:tcW w:w="794" w:type="dxa"/>
          </w:tcPr>
          <w:p w14:paraId="3B231316"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p>
        </w:tc>
        <w:tc>
          <w:tcPr>
            <w:tcW w:w="794" w:type="dxa"/>
          </w:tcPr>
          <w:p w14:paraId="4BA01406"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p>
        </w:tc>
        <w:tc>
          <w:tcPr>
            <w:tcW w:w="794" w:type="dxa"/>
          </w:tcPr>
          <w:p w14:paraId="572D0CA2"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p>
        </w:tc>
        <w:tc>
          <w:tcPr>
            <w:tcW w:w="794" w:type="dxa"/>
          </w:tcPr>
          <w:p w14:paraId="764A969D"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p>
        </w:tc>
        <w:tc>
          <w:tcPr>
            <w:tcW w:w="794" w:type="dxa"/>
          </w:tcPr>
          <w:p w14:paraId="2680F73A"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p>
        </w:tc>
      </w:tr>
      <w:tr w:rsidR="00732BC0" w:rsidRPr="001213F7" w14:paraId="7D979256" w14:textId="77777777">
        <w:tc>
          <w:tcPr>
            <w:cnfStyle w:val="001000000000" w:firstRow="0" w:lastRow="0" w:firstColumn="1" w:lastColumn="0" w:oddVBand="0" w:evenVBand="0" w:oddHBand="0" w:evenHBand="0" w:firstRowFirstColumn="0" w:firstRowLastColumn="0" w:lastRowFirstColumn="0" w:lastRowLastColumn="0"/>
            <w:tcW w:w="2946" w:type="dxa"/>
          </w:tcPr>
          <w:p w14:paraId="5E135936" w14:textId="77777777" w:rsidR="00732BC0" w:rsidRPr="001213F7" w:rsidRDefault="00732BC0">
            <w:r w:rsidRPr="001213F7">
              <w:t>Net superannuation interest expense</w:t>
            </w:r>
          </w:p>
        </w:tc>
        <w:tc>
          <w:tcPr>
            <w:tcW w:w="794" w:type="dxa"/>
          </w:tcPr>
          <w:p w14:paraId="275267E0"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2</w:t>
            </w:r>
          </w:p>
        </w:tc>
        <w:tc>
          <w:tcPr>
            <w:tcW w:w="794" w:type="dxa"/>
          </w:tcPr>
          <w:p w14:paraId="1F67CE80"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4</w:t>
            </w:r>
          </w:p>
        </w:tc>
        <w:tc>
          <w:tcPr>
            <w:tcW w:w="794" w:type="dxa"/>
          </w:tcPr>
          <w:p w14:paraId="6C69BAF8"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4</w:t>
            </w:r>
          </w:p>
        </w:tc>
        <w:tc>
          <w:tcPr>
            <w:tcW w:w="794" w:type="dxa"/>
          </w:tcPr>
          <w:p w14:paraId="2F36BE52"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4</w:t>
            </w:r>
          </w:p>
        </w:tc>
        <w:tc>
          <w:tcPr>
            <w:tcW w:w="794" w:type="dxa"/>
          </w:tcPr>
          <w:p w14:paraId="62301DF0"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4</w:t>
            </w:r>
          </w:p>
        </w:tc>
        <w:tc>
          <w:tcPr>
            <w:tcW w:w="794" w:type="dxa"/>
          </w:tcPr>
          <w:p w14:paraId="6AF96B55"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4</w:t>
            </w:r>
          </w:p>
        </w:tc>
      </w:tr>
      <w:tr w:rsidR="00732BC0" w:rsidRPr="001213F7" w14:paraId="0B5A60FF" w14:textId="77777777">
        <w:tc>
          <w:tcPr>
            <w:cnfStyle w:val="001000000000" w:firstRow="0" w:lastRow="0" w:firstColumn="1" w:lastColumn="0" w:oddVBand="0" w:evenVBand="0" w:oddHBand="0" w:evenHBand="0" w:firstRowFirstColumn="0" w:firstRowLastColumn="0" w:lastRowFirstColumn="0" w:lastRowLastColumn="0"/>
            <w:tcW w:w="2946" w:type="dxa"/>
          </w:tcPr>
          <w:p w14:paraId="3AD5F430" w14:textId="77777777" w:rsidR="00732BC0" w:rsidRPr="001213F7" w:rsidRDefault="00732BC0">
            <w:r w:rsidRPr="001213F7">
              <w:t>Other superannuation</w:t>
            </w:r>
          </w:p>
        </w:tc>
        <w:tc>
          <w:tcPr>
            <w:tcW w:w="794" w:type="dxa"/>
          </w:tcPr>
          <w:p w14:paraId="3D05B486"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225</w:t>
            </w:r>
          </w:p>
        </w:tc>
        <w:tc>
          <w:tcPr>
            <w:tcW w:w="794" w:type="dxa"/>
          </w:tcPr>
          <w:p w14:paraId="1EEB3F6A"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243</w:t>
            </w:r>
          </w:p>
        </w:tc>
        <w:tc>
          <w:tcPr>
            <w:tcW w:w="794" w:type="dxa"/>
          </w:tcPr>
          <w:p w14:paraId="41EC8AF7"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255</w:t>
            </w:r>
          </w:p>
        </w:tc>
        <w:tc>
          <w:tcPr>
            <w:tcW w:w="794" w:type="dxa"/>
          </w:tcPr>
          <w:p w14:paraId="2A9C0E2F"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259</w:t>
            </w:r>
          </w:p>
        </w:tc>
        <w:tc>
          <w:tcPr>
            <w:tcW w:w="794" w:type="dxa"/>
          </w:tcPr>
          <w:p w14:paraId="3FD8DC7E"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265</w:t>
            </w:r>
          </w:p>
        </w:tc>
        <w:tc>
          <w:tcPr>
            <w:tcW w:w="794" w:type="dxa"/>
          </w:tcPr>
          <w:p w14:paraId="7D8FA92F"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272</w:t>
            </w:r>
          </w:p>
        </w:tc>
      </w:tr>
      <w:tr w:rsidR="00732BC0" w:rsidRPr="001213F7" w14:paraId="636496FB" w14:textId="77777777">
        <w:tc>
          <w:tcPr>
            <w:cnfStyle w:val="001000000000" w:firstRow="0" w:lastRow="0" w:firstColumn="1" w:lastColumn="0" w:oddVBand="0" w:evenVBand="0" w:oddHBand="0" w:evenHBand="0" w:firstRowFirstColumn="0" w:firstRowLastColumn="0" w:lastRowFirstColumn="0" w:lastRowLastColumn="0"/>
            <w:tcW w:w="2946" w:type="dxa"/>
          </w:tcPr>
          <w:p w14:paraId="2547BFED" w14:textId="77777777" w:rsidR="00732BC0" w:rsidRPr="001213F7" w:rsidRDefault="00732BC0">
            <w:r w:rsidRPr="001213F7">
              <w:t>Depreciation</w:t>
            </w:r>
          </w:p>
        </w:tc>
        <w:tc>
          <w:tcPr>
            <w:tcW w:w="794" w:type="dxa"/>
          </w:tcPr>
          <w:p w14:paraId="4C9A9DCB"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2 360</w:t>
            </w:r>
          </w:p>
        </w:tc>
        <w:tc>
          <w:tcPr>
            <w:tcW w:w="794" w:type="dxa"/>
          </w:tcPr>
          <w:p w14:paraId="62A46583"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2 540</w:t>
            </w:r>
          </w:p>
        </w:tc>
        <w:tc>
          <w:tcPr>
            <w:tcW w:w="794" w:type="dxa"/>
          </w:tcPr>
          <w:p w14:paraId="57D73A97"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2 526</w:t>
            </w:r>
          </w:p>
        </w:tc>
        <w:tc>
          <w:tcPr>
            <w:tcW w:w="794" w:type="dxa"/>
          </w:tcPr>
          <w:p w14:paraId="76EF9130"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2 565</w:t>
            </w:r>
          </w:p>
        </w:tc>
        <w:tc>
          <w:tcPr>
            <w:tcW w:w="794" w:type="dxa"/>
          </w:tcPr>
          <w:p w14:paraId="5FA1D293"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2 794</w:t>
            </w:r>
          </w:p>
        </w:tc>
        <w:tc>
          <w:tcPr>
            <w:tcW w:w="794" w:type="dxa"/>
          </w:tcPr>
          <w:p w14:paraId="5E184038"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3 017</w:t>
            </w:r>
          </w:p>
        </w:tc>
      </w:tr>
      <w:tr w:rsidR="00732BC0" w:rsidRPr="001213F7" w14:paraId="4A29E710" w14:textId="77777777">
        <w:tc>
          <w:tcPr>
            <w:cnfStyle w:val="001000000000" w:firstRow="0" w:lastRow="0" w:firstColumn="1" w:lastColumn="0" w:oddVBand="0" w:evenVBand="0" w:oddHBand="0" w:evenHBand="0" w:firstRowFirstColumn="0" w:firstRowLastColumn="0" w:lastRowFirstColumn="0" w:lastRowLastColumn="0"/>
            <w:tcW w:w="2946" w:type="dxa"/>
          </w:tcPr>
          <w:p w14:paraId="250117F1" w14:textId="77777777" w:rsidR="00732BC0" w:rsidRPr="001213F7" w:rsidRDefault="00732BC0">
            <w:r w:rsidRPr="001213F7">
              <w:t>Interest expense</w:t>
            </w:r>
          </w:p>
        </w:tc>
        <w:tc>
          <w:tcPr>
            <w:tcW w:w="794" w:type="dxa"/>
          </w:tcPr>
          <w:p w14:paraId="36003C96"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1 052</w:t>
            </w:r>
          </w:p>
        </w:tc>
        <w:tc>
          <w:tcPr>
            <w:tcW w:w="794" w:type="dxa"/>
          </w:tcPr>
          <w:p w14:paraId="42211DA2"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1 225</w:t>
            </w:r>
          </w:p>
        </w:tc>
        <w:tc>
          <w:tcPr>
            <w:tcW w:w="794" w:type="dxa"/>
          </w:tcPr>
          <w:p w14:paraId="0B7AB336"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1 477</w:t>
            </w:r>
          </w:p>
        </w:tc>
        <w:tc>
          <w:tcPr>
            <w:tcW w:w="794" w:type="dxa"/>
          </w:tcPr>
          <w:p w14:paraId="7D39CC8B"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1 638</w:t>
            </w:r>
          </w:p>
        </w:tc>
        <w:tc>
          <w:tcPr>
            <w:tcW w:w="794" w:type="dxa"/>
          </w:tcPr>
          <w:p w14:paraId="2D68FDF6"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1 953</w:t>
            </w:r>
          </w:p>
        </w:tc>
        <w:tc>
          <w:tcPr>
            <w:tcW w:w="794" w:type="dxa"/>
          </w:tcPr>
          <w:p w14:paraId="2FE39DCF"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2 296</w:t>
            </w:r>
          </w:p>
        </w:tc>
      </w:tr>
      <w:tr w:rsidR="00732BC0" w:rsidRPr="001213F7" w14:paraId="12F07758" w14:textId="77777777">
        <w:tc>
          <w:tcPr>
            <w:cnfStyle w:val="001000000000" w:firstRow="0" w:lastRow="0" w:firstColumn="1" w:lastColumn="0" w:oddVBand="0" w:evenVBand="0" w:oddHBand="0" w:evenHBand="0" w:firstRowFirstColumn="0" w:firstRowLastColumn="0" w:lastRowFirstColumn="0" w:lastRowLastColumn="0"/>
            <w:tcW w:w="2946" w:type="dxa"/>
          </w:tcPr>
          <w:p w14:paraId="44923AFC" w14:textId="77777777" w:rsidR="00732BC0" w:rsidRPr="001213F7" w:rsidRDefault="00732BC0">
            <w:r w:rsidRPr="001213F7">
              <w:t>Grant expense</w:t>
            </w:r>
          </w:p>
        </w:tc>
        <w:tc>
          <w:tcPr>
            <w:tcW w:w="794" w:type="dxa"/>
          </w:tcPr>
          <w:p w14:paraId="38EDBE26"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578</w:t>
            </w:r>
          </w:p>
        </w:tc>
        <w:tc>
          <w:tcPr>
            <w:tcW w:w="794" w:type="dxa"/>
          </w:tcPr>
          <w:p w14:paraId="13A4812A"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614</w:t>
            </w:r>
          </w:p>
        </w:tc>
        <w:tc>
          <w:tcPr>
            <w:tcW w:w="794" w:type="dxa"/>
          </w:tcPr>
          <w:p w14:paraId="28FBD511"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715</w:t>
            </w:r>
          </w:p>
        </w:tc>
        <w:tc>
          <w:tcPr>
            <w:tcW w:w="794" w:type="dxa"/>
          </w:tcPr>
          <w:p w14:paraId="6029B87A"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486</w:t>
            </w:r>
          </w:p>
        </w:tc>
        <w:tc>
          <w:tcPr>
            <w:tcW w:w="794" w:type="dxa"/>
          </w:tcPr>
          <w:p w14:paraId="3B970F37"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499</w:t>
            </w:r>
          </w:p>
        </w:tc>
        <w:tc>
          <w:tcPr>
            <w:tcW w:w="794" w:type="dxa"/>
          </w:tcPr>
          <w:p w14:paraId="2D2F843A"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524</w:t>
            </w:r>
          </w:p>
        </w:tc>
      </w:tr>
      <w:tr w:rsidR="00732BC0" w:rsidRPr="001213F7" w14:paraId="025A5AC0" w14:textId="77777777">
        <w:tc>
          <w:tcPr>
            <w:cnfStyle w:val="001000000000" w:firstRow="0" w:lastRow="0" w:firstColumn="1" w:lastColumn="0" w:oddVBand="0" w:evenVBand="0" w:oddHBand="0" w:evenHBand="0" w:firstRowFirstColumn="0" w:firstRowLastColumn="0" w:lastRowFirstColumn="0" w:lastRowLastColumn="0"/>
            <w:tcW w:w="2946" w:type="dxa"/>
          </w:tcPr>
          <w:p w14:paraId="2E1F2F61" w14:textId="77777777" w:rsidR="00732BC0" w:rsidRPr="001213F7" w:rsidRDefault="00732BC0">
            <w:r w:rsidRPr="001213F7">
              <w:t>Other operating expenses</w:t>
            </w:r>
          </w:p>
        </w:tc>
        <w:tc>
          <w:tcPr>
            <w:tcW w:w="794" w:type="dxa"/>
          </w:tcPr>
          <w:p w14:paraId="7D696FDB"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5 302</w:t>
            </w:r>
          </w:p>
        </w:tc>
        <w:tc>
          <w:tcPr>
            <w:tcW w:w="794" w:type="dxa"/>
          </w:tcPr>
          <w:p w14:paraId="50F519AC"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6 357</w:t>
            </w:r>
          </w:p>
        </w:tc>
        <w:tc>
          <w:tcPr>
            <w:tcW w:w="794" w:type="dxa"/>
          </w:tcPr>
          <w:p w14:paraId="65E6B1BA"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6 344</w:t>
            </w:r>
          </w:p>
        </w:tc>
        <w:tc>
          <w:tcPr>
            <w:tcW w:w="794" w:type="dxa"/>
          </w:tcPr>
          <w:p w14:paraId="5E3D0908"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5 979</w:t>
            </w:r>
          </w:p>
        </w:tc>
        <w:tc>
          <w:tcPr>
            <w:tcW w:w="794" w:type="dxa"/>
          </w:tcPr>
          <w:p w14:paraId="6690574A"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6 203</w:t>
            </w:r>
          </w:p>
        </w:tc>
        <w:tc>
          <w:tcPr>
            <w:tcW w:w="794" w:type="dxa"/>
          </w:tcPr>
          <w:p w14:paraId="4A71947D"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6 579</w:t>
            </w:r>
          </w:p>
        </w:tc>
      </w:tr>
      <w:tr w:rsidR="00732BC0" w:rsidRPr="001213F7" w14:paraId="254F15E9" w14:textId="77777777">
        <w:tc>
          <w:tcPr>
            <w:cnfStyle w:val="001000000000" w:firstRow="0" w:lastRow="0" w:firstColumn="1" w:lastColumn="0" w:oddVBand="0" w:evenVBand="0" w:oddHBand="0" w:evenHBand="0" w:firstRowFirstColumn="0" w:firstRowLastColumn="0" w:lastRowFirstColumn="0" w:lastRowLastColumn="0"/>
            <w:tcW w:w="2946" w:type="dxa"/>
            <w:tcBorders>
              <w:bottom w:val="single" w:sz="6" w:space="0" w:color="auto"/>
            </w:tcBorders>
          </w:tcPr>
          <w:p w14:paraId="5F583B55" w14:textId="77777777" w:rsidR="00732BC0" w:rsidRPr="001213F7" w:rsidRDefault="00732BC0">
            <w:r w:rsidRPr="001213F7">
              <w:t>Other property expenses</w:t>
            </w:r>
          </w:p>
        </w:tc>
        <w:tc>
          <w:tcPr>
            <w:tcW w:w="794" w:type="dxa"/>
            <w:tcBorders>
              <w:bottom w:val="single" w:sz="6" w:space="0" w:color="auto"/>
            </w:tcBorders>
          </w:tcPr>
          <w:p w14:paraId="56E925F0"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189</w:t>
            </w:r>
          </w:p>
        </w:tc>
        <w:tc>
          <w:tcPr>
            <w:tcW w:w="794" w:type="dxa"/>
            <w:tcBorders>
              <w:bottom w:val="single" w:sz="6" w:space="0" w:color="auto"/>
            </w:tcBorders>
          </w:tcPr>
          <w:p w14:paraId="496154E8"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171</w:t>
            </w:r>
          </w:p>
        </w:tc>
        <w:tc>
          <w:tcPr>
            <w:tcW w:w="794" w:type="dxa"/>
            <w:tcBorders>
              <w:bottom w:val="single" w:sz="6" w:space="0" w:color="auto"/>
            </w:tcBorders>
          </w:tcPr>
          <w:p w14:paraId="360337A0"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116</w:t>
            </w:r>
          </w:p>
        </w:tc>
        <w:tc>
          <w:tcPr>
            <w:tcW w:w="794" w:type="dxa"/>
            <w:tcBorders>
              <w:bottom w:val="single" w:sz="6" w:space="0" w:color="auto"/>
            </w:tcBorders>
          </w:tcPr>
          <w:p w14:paraId="3479CBD1"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118</w:t>
            </w:r>
          </w:p>
        </w:tc>
        <w:tc>
          <w:tcPr>
            <w:tcW w:w="794" w:type="dxa"/>
            <w:tcBorders>
              <w:bottom w:val="single" w:sz="6" w:space="0" w:color="auto"/>
            </w:tcBorders>
          </w:tcPr>
          <w:p w14:paraId="3F8CF0D6"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201</w:t>
            </w:r>
          </w:p>
        </w:tc>
        <w:tc>
          <w:tcPr>
            <w:tcW w:w="794" w:type="dxa"/>
            <w:tcBorders>
              <w:bottom w:val="single" w:sz="6" w:space="0" w:color="auto"/>
            </w:tcBorders>
          </w:tcPr>
          <w:p w14:paraId="1D000867"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176</w:t>
            </w:r>
          </w:p>
        </w:tc>
      </w:tr>
      <w:tr w:rsidR="00732BC0" w:rsidRPr="001213F7" w14:paraId="0CC5D506" w14:textId="77777777">
        <w:tc>
          <w:tcPr>
            <w:cnfStyle w:val="001000000000" w:firstRow="0" w:lastRow="0" w:firstColumn="1" w:lastColumn="0" w:oddVBand="0" w:evenVBand="0" w:oddHBand="0" w:evenHBand="0" w:firstRowFirstColumn="0" w:firstRowLastColumn="0" w:lastRowFirstColumn="0" w:lastRowLastColumn="0"/>
            <w:tcW w:w="2946" w:type="dxa"/>
            <w:tcBorders>
              <w:top w:val="single" w:sz="6" w:space="0" w:color="auto"/>
            </w:tcBorders>
          </w:tcPr>
          <w:p w14:paraId="660851DA" w14:textId="77777777" w:rsidR="00732BC0" w:rsidRPr="001213F7" w:rsidRDefault="00732BC0">
            <w:r w:rsidRPr="001213F7">
              <w:rPr>
                <w:b/>
              </w:rPr>
              <w:t>Total expenses from transactions</w:t>
            </w:r>
          </w:p>
        </w:tc>
        <w:tc>
          <w:tcPr>
            <w:tcW w:w="794" w:type="dxa"/>
            <w:tcBorders>
              <w:top w:val="single" w:sz="6" w:space="0" w:color="auto"/>
            </w:tcBorders>
          </w:tcPr>
          <w:p w14:paraId="6838F99A"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rPr>
                <w:b/>
              </w:rPr>
              <w:t>11 822</w:t>
            </w:r>
          </w:p>
        </w:tc>
        <w:tc>
          <w:tcPr>
            <w:tcW w:w="794" w:type="dxa"/>
            <w:tcBorders>
              <w:top w:val="single" w:sz="6" w:space="0" w:color="auto"/>
            </w:tcBorders>
          </w:tcPr>
          <w:p w14:paraId="6CCC67E1"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rPr>
                <w:b/>
              </w:rPr>
              <w:t>13 449</w:t>
            </w:r>
          </w:p>
        </w:tc>
        <w:tc>
          <w:tcPr>
            <w:tcW w:w="794" w:type="dxa"/>
            <w:tcBorders>
              <w:top w:val="single" w:sz="6" w:space="0" w:color="auto"/>
            </w:tcBorders>
          </w:tcPr>
          <w:p w14:paraId="78BA01E5"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rPr>
                <w:b/>
              </w:rPr>
              <w:t>13 829</w:t>
            </w:r>
          </w:p>
        </w:tc>
        <w:tc>
          <w:tcPr>
            <w:tcW w:w="794" w:type="dxa"/>
            <w:tcBorders>
              <w:top w:val="single" w:sz="6" w:space="0" w:color="auto"/>
            </w:tcBorders>
          </w:tcPr>
          <w:p w14:paraId="12E7A269"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rPr>
                <w:b/>
              </w:rPr>
              <w:t>13 406</w:t>
            </w:r>
          </w:p>
        </w:tc>
        <w:tc>
          <w:tcPr>
            <w:tcW w:w="794" w:type="dxa"/>
            <w:tcBorders>
              <w:top w:val="single" w:sz="6" w:space="0" w:color="auto"/>
            </w:tcBorders>
          </w:tcPr>
          <w:p w14:paraId="5B4E3F21"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rPr>
                <w:b/>
              </w:rPr>
              <w:t>14 320</w:t>
            </w:r>
          </w:p>
        </w:tc>
        <w:tc>
          <w:tcPr>
            <w:tcW w:w="794" w:type="dxa"/>
            <w:tcBorders>
              <w:top w:val="single" w:sz="6" w:space="0" w:color="auto"/>
            </w:tcBorders>
          </w:tcPr>
          <w:p w14:paraId="63D8BC8A"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rPr>
                <w:b/>
              </w:rPr>
              <w:t>15 353</w:t>
            </w:r>
          </w:p>
        </w:tc>
      </w:tr>
      <w:tr w:rsidR="00732BC0" w:rsidRPr="001213F7" w14:paraId="1C366BEF" w14:textId="77777777">
        <w:tc>
          <w:tcPr>
            <w:cnfStyle w:val="001000000000" w:firstRow="0" w:lastRow="0" w:firstColumn="1" w:lastColumn="0" w:oddVBand="0" w:evenVBand="0" w:oddHBand="0" w:evenHBand="0" w:firstRowFirstColumn="0" w:firstRowLastColumn="0" w:lastRowFirstColumn="0" w:lastRowLastColumn="0"/>
            <w:tcW w:w="2946" w:type="dxa"/>
          </w:tcPr>
          <w:p w14:paraId="1C8A0752" w14:textId="77777777" w:rsidR="00732BC0" w:rsidRPr="001213F7" w:rsidRDefault="00732BC0">
            <w:r w:rsidRPr="001213F7">
              <w:rPr>
                <w:i/>
              </w:rPr>
              <w:t>per cent change</w:t>
            </w:r>
          </w:p>
        </w:tc>
        <w:tc>
          <w:tcPr>
            <w:tcW w:w="794" w:type="dxa"/>
          </w:tcPr>
          <w:p w14:paraId="76479AD8"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rPr>
                <w:i/>
              </w:rPr>
              <w:t>6.7</w:t>
            </w:r>
          </w:p>
        </w:tc>
        <w:tc>
          <w:tcPr>
            <w:tcW w:w="794" w:type="dxa"/>
          </w:tcPr>
          <w:p w14:paraId="340C4A4E"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rPr>
                <w:i/>
              </w:rPr>
              <w:t>13.8</w:t>
            </w:r>
          </w:p>
        </w:tc>
        <w:tc>
          <w:tcPr>
            <w:tcW w:w="794" w:type="dxa"/>
          </w:tcPr>
          <w:p w14:paraId="568B534C"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rPr>
                <w:i/>
              </w:rPr>
              <w:t>2.8</w:t>
            </w:r>
          </w:p>
        </w:tc>
        <w:tc>
          <w:tcPr>
            <w:tcW w:w="794" w:type="dxa"/>
          </w:tcPr>
          <w:p w14:paraId="3A0776F5"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rPr>
                <w:i/>
              </w:rPr>
              <w:noBreakHyphen/>
              <w:t>3.1</w:t>
            </w:r>
          </w:p>
        </w:tc>
        <w:tc>
          <w:tcPr>
            <w:tcW w:w="794" w:type="dxa"/>
          </w:tcPr>
          <w:p w14:paraId="4B6B6181"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rPr>
                <w:i/>
              </w:rPr>
              <w:t>6.8</w:t>
            </w:r>
          </w:p>
        </w:tc>
        <w:tc>
          <w:tcPr>
            <w:tcW w:w="794" w:type="dxa"/>
          </w:tcPr>
          <w:p w14:paraId="71887D28"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rPr>
                <w:i/>
              </w:rPr>
              <w:t>7.2</w:t>
            </w:r>
          </w:p>
        </w:tc>
      </w:tr>
      <w:tr w:rsidR="00732BC0" w:rsidRPr="001213F7" w14:paraId="069982F8" w14:textId="77777777">
        <w:trPr>
          <w:trHeight w:hRule="exact" w:val="113"/>
        </w:trPr>
        <w:tc>
          <w:tcPr>
            <w:cnfStyle w:val="001000000000" w:firstRow="0" w:lastRow="0" w:firstColumn="1" w:lastColumn="0" w:oddVBand="0" w:evenVBand="0" w:oddHBand="0" w:evenHBand="0" w:firstRowFirstColumn="0" w:firstRowLastColumn="0" w:lastRowFirstColumn="0" w:lastRowLastColumn="0"/>
            <w:tcW w:w="2946" w:type="dxa"/>
            <w:tcBorders>
              <w:bottom w:val="single" w:sz="6" w:space="0" w:color="auto"/>
            </w:tcBorders>
          </w:tcPr>
          <w:p w14:paraId="6ED761CD" w14:textId="77777777" w:rsidR="00732BC0" w:rsidRPr="001213F7" w:rsidRDefault="00732BC0"/>
        </w:tc>
        <w:tc>
          <w:tcPr>
            <w:tcW w:w="794" w:type="dxa"/>
            <w:tcBorders>
              <w:bottom w:val="single" w:sz="6" w:space="0" w:color="auto"/>
            </w:tcBorders>
          </w:tcPr>
          <w:p w14:paraId="57CFD53B"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p>
        </w:tc>
        <w:tc>
          <w:tcPr>
            <w:tcW w:w="794" w:type="dxa"/>
            <w:tcBorders>
              <w:bottom w:val="single" w:sz="6" w:space="0" w:color="auto"/>
            </w:tcBorders>
          </w:tcPr>
          <w:p w14:paraId="5B3417AB"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p>
        </w:tc>
        <w:tc>
          <w:tcPr>
            <w:tcW w:w="794" w:type="dxa"/>
            <w:tcBorders>
              <w:bottom w:val="single" w:sz="6" w:space="0" w:color="auto"/>
            </w:tcBorders>
          </w:tcPr>
          <w:p w14:paraId="787CCFC9"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p>
        </w:tc>
        <w:tc>
          <w:tcPr>
            <w:tcW w:w="794" w:type="dxa"/>
            <w:tcBorders>
              <w:bottom w:val="single" w:sz="6" w:space="0" w:color="auto"/>
            </w:tcBorders>
          </w:tcPr>
          <w:p w14:paraId="673C5BF6"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p>
        </w:tc>
        <w:tc>
          <w:tcPr>
            <w:tcW w:w="794" w:type="dxa"/>
            <w:tcBorders>
              <w:bottom w:val="single" w:sz="6" w:space="0" w:color="auto"/>
            </w:tcBorders>
          </w:tcPr>
          <w:p w14:paraId="11A0D5A5"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p>
        </w:tc>
        <w:tc>
          <w:tcPr>
            <w:tcW w:w="794" w:type="dxa"/>
            <w:tcBorders>
              <w:bottom w:val="single" w:sz="6" w:space="0" w:color="auto"/>
            </w:tcBorders>
          </w:tcPr>
          <w:p w14:paraId="6230D648"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p>
        </w:tc>
      </w:tr>
      <w:tr w:rsidR="00732BC0" w:rsidRPr="001213F7" w14:paraId="518284D7" w14:textId="77777777">
        <w:tc>
          <w:tcPr>
            <w:cnfStyle w:val="001000000000" w:firstRow="0" w:lastRow="0" w:firstColumn="1" w:lastColumn="0" w:oddVBand="0" w:evenVBand="0" w:oddHBand="0" w:evenHBand="0" w:firstRowFirstColumn="0" w:firstRowLastColumn="0" w:lastRowFirstColumn="0" w:lastRowLastColumn="0"/>
            <w:tcW w:w="2946" w:type="dxa"/>
            <w:tcBorders>
              <w:top w:val="single" w:sz="6" w:space="0" w:color="auto"/>
              <w:bottom w:val="single" w:sz="12" w:space="0" w:color="auto"/>
            </w:tcBorders>
          </w:tcPr>
          <w:p w14:paraId="4A420C68" w14:textId="77777777" w:rsidR="00732BC0" w:rsidRPr="001213F7" w:rsidRDefault="00732BC0">
            <w:r w:rsidRPr="001213F7">
              <w:rPr>
                <w:b/>
              </w:rPr>
              <w:t>Net result from transactions – net operating balance</w:t>
            </w:r>
          </w:p>
        </w:tc>
        <w:tc>
          <w:tcPr>
            <w:tcW w:w="794" w:type="dxa"/>
            <w:tcBorders>
              <w:top w:val="single" w:sz="6" w:space="0" w:color="auto"/>
              <w:bottom w:val="single" w:sz="12" w:space="0" w:color="auto"/>
            </w:tcBorders>
          </w:tcPr>
          <w:p w14:paraId="62E2C0FB"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rPr>
                <w:b/>
              </w:rPr>
              <w:t>(121)</w:t>
            </w:r>
          </w:p>
        </w:tc>
        <w:tc>
          <w:tcPr>
            <w:tcW w:w="794" w:type="dxa"/>
            <w:tcBorders>
              <w:top w:val="single" w:sz="6" w:space="0" w:color="auto"/>
              <w:bottom w:val="single" w:sz="12" w:space="0" w:color="auto"/>
            </w:tcBorders>
          </w:tcPr>
          <w:p w14:paraId="301236CD"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rPr>
                <w:b/>
              </w:rPr>
              <w:t>(981)</w:t>
            </w:r>
          </w:p>
        </w:tc>
        <w:tc>
          <w:tcPr>
            <w:tcW w:w="794" w:type="dxa"/>
            <w:tcBorders>
              <w:top w:val="single" w:sz="6" w:space="0" w:color="auto"/>
              <w:bottom w:val="single" w:sz="12" w:space="0" w:color="auto"/>
            </w:tcBorders>
          </w:tcPr>
          <w:p w14:paraId="45CD133D"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rPr>
                <w:b/>
              </w:rPr>
              <w:t>(1 040)</w:t>
            </w:r>
          </w:p>
        </w:tc>
        <w:tc>
          <w:tcPr>
            <w:tcW w:w="794" w:type="dxa"/>
            <w:tcBorders>
              <w:top w:val="single" w:sz="6" w:space="0" w:color="auto"/>
              <w:bottom w:val="single" w:sz="12" w:space="0" w:color="auto"/>
            </w:tcBorders>
          </w:tcPr>
          <w:p w14:paraId="6767F0E9"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rPr>
                <w:b/>
              </w:rPr>
              <w:t>(638)</w:t>
            </w:r>
          </w:p>
        </w:tc>
        <w:tc>
          <w:tcPr>
            <w:tcW w:w="794" w:type="dxa"/>
            <w:tcBorders>
              <w:top w:val="single" w:sz="6" w:space="0" w:color="auto"/>
              <w:bottom w:val="single" w:sz="12" w:space="0" w:color="auto"/>
            </w:tcBorders>
          </w:tcPr>
          <w:p w14:paraId="19920E1D"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rPr>
                <w:b/>
              </w:rPr>
              <w:t>(776)</w:t>
            </w:r>
          </w:p>
        </w:tc>
        <w:tc>
          <w:tcPr>
            <w:tcW w:w="794" w:type="dxa"/>
            <w:tcBorders>
              <w:top w:val="single" w:sz="6" w:space="0" w:color="auto"/>
              <w:bottom w:val="single" w:sz="12" w:space="0" w:color="auto"/>
            </w:tcBorders>
          </w:tcPr>
          <w:p w14:paraId="13341E7E"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rPr>
                <w:b/>
              </w:rPr>
              <w:t>(913)</w:t>
            </w:r>
          </w:p>
        </w:tc>
      </w:tr>
      <w:tr w:rsidR="00732BC0" w:rsidRPr="001213F7" w14:paraId="054F5C0D" w14:textId="77777777">
        <w:tc>
          <w:tcPr>
            <w:cnfStyle w:val="001000000000" w:firstRow="0" w:lastRow="0" w:firstColumn="1" w:lastColumn="0" w:oddVBand="0" w:evenVBand="0" w:oddHBand="0" w:evenHBand="0" w:firstRowFirstColumn="0" w:firstRowLastColumn="0" w:lastRowFirstColumn="0" w:lastRowLastColumn="0"/>
            <w:tcW w:w="2946" w:type="dxa"/>
            <w:tcBorders>
              <w:top w:val="single" w:sz="6" w:space="0" w:color="auto"/>
              <w:bottom w:val="single" w:sz="6" w:space="0" w:color="auto"/>
            </w:tcBorders>
          </w:tcPr>
          <w:p w14:paraId="172F075F" w14:textId="77777777" w:rsidR="00732BC0" w:rsidRPr="001213F7" w:rsidRDefault="00732BC0">
            <w:r w:rsidRPr="001213F7">
              <w:t>Total other economic flows included in net result</w:t>
            </w:r>
          </w:p>
        </w:tc>
        <w:tc>
          <w:tcPr>
            <w:tcW w:w="794" w:type="dxa"/>
            <w:tcBorders>
              <w:top w:val="single" w:sz="6" w:space="0" w:color="auto"/>
              <w:bottom w:val="single" w:sz="6" w:space="0" w:color="auto"/>
            </w:tcBorders>
          </w:tcPr>
          <w:p w14:paraId="023A8422"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(12 947)</w:t>
            </w:r>
          </w:p>
        </w:tc>
        <w:tc>
          <w:tcPr>
            <w:tcW w:w="794" w:type="dxa"/>
            <w:tcBorders>
              <w:top w:val="single" w:sz="6" w:space="0" w:color="auto"/>
              <w:bottom w:val="single" w:sz="6" w:space="0" w:color="auto"/>
            </w:tcBorders>
          </w:tcPr>
          <w:p w14:paraId="19EBBDCF"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(25 575)</w:t>
            </w:r>
          </w:p>
        </w:tc>
        <w:tc>
          <w:tcPr>
            <w:tcW w:w="794" w:type="dxa"/>
            <w:tcBorders>
              <w:top w:val="single" w:sz="6" w:space="0" w:color="auto"/>
              <w:bottom w:val="single" w:sz="6" w:space="0" w:color="auto"/>
            </w:tcBorders>
          </w:tcPr>
          <w:p w14:paraId="03DD5D30"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(2 178)</w:t>
            </w:r>
          </w:p>
        </w:tc>
        <w:tc>
          <w:tcPr>
            <w:tcW w:w="794" w:type="dxa"/>
            <w:tcBorders>
              <w:top w:val="single" w:sz="6" w:space="0" w:color="auto"/>
              <w:bottom w:val="single" w:sz="6" w:space="0" w:color="auto"/>
            </w:tcBorders>
          </w:tcPr>
          <w:p w14:paraId="5E4C9A48"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(4 906)</w:t>
            </w:r>
          </w:p>
        </w:tc>
        <w:tc>
          <w:tcPr>
            <w:tcW w:w="794" w:type="dxa"/>
            <w:tcBorders>
              <w:top w:val="single" w:sz="6" w:space="0" w:color="auto"/>
              <w:bottom w:val="single" w:sz="6" w:space="0" w:color="auto"/>
            </w:tcBorders>
          </w:tcPr>
          <w:p w14:paraId="3BC79D90"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(3 138)</w:t>
            </w:r>
          </w:p>
        </w:tc>
        <w:tc>
          <w:tcPr>
            <w:tcW w:w="794" w:type="dxa"/>
            <w:tcBorders>
              <w:top w:val="single" w:sz="6" w:space="0" w:color="auto"/>
              <w:bottom w:val="single" w:sz="6" w:space="0" w:color="auto"/>
            </w:tcBorders>
          </w:tcPr>
          <w:p w14:paraId="73F47C3E"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(2 244)</w:t>
            </w:r>
          </w:p>
        </w:tc>
      </w:tr>
      <w:tr w:rsidR="00732BC0" w:rsidRPr="001213F7" w14:paraId="334643EB" w14:textId="77777777">
        <w:tc>
          <w:tcPr>
            <w:cnfStyle w:val="001000000000" w:firstRow="0" w:lastRow="0" w:firstColumn="1" w:lastColumn="0" w:oddVBand="0" w:evenVBand="0" w:oddHBand="0" w:evenHBand="0" w:firstRowFirstColumn="0" w:firstRowLastColumn="0" w:lastRowFirstColumn="0" w:lastRowLastColumn="0"/>
            <w:tcW w:w="2946" w:type="dxa"/>
            <w:tcBorders>
              <w:top w:val="single" w:sz="6" w:space="0" w:color="auto"/>
              <w:bottom w:val="single" w:sz="12" w:space="0" w:color="auto"/>
            </w:tcBorders>
          </w:tcPr>
          <w:p w14:paraId="508B0636" w14:textId="77777777" w:rsidR="00732BC0" w:rsidRPr="001213F7" w:rsidRDefault="00732BC0">
            <w:r w:rsidRPr="001213F7">
              <w:rPr>
                <w:b/>
              </w:rPr>
              <w:t>Net result</w:t>
            </w:r>
          </w:p>
        </w:tc>
        <w:tc>
          <w:tcPr>
            <w:tcW w:w="794" w:type="dxa"/>
            <w:tcBorders>
              <w:top w:val="single" w:sz="6" w:space="0" w:color="auto"/>
              <w:bottom w:val="single" w:sz="12" w:space="0" w:color="auto"/>
            </w:tcBorders>
          </w:tcPr>
          <w:p w14:paraId="007A14E5"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rPr>
                <w:b/>
              </w:rPr>
              <w:t>(13 068)</w:t>
            </w:r>
          </w:p>
        </w:tc>
        <w:tc>
          <w:tcPr>
            <w:tcW w:w="794" w:type="dxa"/>
            <w:tcBorders>
              <w:top w:val="single" w:sz="6" w:space="0" w:color="auto"/>
              <w:bottom w:val="single" w:sz="12" w:space="0" w:color="auto"/>
            </w:tcBorders>
          </w:tcPr>
          <w:p w14:paraId="66804F69"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rPr>
                <w:b/>
              </w:rPr>
              <w:t>(26 557)</w:t>
            </w:r>
          </w:p>
        </w:tc>
        <w:tc>
          <w:tcPr>
            <w:tcW w:w="794" w:type="dxa"/>
            <w:tcBorders>
              <w:top w:val="single" w:sz="6" w:space="0" w:color="auto"/>
              <w:bottom w:val="single" w:sz="12" w:space="0" w:color="auto"/>
            </w:tcBorders>
          </w:tcPr>
          <w:p w14:paraId="63734E27"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rPr>
                <w:b/>
              </w:rPr>
              <w:t>(3 218)</w:t>
            </w:r>
          </w:p>
        </w:tc>
        <w:tc>
          <w:tcPr>
            <w:tcW w:w="794" w:type="dxa"/>
            <w:tcBorders>
              <w:top w:val="single" w:sz="6" w:space="0" w:color="auto"/>
              <w:bottom w:val="single" w:sz="12" w:space="0" w:color="auto"/>
            </w:tcBorders>
          </w:tcPr>
          <w:p w14:paraId="598A1FC2"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rPr>
                <w:b/>
              </w:rPr>
              <w:t>(5 545)</w:t>
            </w:r>
          </w:p>
        </w:tc>
        <w:tc>
          <w:tcPr>
            <w:tcW w:w="794" w:type="dxa"/>
            <w:tcBorders>
              <w:top w:val="single" w:sz="6" w:space="0" w:color="auto"/>
              <w:bottom w:val="single" w:sz="12" w:space="0" w:color="auto"/>
            </w:tcBorders>
          </w:tcPr>
          <w:p w14:paraId="22F13D67"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rPr>
                <w:b/>
              </w:rPr>
              <w:t>(3 914)</w:t>
            </w:r>
          </w:p>
        </w:tc>
        <w:tc>
          <w:tcPr>
            <w:tcW w:w="794" w:type="dxa"/>
            <w:tcBorders>
              <w:top w:val="single" w:sz="6" w:space="0" w:color="auto"/>
              <w:bottom w:val="single" w:sz="12" w:space="0" w:color="auto"/>
            </w:tcBorders>
          </w:tcPr>
          <w:p w14:paraId="1BCD6FC9"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rPr>
                <w:b/>
              </w:rPr>
              <w:t>(3 157)</w:t>
            </w:r>
          </w:p>
        </w:tc>
      </w:tr>
    </w:tbl>
    <w:p w14:paraId="29A8564E" w14:textId="77777777" w:rsidR="00732BC0" w:rsidRPr="001213F7" w:rsidRDefault="00732BC0" w:rsidP="00561EFF">
      <w:pPr>
        <w:pStyle w:val="Note"/>
        <w:ind w:left="0" w:firstLine="0"/>
      </w:pPr>
      <w:r w:rsidRPr="001213F7">
        <w:t>Note:</w:t>
      </w:r>
    </w:p>
    <w:p w14:paraId="3A03B033" w14:textId="77777777" w:rsidR="00732BC0" w:rsidRPr="001213F7" w:rsidRDefault="00732BC0" w:rsidP="0023596A">
      <w:pPr>
        <w:pStyle w:val="Note"/>
      </w:pPr>
      <w:r w:rsidRPr="001213F7">
        <w:t>(a)</w:t>
      </w:r>
      <w:r w:rsidRPr="001213F7">
        <w:tab/>
        <w:t xml:space="preserve">This is a summary operating statement. The comprehensive operating statement is presented in Budget Paper No. 5, Chapter 2 </w:t>
      </w:r>
      <w:r w:rsidRPr="001213F7">
        <w:rPr>
          <w:i w:val="0"/>
          <w:iCs/>
        </w:rPr>
        <w:t>Supplementary uniform presentation framework tables</w:t>
      </w:r>
      <w:r w:rsidRPr="001213F7">
        <w:t xml:space="preserve">. </w:t>
      </w:r>
    </w:p>
    <w:p w14:paraId="3A8B6168" w14:textId="77777777" w:rsidR="00732BC0" w:rsidRPr="001213F7" w:rsidRDefault="00732BC0" w:rsidP="008D160A">
      <w:r w:rsidRPr="001213F7">
        <w:t xml:space="preserve">PNFC sector total revenue is forecast to increase from $12.8 billion to $14.4 billion over the budget and forward estimates. This is primarily driven by estimated revenue from the sales of goods and services by the water corporations, together with forecast higher demand. Higher sales of goods and services is offsetting reduced transfers to Homes Victoria in 2027-28. </w:t>
      </w:r>
    </w:p>
    <w:p w14:paraId="10249432" w14:textId="77777777" w:rsidR="00732BC0" w:rsidRPr="001213F7" w:rsidRDefault="00732BC0" w:rsidP="005E747A">
      <w:pPr>
        <w:ind w:right="-127"/>
      </w:pPr>
      <w:r w:rsidRPr="001213F7">
        <w:lastRenderedPageBreak/>
        <w:t xml:space="preserve">PNFC sector total expenses from transactions is also forecast to increase from $13.8 billion to $15.4 billion over the budget and </w:t>
      </w:r>
      <w:r w:rsidRPr="001213F7">
        <w:rPr>
          <w:rFonts w:eastAsia="Times New Roman"/>
        </w:rPr>
        <w:t>forward estimates</w:t>
      </w:r>
      <w:r w:rsidRPr="001213F7">
        <w:t xml:space="preserve">. This is largely driven by higher interest expenses, depreciation and other operating expenses over the budget and </w:t>
      </w:r>
      <w:r w:rsidRPr="001213F7">
        <w:rPr>
          <w:rFonts w:eastAsia="Times New Roman"/>
        </w:rPr>
        <w:t>forward estimates</w:t>
      </w:r>
      <w:r w:rsidRPr="001213F7">
        <w:t xml:space="preserve">. </w:t>
      </w:r>
    </w:p>
    <w:p w14:paraId="66560B97" w14:textId="77777777" w:rsidR="00732BC0" w:rsidRPr="001213F7" w:rsidRDefault="00732BC0" w:rsidP="008D160A">
      <w:r w:rsidRPr="001213F7">
        <w:t>Overall, the net result from transactions of the PNFC sector is projected to remain in</w:t>
      </w:r>
      <w:r w:rsidRPr="001213F7" w:rsidDel="001C692E">
        <w:t xml:space="preserve"> </w:t>
      </w:r>
      <w:r w:rsidRPr="001213F7">
        <w:t xml:space="preserve">deficit over the budget and forward estimates period, reporting a deficit of $1 billion in 2026-27 and reducing over the estimates period. </w:t>
      </w:r>
    </w:p>
    <w:p w14:paraId="0E07A05C" w14:textId="77777777" w:rsidR="00732BC0" w:rsidRPr="001213F7" w:rsidRDefault="00732BC0" w:rsidP="0023596A">
      <w:r w:rsidRPr="001213F7">
        <w:t xml:space="preserve">Other economic flows for the PNFC sector largely reflect the derecognition of the rail assets under AASB 16 Leases at nominal value. Budget Paper No. 5, Chapter 1 </w:t>
      </w:r>
      <w:r w:rsidRPr="001213F7">
        <w:rPr>
          <w:i/>
        </w:rPr>
        <w:t xml:space="preserve">Estimated financial statements for the general government sector </w:t>
      </w:r>
      <w:r w:rsidRPr="001213F7">
        <w:t xml:space="preserve">contains more information on this arrangement. Other economic flows are expected to be negative $25.6 billion in 2025-26, largely due to the derecognition of completed Metro Tunnel assets transferred to VicTrack from the Department of Transport and Planning. Other economic flows stabilise from 2026-27 to an average of negative $3.1 billion over the forecast period. </w:t>
      </w:r>
    </w:p>
    <w:p w14:paraId="559FB09A" w14:textId="77777777" w:rsidR="00732BC0" w:rsidRPr="001213F7" w:rsidRDefault="00732BC0" w:rsidP="00A834A0">
      <w:pPr>
        <w:pStyle w:val="TableHeading"/>
      </w:pPr>
      <w:r w:rsidRPr="001213F7">
        <w:t xml:space="preserve">Table 5.2: </w:t>
      </w:r>
      <w:r w:rsidRPr="001213F7">
        <w:tab/>
        <w:t xml:space="preserve">Financial position of the PNFC sector </w:t>
      </w:r>
      <w:r w:rsidRPr="001213F7">
        <w:rPr>
          <w:vertAlign w:val="superscript"/>
        </w:rPr>
        <w:tab/>
      </w:r>
      <w:r w:rsidRPr="001213F7">
        <w:t>($ billion)</w:t>
      </w:r>
    </w:p>
    <w:tbl>
      <w:tblPr>
        <w:tblStyle w:val="DTFTableNumeric"/>
        <w:tblW w:w="7710" w:type="dxa"/>
        <w:tblLayout w:type="fixed"/>
        <w:tblLook w:val="06A0" w:firstRow="1" w:lastRow="0" w:firstColumn="1" w:lastColumn="0" w:noHBand="1" w:noVBand="1"/>
        <w:tblDescription w:val="Type:DtfTable|Workbook:https://vicgov.sharepoint.com/sites/VG002735/BP2/Spreadsheets/Chapter%205%20-%20CRA_FAL/SRIMS_BP2_Chap5_PNFC_PFC_SoV.xlsx|Table:Summary_BS_PNFC|TableGroup:Chapter 5"/>
      </w:tblPr>
      <w:tblGrid>
        <w:gridCol w:w="2946"/>
        <w:gridCol w:w="794"/>
        <w:gridCol w:w="794"/>
        <w:gridCol w:w="794"/>
        <w:gridCol w:w="794"/>
        <w:gridCol w:w="794"/>
        <w:gridCol w:w="794"/>
      </w:tblGrid>
      <w:tr w:rsidR="00732BC0" w:rsidRPr="001213F7" w14:paraId="613495FA"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946" w:type="dxa"/>
          </w:tcPr>
          <w:p w14:paraId="6A46F336" w14:textId="77777777" w:rsidR="00732BC0" w:rsidRPr="001213F7" w:rsidRDefault="00732BC0">
            <w:pPr>
              <w:keepNext/>
            </w:pPr>
          </w:p>
        </w:tc>
        <w:tc>
          <w:tcPr>
            <w:tcW w:w="794" w:type="dxa"/>
          </w:tcPr>
          <w:p w14:paraId="3EED54B4" w14:textId="77777777" w:rsidR="00732BC0" w:rsidRPr="001213F7" w:rsidRDefault="00732BC0">
            <w:pPr>
              <w:keepNext/>
              <w:cnfStyle w:val="100000000000" w:firstRow="1" w:lastRow="0" w:firstColumn="0" w:lastColumn="0" w:oddVBand="0" w:evenVBand="0" w:oddHBand="0" w:evenHBand="0" w:firstRowFirstColumn="0" w:firstRowLastColumn="0" w:lastRowFirstColumn="0" w:lastRowLastColumn="0"/>
            </w:pPr>
            <w:r w:rsidRPr="001213F7">
              <w:t>2024</w:t>
            </w:r>
            <w:r w:rsidRPr="001213F7">
              <w:noBreakHyphen/>
              <w:t>25</w:t>
            </w:r>
          </w:p>
        </w:tc>
        <w:tc>
          <w:tcPr>
            <w:tcW w:w="794" w:type="dxa"/>
          </w:tcPr>
          <w:p w14:paraId="31D7616C" w14:textId="77777777" w:rsidR="00732BC0" w:rsidRPr="001213F7" w:rsidRDefault="00732BC0">
            <w:pPr>
              <w:keepNext/>
              <w:cnfStyle w:val="100000000000" w:firstRow="1" w:lastRow="0" w:firstColumn="0" w:lastColumn="0" w:oddVBand="0" w:evenVBand="0" w:oddHBand="0" w:evenHBand="0" w:firstRowFirstColumn="0" w:firstRowLastColumn="0" w:lastRowFirstColumn="0" w:lastRowLastColumn="0"/>
            </w:pPr>
            <w:r w:rsidRPr="001213F7">
              <w:t>2025</w:t>
            </w:r>
            <w:r w:rsidRPr="001213F7">
              <w:noBreakHyphen/>
              <w:t>26</w:t>
            </w:r>
          </w:p>
        </w:tc>
        <w:tc>
          <w:tcPr>
            <w:tcW w:w="794" w:type="dxa"/>
          </w:tcPr>
          <w:p w14:paraId="2EC13285" w14:textId="77777777" w:rsidR="00732BC0" w:rsidRPr="001213F7" w:rsidRDefault="00732BC0">
            <w:pPr>
              <w:keepNext/>
              <w:cnfStyle w:val="100000000000" w:firstRow="1" w:lastRow="0" w:firstColumn="0" w:lastColumn="0" w:oddVBand="0" w:evenVBand="0" w:oddHBand="0" w:evenHBand="0" w:firstRowFirstColumn="0" w:firstRowLastColumn="0" w:lastRowFirstColumn="0" w:lastRowLastColumn="0"/>
            </w:pPr>
            <w:r w:rsidRPr="001213F7">
              <w:t>2026</w:t>
            </w:r>
            <w:r w:rsidRPr="001213F7">
              <w:noBreakHyphen/>
              <w:t>27</w:t>
            </w:r>
          </w:p>
        </w:tc>
        <w:tc>
          <w:tcPr>
            <w:tcW w:w="794" w:type="dxa"/>
          </w:tcPr>
          <w:p w14:paraId="44BBDA54" w14:textId="77777777" w:rsidR="00732BC0" w:rsidRPr="001213F7" w:rsidRDefault="00732BC0">
            <w:pPr>
              <w:keepNext/>
              <w:cnfStyle w:val="100000000000" w:firstRow="1" w:lastRow="0" w:firstColumn="0" w:lastColumn="0" w:oddVBand="0" w:evenVBand="0" w:oddHBand="0" w:evenHBand="0" w:firstRowFirstColumn="0" w:firstRowLastColumn="0" w:lastRowFirstColumn="0" w:lastRowLastColumn="0"/>
            </w:pPr>
            <w:r w:rsidRPr="001213F7">
              <w:t>2027</w:t>
            </w:r>
            <w:r w:rsidRPr="001213F7">
              <w:noBreakHyphen/>
              <w:t>28</w:t>
            </w:r>
          </w:p>
        </w:tc>
        <w:tc>
          <w:tcPr>
            <w:tcW w:w="794" w:type="dxa"/>
          </w:tcPr>
          <w:p w14:paraId="75B3A353" w14:textId="77777777" w:rsidR="00732BC0" w:rsidRPr="001213F7" w:rsidRDefault="00732BC0">
            <w:pPr>
              <w:keepNext/>
              <w:cnfStyle w:val="100000000000" w:firstRow="1" w:lastRow="0" w:firstColumn="0" w:lastColumn="0" w:oddVBand="0" w:evenVBand="0" w:oddHBand="0" w:evenHBand="0" w:firstRowFirstColumn="0" w:firstRowLastColumn="0" w:lastRowFirstColumn="0" w:lastRowLastColumn="0"/>
            </w:pPr>
            <w:r w:rsidRPr="001213F7">
              <w:t>2028</w:t>
            </w:r>
            <w:r w:rsidRPr="001213F7">
              <w:noBreakHyphen/>
              <w:t>29</w:t>
            </w:r>
          </w:p>
        </w:tc>
        <w:tc>
          <w:tcPr>
            <w:tcW w:w="794" w:type="dxa"/>
          </w:tcPr>
          <w:p w14:paraId="078DAD0E" w14:textId="77777777" w:rsidR="00732BC0" w:rsidRPr="001213F7" w:rsidRDefault="00732BC0">
            <w:pPr>
              <w:keepNext/>
              <w:cnfStyle w:val="100000000000" w:firstRow="1" w:lastRow="0" w:firstColumn="0" w:lastColumn="0" w:oddVBand="0" w:evenVBand="0" w:oddHBand="0" w:evenHBand="0" w:firstRowFirstColumn="0" w:firstRowLastColumn="0" w:lastRowFirstColumn="0" w:lastRowLastColumn="0"/>
            </w:pPr>
            <w:r w:rsidRPr="001213F7">
              <w:t>2029</w:t>
            </w:r>
            <w:r w:rsidRPr="001213F7">
              <w:noBreakHyphen/>
              <w:t>30</w:t>
            </w:r>
          </w:p>
        </w:tc>
      </w:tr>
      <w:tr w:rsidR="00732BC0" w:rsidRPr="001213F7" w14:paraId="2F6DAE0A"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946" w:type="dxa"/>
          </w:tcPr>
          <w:p w14:paraId="396A71E3" w14:textId="77777777" w:rsidR="00732BC0" w:rsidRPr="001213F7" w:rsidRDefault="00732BC0">
            <w:pPr>
              <w:keepNext/>
            </w:pPr>
          </w:p>
        </w:tc>
        <w:tc>
          <w:tcPr>
            <w:tcW w:w="794" w:type="dxa"/>
          </w:tcPr>
          <w:p w14:paraId="439FD1AE" w14:textId="77777777" w:rsidR="00732BC0" w:rsidRPr="001213F7" w:rsidRDefault="00732BC0">
            <w:pPr>
              <w:keepNext/>
              <w:cnfStyle w:val="100000000000" w:firstRow="1" w:lastRow="0" w:firstColumn="0" w:lastColumn="0" w:oddVBand="0" w:evenVBand="0" w:oddHBand="0" w:evenHBand="0" w:firstRowFirstColumn="0" w:firstRowLastColumn="0" w:lastRowFirstColumn="0" w:lastRowLastColumn="0"/>
            </w:pPr>
            <w:r w:rsidRPr="001213F7">
              <w:t>actual</w:t>
            </w:r>
          </w:p>
        </w:tc>
        <w:tc>
          <w:tcPr>
            <w:tcW w:w="794" w:type="dxa"/>
          </w:tcPr>
          <w:p w14:paraId="653BCD3C" w14:textId="77777777" w:rsidR="00732BC0" w:rsidRPr="001213F7" w:rsidRDefault="00732BC0">
            <w:pPr>
              <w:keepNext/>
              <w:cnfStyle w:val="100000000000" w:firstRow="1" w:lastRow="0" w:firstColumn="0" w:lastColumn="0" w:oddVBand="0" w:evenVBand="0" w:oddHBand="0" w:evenHBand="0" w:firstRowFirstColumn="0" w:firstRowLastColumn="0" w:lastRowFirstColumn="0" w:lastRowLastColumn="0"/>
            </w:pPr>
            <w:r w:rsidRPr="001213F7">
              <w:t>revised</w:t>
            </w:r>
          </w:p>
        </w:tc>
        <w:tc>
          <w:tcPr>
            <w:tcW w:w="794" w:type="dxa"/>
          </w:tcPr>
          <w:p w14:paraId="423D6C82" w14:textId="77777777" w:rsidR="00732BC0" w:rsidRPr="001213F7" w:rsidRDefault="00732BC0">
            <w:pPr>
              <w:keepNext/>
              <w:cnfStyle w:val="100000000000" w:firstRow="1" w:lastRow="0" w:firstColumn="0" w:lastColumn="0" w:oddVBand="0" w:evenVBand="0" w:oddHBand="0" w:evenHBand="0" w:firstRowFirstColumn="0" w:firstRowLastColumn="0" w:lastRowFirstColumn="0" w:lastRowLastColumn="0"/>
            </w:pPr>
            <w:r w:rsidRPr="001213F7">
              <w:t>budget</w:t>
            </w:r>
          </w:p>
        </w:tc>
        <w:tc>
          <w:tcPr>
            <w:tcW w:w="794" w:type="dxa"/>
          </w:tcPr>
          <w:p w14:paraId="49789EC7" w14:textId="77777777" w:rsidR="00732BC0" w:rsidRPr="001213F7" w:rsidRDefault="00732BC0">
            <w:pPr>
              <w:keepNext/>
              <w:cnfStyle w:val="100000000000" w:firstRow="1" w:lastRow="0" w:firstColumn="0" w:lastColumn="0" w:oddVBand="0" w:evenVBand="0" w:oddHBand="0" w:evenHBand="0" w:firstRowFirstColumn="0" w:firstRowLastColumn="0" w:lastRowFirstColumn="0" w:lastRowLastColumn="0"/>
            </w:pPr>
            <w:r w:rsidRPr="001213F7">
              <w:t>estimate</w:t>
            </w:r>
          </w:p>
        </w:tc>
        <w:tc>
          <w:tcPr>
            <w:tcW w:w="794" w:type="dxa"/>
          </w:tcPr>
          <w:p w14:paraId="3370132F" w14:textId="77777777" w:rsidR="00732BC0" w:rsidRPr="001213F7" w:rsidRDefault="00732BC0">
            <w:pPr>
              <w:keepNext/>
              <w:cnfStyle w:val="100000000000" w:firstRow="1" w:lastRow="0" w:firstColumn="0" w:lastColumn="0" w:oddVBand="0" w:evenVBand="0" w:oddHBand="0" w:evenHBand="0" w:firstRowFirstColumn="0" w:firstRowLastColumn="0" w:lastRowFirstColumn="0" w:lastRowLastColumn="0"/>
            </w:pPr>
            <w:r w:rsidRPr="001213F7">
              <w:t>estimate</w:t>
            </w:r>
          </w:p>
        </w:tc>
        <w:tc>
          <w:tcPr>
            <w:tcW w:w="794" w:type="dxa"/>
          </w:tcPr>
          <w:p w14:paraId="6D9CB236" w14:textId="77777777" w:rsidR="00732BC0" w:rsidRPr="001213F7" w:rsidRDefault="00732BC0">
            <w:pPr>
              <w:keepNext/>
              <w:cnfStyle w:val="100000000000" w:firstRow="1" w:lastRow="0" w:firstColumn="0" w:lastColumn="0" w:oddVBand="0" w:evenVBand="0" w:oddHBand="0" w:evenHBand="0" w:firstRowFirstColumn="0" w:firstRowLastColumn="0" w:lastRowFirstColumn="0" w:lastRowLastColumn="0"/>
            </w:pPr>
            <w:r w:rsidRPr="001213F7">
              <w:t>estimate</w:t>
            </w:r>
          </w:p>
        </w:tc>
      </w:tr>
      <w:tr w:rsidR="00732BC0" w:rsidRPr="001213F7" w14:paraId="5C520416" w14:textId="77777777">
        <w:tc>
          <w:tcPr>
            <w:cnfStyle w:val="001000000000" w:firstRow="0" w:lastRow="0" w:firstColumn="1" w:lastColumn="0" w:oddVBand="0" w:evenVBand="0" w:oddHBand="0" w:evenHBand="0" w:firstRowFirstColumn="0" w:firstRowLastColumn="0" w:lastRowFirstColumn="0" w:lastRowLastColumn="0"/>
            <w:tcW w:w="2946" w:type="dxa"/>
          </w:tcPr>
          <w:p w14:paraId="1DBA892E" w14:textId="77777777" w:rsidR="00732BC0" w:rsidRPr="001213F7" w:rsidRDefault="00732BC0">
            <w:r w:rsidRPr="001213F7">
              <w:rPr>
                <w:b/>
              </w:rPr>
              <w:t>Assets</w:t>
            </w:r>
          </w:p>
        </w:tc>
        <w:tc>
          <w:tcPr>
            <w:tcW w:w="794" w:type="dxa"/>
          </w:tcPr>
          <w:p w14:paraId="182D717F"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p>
        </w:tc>
        <w:tc>
          <w:tcPr>
            <w:tcW w:w="794" w:type="dxa"/>
          </w:tcPr>
          <w:p w14:paraId="2267C910"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p>
        </w:tc>
        <w:tc>
          <w:tcPr>
            <w:tcW w:w="794" w:type="dxa"/>
          </w:tcPr>
          <w:p w14:paraId="02993FEF"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p>
        </w:tc>
        <w:tc>
          <w:tcPr>
            <w:tcW w:w="794" w:type="dxa"/>
          </w:tcPr>
          <w:p w14:paraId="4C36747D"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p>
        </w:tc>
        <w:tc>
          <w:tcPr>
            <w:tcW w:w="794" w:type="dxa"/>
          </w:tcPr>
          <w:p w14:paraId="601FAFE2"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p>
        </w:tc>
        <w:tc>
          <w:tcPr>
            <w:tcW w:w="794" w:type="dxa"/>
          </w:tcPr>
          <w:p w14:paraId="3AAB6517"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p>
        </w:tc>
      </w:tr>
      <w:tr w:rsidR="00732BC0" w:rsidRPr="001213F7" w14:paraId="0101C646" w14:textId="77777777">
        <w:tc>
          <w:tcPr>
            <w:cnfStyle w:val="001000000000" w:firstRow="0" w:lastRow="0" w:firstColumn="1" w:lastColumn="0" w:oddVBand="0" w:evenVBand="0" w:oddHBand="0" w:evenHBand="0" w:firstRowFirstColumn="0" w:firstRowLastColumn="0" w:lastRowFirstColumn="0" w:lastRowLastColumn="0"/>
            <w:tcW w:w="2946" w:type="dxa"/>
          </w:tcPr>
          <w:p w14:paraId="5173ACF0" w14:textId="77777777" w:rsidR="00732BC0" w:rsidRPr="001213F7" w:rsidRDefault="00732BC0">
            <w:r w:rsidRPr="001213F7">
              <w:t>Financial assets</w:t>
            </w:r>
            <w:r w:rsidRPr="001213F7">
              <w:rPr>
                <w:vertAlign w:val="superscript"/>
              </w:rPr>
              <w:t xml:space="preserve"> (a)</w:t>
            </w:r>
          </w:p>
        </w:tc>
        <w:tc>
          <w:tcPr>
            <w:tcW w:w="794" w:type="dxa"/>
          </w:tcPr>
          <w:p w14:paraId="5DBE5112"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6.5</w:t>
            </w:r>
          </w:p>
        </w:tc>
        <w:tc>
          <w:tcPr>
            <w:tcW w:w="794" w:type="dxa"/>
          </w:tcPr>
          <w:p w14:paraId="6939103B"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6.3</w:t>
            </w:r>
          </w:p>
        </w:tc>
        <w:tc>
          <w:tcPr>
            <w:tcW w:w="794" w:type="dxa"/>
          </w:tcPr>
          <w:p w14:paraId="4D308877"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5.2</w:t>
            </w:r>
          </w:p>
        </w:tc>
        <w:tc>
          <w:tcPr>
            <w:tcW w:w="794" w:type="dxa"/>
          </w:tcPr>
          <w:p w14:paraId="59F01FAF"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5.2</w:t>
            </w:r>
          </w:p>
        </w:tc>
        <w:tc>
          <w:tcPr>
            <w:tcW w:w="794" w:type="dxa"/>
          </w:tcPr>
          <w:p w14:paraId="6BFC7056"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5.3</w:t>
            </w:r>
          </w:p>
        </w:tc>
        <w:tc>
          <w:tcPr>
            <w:tcW w:w="794" w:type="dxa"/>
          </w:tcPr>
          <w:p w14:paraId="4E6E856F"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5.3</w:t>
            </w:r>
          </w:p>
        </w:tc>
      </w:tr>
      <w:tr w:rsidR="00732BC0" w:rsidRPr="001213F7" w14:paraId="70E40D03" w14:textId="77777777">
        <w:tc>
          <w:tcPr>
            <w:cnfStyle w:val="001000000000" w:firstRow="0" w:lastRow="0" w:firstColumn="1" w:lastColumn="0" w:oddVBand="0" w:evenVBand="0" w:oddHBand="0" w:evenHBand="0" w:firstRowFirstColumn="0" w:firstRowLastColumn="0" w:lastRowFirstColumn="0" w:lastRowLastColumn="0"/>
            <w:tcW w:w="2946" w:type="dxa"/>
            <w:tcBorders>
              <w:bottom w:val="single" w:sz="6" w:space="0" w:color="auto"/>
            </w:tcBorders>
          </w:tcPr>
          <w:p w14:paraId="3C2021D4" w14:textId="77777777" w:rsidR="00732BC0" w:rsidRPr="001213F7" w:rsidRDefault="00732BC0">
            <w:r w:rsidRPr="001213F7">
              <w:t>Non</w:t>
            </w:r>
            <w:r w:rsidRPr="001213F7">
              <w:noBreakHyphen/>
              <w:t>financial assets</w:t>
            </w:r>
            <w:r w:rsidRPr="001213F7">
              <w:rPr>
                <w:vertAlign w:val="superscript"/>
              </w:rPr>
              <w:t xml:space="preserve"> (b)</w:t>
            </w:r>
          </w:p>
        </w:tc>
        <w:tc>
          <w:tcPr>
            <w:tcW w:w="794" w:type="dxa"/>
            <w:tcBorders>
              <w:bottom w:val="single" w:sz="6" w:space="0" w:color="auto"/>
            </w:tcBorders>
          </w:tcPr>
          <w:p w14:paraId="37BE96E9"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135.8</w:t>
            </w:r>
          </w:p>
        </w:tc>
        <w:tc>
          <w:tcPr>
            <w:tcW w:w="794" w:type="dxa"/>
            <w:tcBorders>
              <w:bottom w:val="single" w:sz="6" w:space="0" w:color="auto"/>
            </w:tcBorders>
          </w:tcPr>
          <w:p w14:paraId="25B0463B"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145.2</w:t>
            </w:r>
          </w:p>
        </w:tc>
        <w:tc>
          <w:tcPr>
            <w:tcW w:w="794" w:type="dxa"/>
            <w:tcBorders>
              <w:bottom w:val="single" w:sz="6" w:space="0" w:color="auto"/>
            </w:tcBorders>
          </w:tcPr>
          <w:p w14:paraId="76831A40"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154.7</w:t>
            </w:r>
          </w:p>
        </w:tc>
        <w:tc>
          <w:tcPr>
            <w:tcW w:w="794" w:type="dxa"/>
            <w:tcBorders>
              <w:bottom w:val="single" w:sz="6" w:space="0" w:color="auto"/>
            </w:tcBorders>
          </w:tcPr>
          <w:p w14:paraId="1E92FAC5"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160.0</w:t>
            </w:r>
          </w:p>
        </w:tc>
        <w:tc>
          <w:tcPr>
            <w:tcW w:w="794" w:type="dxa"/>
            <w:tcBorders>
              <w:bottom w:val="single" w:sz="6" w:space="0" w:color="auto"/>
            </w:tcBorders>
          </w:tcPr>
          <w:p w14:paraId="07AB123D"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164.7</w:t>
            </w:r>
          </w:p>
        </w:tc>
        <w:tc>
          <w:tcPr>
            <w:tcW w:w="794" w:type="dxa"/>
            <w:tcBorders>
              <w:bottom w:val="single" w:sz="6" w:space="0" w:color="auto"/>
            </w:tcBorders>
          </w:tcPr>
          <w:p w14:paraId="48E76A41"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168.1</w:t>
            </w:r>
          </w:p>
        </w:tc>
      </w:tr>
      <w:tr w:rsidR="00732BC0" w:rsidRPr="001213F7" w14:paraId="4475E6D8" w14:textId="77777777">
        <w:tc>
          <w:tcPr>
            <w:cnfStyle w:val="001000000000" w:firstRow="0" w:lastRow="0" w:firstColumn="1" w:lastColumn="0" w:oddVBand="0" w:evenVBand="0" w:oddHBand="0" w:evenHBand="0" w:firstRowFirstColumn="0" w:firstRowLastColumn="0" w:lastRowFirstColumn="0" w:lastRowLastColumn="0"/>
            <w:tcW w:w="2946" w:type="dxa"/>
            <w:tcBorders>
              <w:top w:val="single" w:sz="6" w:space="0" w:color="auto"/>
            </w:tcBorders>
          </w:tcPr>
          <w:p w14:paraId="77D41E47" w14:textId="77777777" w:rsidR="00732BC0" w:rsidRPr="001213F7" w:rsidRDefault="00732BC0">
            <w:r w:rsidRPr="001213F7">
              <w:rPr>
                <w:b/>
              </w:rPr>
              <w:t>Total assets</w:t>
            </w:r>
          </w:p>
        </w:tc>
        <w:tc>
          <w:tcPr>
            <w:tcW w:w="794" w:type="dxa"/>
            <w:tcBorders>
              <w:top w:val="single" w:sz="6" w:space="0" w:color="auto"/>
            </w:tcBorders>
          </w:tcPr>
          <w:p w14:paraId="1F9A831B"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rPr>
                <w:b/>
              </w:rPr>
              <w:t>142.2</w:t>
            </w:r>
          </w:p>
        </w:tc>
        <w:tc>
          <w:tcPr>
            <w:tcW w:w="794" w:type="dxa"/>
            <w:tcBorders>
              <w:top w:val="single" w:sz="6" w:space="0" w:color="auto"/>
            </w:tcBorders>
          </w:tcPr>
          <w:p w14:paraId="05A45949"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rPr>
                <w:b/>
              </w:rPr>
              <w:t>151.5</w:t>
            </w:r>
          </w:p>
        </w:tc>
        <w:tc>
          <w:tcPr>
            <w:tcW w:w="794" w:type="dxa"/>
            <w:tcBorders>
              <w:top w:val="single" w:sz="6" w:space="0" w:color="auto"/>
            </w:tcBorders>
          </w:tcPr>
          <w:p w14:paraId="0D01FB06"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rPr>
                <w:b/>
              </w:rPr>
              <w:t>159.9</w:t>
            </w:r>
          </w:p>
        </w:tc>
        <w:tc>
          <w:tcPr>
            <w:tcW w:w="794" w:type="dxa"/>
            <w:tcBorders>
              <w:top w:val="single" w:sz="6" w:space="0" w:color="auto"/>
            </w:tcBorders>
          </w:tcPr>
          <w:p w14:paraId="2007BCD2"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rPr>
                <w:b/>
              </w:rPr>
              <w:t>165.2</w:t>
            </w:r>
          </w:p>
        </w:tc>
        <w:tc>
          <w:tcPr>
            <w:tcW w:w="794" w:type="dxa"/>
            <w:tcBorders>
              <w:top w:val="single" w:sz="6" w:space="0" w:color="auto"/>
            </w:tcBorders>
          </w:tcPr>
          <w:p w14:paraId="63E37B22"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rPr>
                <w:b/>
              </w:rPr>
              <w:t>170.0</w:t>
            </w:r>
          </w:p>
        </w:tc>
        <w:tc>
          <w:tcPr>
            <w:tcW w:w="794" w:type="dxa"/>
            <w:tcBorders>
              <w:top w:val="single" w:sz="6" w:space="0" w:color="auto"/>
            </w:tcBorders>
          </w:tcPr>
          <w:p w14:paraId="28F7C60F"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rPr>
                <w:b/>
              </w:rPr>
              <w:t>173.4</w:t>
            </w:r>
          </w:p>
        </w:tc>
      </w:tr>
      <w:tr w:rsidR="00732BC0" w:rsidRPr="001213F7" w14:paraId="5C051B81" w14:textId="77777777">
        <w:tc>
          <w:tcPr>
            <w:cnfStyle w:val="001000000000" w:firstRow="0" w:lastRow="0" w:firstColumn="1" w:lastColumn="0" w:oddVBand="0" w:evenVBand="0" w:oddHBand="0" w:evenHBand="0" w:firstRowFirstColumn="0" w:firstRowLastColumn="0" w:lastRowFirstColumn="0" w:lastRowLastColumn="0"/>
            <w:tcW w:w="2946" w:type="dxa"/>
          </w:tcPr>
          <w:p w14:paraId="7A25CB8D" w14:textId="77777777" w:rsidR="00732BC0" w:rsidRPr="001213F7" w:rsidRDefault="00732BC0">
            <w:r w:rsidRPr="001213F7">
              <w:rPr>
                <w:b/>
              </w:rPr>
              <w:t>Liabilities</w:t>
            </w:r>
          </w:p>
        </w:tc>
        <w:tc>
          <w:tcPr>
            <w:tcW w:w="794" w:type="dxa"/>
          </w:tcPr>
          <w:p w14:paraId="16FECD52"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p>
        </w:tc>
        <w:tc>
          <w:tcPr>
            <w:tcW w:w="794" w:type="dxa"/>
          </w:tcPr>
          <w:p w14:paraId="4817883F"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p>
        </w:tc>
        <w:tc>
          <w:tcPr>
            <w:tcW w:w="794" w:type="dxa"/>
          </w:tcPr>
          <w:p w14:paraId="49D2C156"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p>
        </w:tc>
        <w:tc>
          <w:tcPr>
            <w:tcW w:w="794" w:type="dxa"/>
          </w:tcPr>
          <w:p w14:paraId="354FE206"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p>
        </w:tc>
        <w:tc>
          <w:tcPr>
            <w:tcW w:w="794" w:type="dxa"/>
          </w:tcPr>
          <w:p w14:paraId="549EDB97"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p>
        </w:tc>
        <w:tc>
          <w:tcPr>
            <w:tcW w:w="794" w:type="dxa"/>
          </w:tcPr>
          <w:p w14:paraId="6D5B20C5"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p>
        </w:tc>
      </w:tr>
      <w:tr w:rsidR="00732BC0" w:rsidRPr="001213F7" w14:paraId="2E0B1CDD" w14:textId="77777777">
        <w:tc>
          <w:tcPr>
            <w:cnfStyle w:val="001000000000" w:firstRow="0" w:lastRow="0" w:firstColumn="1" w:lastColumn="0" w:oddVBand="0" w:evenVBand="0" w:oddHBand="0" w:evenHBand="0" w:firstRowFirstColumn="0" w:firstRowLastColumn="0" w:lastRowFirstColumn="0" w:lastRowLastColumn="0"/>
            <w:tcW w:w="2946" w:type="dxa"/>
          </w:tcPr>
          <w:p w14:paraId="4AFCFA1B" w14:textId="77777777" w:rsidR="00732BC0" w:rsidRPr="001213F7" w:rsidRDefault="00732BC0">
            <w:r w:rsidRPr="001213F7">
              <w:t>Borrowings</w:t>
            </w:r>
          </w:p>
        </w:tc>
        <w:tc>
          <w:tcPr>
            <w:tcW w:w="794" w:type="dxa"/>
          </w:tcPr>
          <w:p w14:paraId="6613BA45"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26.5</w:t>
            </w:r>
          </w:p>
        </w:tc>
        <w:tc>
          <w:tcPr>
            <w:tcW w:w="794" w:type="dxa"/>
          </w:tcPr>
          <w:p w14:paraId="1DDDC874"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30.8</w:t>
            </w:r>
          </w:p>
        </w:tc>
        <w:tc>
          <w:tcPr>
            <w:tcW w:w="794" w:type="dxa"/>
          </w:tcPr>
          <w:p w14:paraId="605FC662"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37.1</w:t>
            </w:r>
          </w:p>
        </w:tc>
        <w:tc>
          <w:tcPr>
            <w:tcW w:w="794" w:type="dxa"/>
          </w:tcPr>
          <w:p w14:paraId="554A78F0"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40.7</w:t>
            </w:r>
          </w:p>
        </w:tc>
        <w:tc>
          <w:tcPr>
            <w:tcW w:w="794" w:type="dxa"/>
          </w:tcPr>
          <w:p w14:paraId="250E7923"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44.9</w:t>
            </w:r>
          </w:p>
        </w:tc>
        <w:tc>
          <w:tcPr>
            <w:tcW w:w="794" w:type="dxa"/>
          </w:tcPr>
          <w:p w14:paraId="374A0769"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48.5</w:t>
            </w:r>
          </w:p>
        </w:tc>
      </w:tr>
      <w:tr w:rsidR="00732BC0" w:rsidRPr="001213F7" w14:paraId="1AC4C224" w14:textId="77777777">
        <w:tc>
          <w:tcPr>
            <w:cnfStyle w:val="001000000000" w:firstRow="0" w:lastRow="0" w:firstColumn="1" w:lastColumn="0" w:oddVBand="0" w:evenVBand="0" w:oddHBand="0" w:evenHBand="0" w:firstRowFirstColumn="0" w:firstRowLastColumn="0" w:lastRowFirstColumn="0" w:lastRowLastColumn="0"/>
            <w:tcW w:w="2946" w:type="dxa"/>
          </w:tcPr>
          <w:p w14:paraId="7B5F1C54" w14:textId="77777777" w:rsidR="00732BC0" w:rsidRPr="001213F7" w:rsidRDefault="00732BC0">
            <w:r w:rsidRPr="001213F7">
              <w:t>Other provisions</w:t>
            </w:r>
          </w:p>
        </w:tc>
        <w:tc>
          <w:tcPr>
            <w:tcW w:w="794" w:type="dxa"/>
          </w:tcPr>
          <w:p w14:paraId="0ACEBEC0"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23.7</w:t>
            </w:r>
          </w:p>
        </w:tc>
        <w:tc>
          <w:tcPr>
            <w:tcW w:w="794" w:type="dxa"/>
          </w:tcPr>
          <w:p w14:paraId="38788585"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23.9</w:t>
            </w:r>
          </w:p>
        </w:tc>
        <w:tc>
          <w:tcPr>
            <w:tcW w:w="794" w:type="dxa"/>
          </w:tcPr>
          <w:p w14:paraId="02A71AE2"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23.8</w:t>
            </w:r>
          </w:p>
        </w:tc>
        <w:tc>
          <w:tcPr>
            <w:tcW w:w="794" w:type="dxa"/>
          </w:tcPr>
          <w:p w14:paraId="5FBF023A"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23.8</w:t>
            </w:r>
          </w:p>
        </w:tc>
        <w:tc>
          <w:tcPr>
            <w:tcW w:w="794" w:type="dxa"/>
          </w:tcPr>
          <w:p w14:paraId="3DC558C5"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23.8</w:t>
            </w:r>
          </w:p>
        </w:tc>
        <w:tc>
          <w:tcPr>
            <w:tcW w:w="794" w:type="dxa"/>
          </w:tcPr>
          <w:p w14:paraId="56EB450C"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23.7</w:t>
            </w:r>
          </w:p>
        </w:tc>
      </w:tr>
      <w:tr w:rsidR="00732BC0" w:rsidRPr="001213F7" w14:paraId="010B11FC" w14:textId="77777777">
        <w:tc>
          <w:tcPr>
            <w:cnfStyle w:val="001000000000" w:firstRow="0" w:lastRow="0" w:firstColumn="1" w:lastColumn="0" w:oddVBand="0" w:evenVBand="0" w:oddHBand="0" w:evenHBand="0" w:firstRowFirstColumn="0" w:firstRowLastColumn="0" w:lastRowFirstColumn="0" w:lastRowLastColumn="0"/>
            <w:tcW w:w="2946" w:type="dxa"/>
            <w:tcBorders>
              <w:bottom w:val="single" w:sz="6" w:space="0" w:color="auto"/>
            </w:tcBorders>
          </w:tcPr>
          <w:p w14:paraId="09589E52" w14:textId="77777777" w:rsidR="00732BC0" w:rsidRPr="001213F7" w:rsidRDefault="00732BC0">
            <w:r w:rsidRPr="001213F7">
              <w:t>Other liabilities</w:t>
            </w:r>
            <w:r w:rsidRPr="001213F7">
              <w:rPr>
                <w:vertAlign w:val="superscript"/>
              </w:rPr>
              <w:t xml:space="preserve"> (c)</w:t>
            </w:r>
          </w:p>
        </w:tc>
        <w:tc>
          <w:tcPr>
            <w:tcW w:w="794" w:type="dxa"/>
            <w:tcBorders>
              <w:bottom w:val="single" w:sz="6" w:space="0" w:color="auto"/>
            </w:tcBorders>
          </w:tcPr>
          <w:p w14:paraId="27BE6EF5"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14.6</w:t>
            </w:r>
          </w:p>
        </w:tc>
        <w:tc>
          <w:tcPr>
            <w:tcW w:w="794" w:type="dxa"/>
            <w:tcBorders>
              <w:bottom w:val="single" w:sz="6" w:space="0" w:color="auto"/>
            </w:tcBorders>
          </w:tcPr>
          <w:p w14:paraId="4FB36533"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14.5</w:t>
            </w:r>
          </w:p>
        </w:tc>
        <w:tc>
          <w:tcPr>
            <w:tcW w:w="794" w:type="dxa"/>
            <w:tcBorders>
              <w:bottom w:val="single" w:sz="6" w:space="0" w:color="auto"/>
            </w:tcBorders>
          </w:tcPr>
          <w:p w14:paraId="303E3836"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14.4</w:t>
            </w:r>
          </w:p>
        </w:tc>
        <w:tc>
          <w:tcPr>
            <w:tcW w:w="794" w:type="dxa"/>
            <w:tcBorders>
              <w:bottom w:val="single" w:sz="6" w:space="0" w:color="auto"/>
            </w:tcBorders>
          </w:tcPr>
          <w:p w14:paraId="5DFF2B8F"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15.0</w:t>
            </w:r>
          </w:p>
        </w:tc>
        <w:tc>
          <w:tcPr>
            <w:tcW w:w="794" w:type="dxa"/>
            <w:tcBorders>
              <w:bottom w:val="single" w:sz="6" w:space="0" w:color="auto"/>
            </w:tcBorders>
          </w:tcPr>
          <w:p w14:paraId="2136F2C7"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15.2</w:t>
            </w:r>
          </w:p>
        </w:tc>
        <w:tc>
          <w:tcPr>
            <w:tcW w:w="794" w:type="dxa"/>
            <w:tcBorders>
              <w:bottom w:val="single" w:sz="6" w:space="0" w:color="auto"/>
            </w:tcBorders>
          </w:tcPr>
          <w:p w14:paraId="540C905D"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15.3</w:t>
            </w:r>
          </w:p>
        </w:tc>
      </w:tr>
      <w:tr w:rsidR="00732BC0" w:rsidRPr="001213F7" w14:paraId="323898E9" w14:textId="77777777">
        <w:tc>
          <w:tcPr>
            <w:cnfStyle w:val="001000000000" w:firstRow="0" w:lastRow="0" w:firstColumn="1" w:lastColumn="0" w:oddVBand="0" w:evenVBand="0" w:oddHBand="0" w:evenHBand="0" w:firstRowFirstColumn="0" w:firstRowLastColumn="0" w:lastRowFirstColumn="0" w:lastRowLastColumn="0"/>
            <w:tcW w:w="2946" w:type="dxa"/>
            <w:tcBorders>
              <w:top w:val="single" w:sz="6" w:space="0" w:color="auto"/>
              <w:bottom w:val="single" w:sz="6" w:space="0" w:color="auto"/>
            </w:tcBorders>
          </w:tcPr>
          <w:p w14:paraId="20BDADFE" w14:textId="77777777" w:rsidR="00732BC0" w:rsidRPr="001213F7" w:rsidRDefault="00732BC0">
            <w:r w:rsidRPr="001213F7">
              <w:rPr>
                <w:b/>
              </w:rPr>
              <w:t>Total liabilities</w:t>
            </w:r>
          </w:p>
        </w:tc>
        <w:tc>
          <w:tcPr>
            <w:tcW w:w="794" w:type="dxa"/>
            <w:tcBorders>
              <w:top w:val="single" w:sz="6" w:space="0" w:color="auto"/>
              <w:bottom w:val="single" w:sz="6" w:space="0" w:color="auto"/>
            </w:tcBorders>
          </w:tcPr>
          <w:p w14:paraId="27C89AA7"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rPr>
                <w:b/>
              </w:rPr>
              <w:t>64.7</w:t>
            </w:r>
          </w:p>
        </w:tc>
        <w:tc>
          <w:tcPr>
            <w:tcW w:w="794" w:type="dxa"/>
            <w:tcBorders>
              <w:top w:val="single" w:sz="6" w:space="0" w:color="auto"/>
              <w:bottom w:val="single" w:sz="6" w:space="0" w:color="auto"/>
            </w:tcBorders>
          </w:tcPr>
          <w:p w14:paraId="55E1D28B"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rPr>
                <w:b/>
              </w:rPr>
              <w:t>69.3</w:t>
            </w:r>
          </w:p>
        </w:tc>
        <w:tc>
          <w:tcPr>
            <w:tcW w:w="794" w:type="dxa"/>
            <w:tcBorders>
              <w:top w:val="single" w:sz="6" w:space="0" w:color="auto"/>
              <w:bottom w:val="single" w:sz="6" w:space="0" w:color="auto"/>
            </w:tcBorders>
          </w:tcPr>
          <w:p w14:paraId="535706D5"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rPr>
                <w:b/>
              </w:rPr>
              <w:t>75.3</w:t>
            </w:r>
          </w:p>
        </w:tc>
        <w:tc>
          <w:tcPr>
            <w:tcW w:w="794" w:type="dxa"/>
            <w:tcBorders>
              <w:top w:val="single" w:sz="6" w:space="0" w:color="auto"/>
              <w:bottom w:val="single" w:sz="6" w:space="0" w:color="auto"/>
            </w:tcBorders>
          </w:tcPr>
          <w:p w14:paraId="4CAE03ED"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rPr>
                <w:b/>
              </w:rPr>
              <w:t>79.5</w:t>
            </w:r>
          </w:p>
        </w:tc>
        <w:tc>
          <w:tcPr>
            <w:tcW w:w="794" w:type="dxa"/>
            <w:tcBorders>
              <w:top w:val="single" w:sz="6" w:space="0" w:color="auto"/>
              <w:bottom w:val="single" w:sz="6" w:space="0" w:color="auto"/>
            </w:tcBorders>
          </w:tcPr>
          <w:p w14:paraId="4AD9802D"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rPr>
                <w:b/>
              </w:rPr>
              <w:t>83.9</w:t>
            </w:r>
          </w:p>
        </w:tc>
        <w:tc>
          <w:tcPr>
            <w:tcW w:w="794" w:type="dxa"/>
            <w:tcBorders>
              <w:top w:val="single" w:sz="6" w:space="0" w:color="auto"/>
              <w:bottom w:val="single" w:sz="6" w:space="0" w:color="auto"/>
            </w:tcBorders>
          </w:tcPr>
          <w:p w14:paraId="15171977"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rPr>
                <w:b/>
              </w:rPr>
              <w:t>87.5</w:t>
            </w:r>
          </w:p>
        </w:tc>
      </w:tr>
      <w:tr w:rsidR="00732BC0" w:rsidRPr="001213F7" w14:paraId="706D1823" w14:textId="77777777">
        <w:tc>
          <w:tcPr>
            <w:cnfStyle w:val="001000000000" w:firstRow="0" w:lastRow="0" w:firstColumn="1" w:lastColumn="0" w:oddVBand="0" w:evenVBand="0" w:oddHBand="0" w:evenHBand="0" w:firstRowFirstColumn="0" w:firstRowLastColumn="0" w:lastRowFirstColumn="0" w:lastRowLastColumn="0"/>
            <w:tcW w:w="2946" w:type="dxa"/>
            <w:tcBorders>
              <w:top w:val="single" w:sz="6" w:space="0" w:color="auto"/>
              <w:bottom w:val="single" w:sz="12" w:space="0" w:color="auto"/>
            </w:tcBorders>
          </w:tcPr>
          <w:p w14:paraId="404F02B4" w14:textId="77777777" w:rsidR="00732BC0" w:rsidRPr="001213F7" w:rsidRDefault="00732BC0">
            <w:r w:rsidRPr="001213F7">
              <w:rPr>
                <w:b/>
              </w:rPr>
              <w:t>Net assets</w:t>
            </w:r>
          </w:p>
        </w:tc>
        <w:tc>
          <w:tcPr>
            <w:tcW w:w="794" w:type="dxa"/>
            <w:tcBorders>
              <w:top w:val="single" w:sz="6" w:space="0" w:color="auto"/>
              <w:bottom w:val="single" w:sz="12" w:space="0" w:color="auto"/>
            </w:tcBorders>
          </w:tcPr>
          <w:p w14:paraId="322787FC"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rPr>
                <w:b/>
              </w:rPr>
              <w:t>77.5</w:t>
            </w:r>
          </w:p>
        </w:tc>
        <w:tc>
          <w:tcPr>
            <w:tcW w:w="794" w:type="dxa"/>
            <w:tcBorders>
              <w:top w:val="single" w:sz="6" w:space="0" w:color="auto"/>
              <w:bottom w:val="single" w:sz="12" w:space="0" w:color="auto"/>
            </w:tcBorders>
          </w:tcPr>
          <w:p w14:paraId="3198AB29"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rPr>
                <w:b/>
              </w:rPr>
              <w:t>82.2</w:t>
            </w:r>
          </w:p>
        </w:tc>
        <w:tc>
          <w:tcPr>
            <w:tcW w:w="794" w:type="dxa"/>
            <w:tcBorders>
              <w:top w:val="single" w:sz="6" w:space="0" w:color="auto"/>
              <w:bottom w:val="single" w:sz="12" w:space="0" w:color="auto"/>
            </w:tcBorders>
          </w:tcPr>
          <w:p w14:paraId="48EB0ADA"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rPr>
                <w:b/>
              </w:rPr>
              <w:t>84.6</w:t>
            </w:r>
          </w:p>
        </w:tc>
        <w:tc>
          <w:tcPr>
            <w:tcW w:w="794" w:type="dxa"/>
            <w:tcBorders>
              <w:top w:val="single" w:sz="6" w:space="0" w:color="auto"/>
              <w:bottom w:val="single" w:sz="12" w:space="0" w:color="auto"/>
            </w:tcBorders>
          </w:tcPr>
          <w:p w14:paraId="7C0C278E"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rPr>
                <w:b/>
              </w:rPr>
              <w:t>85.7</w:t>
            </w:r>
          </w:p>
        </w:tc>
        <w:tc>
          <w:tcPr>
            <w:tcW w:w="794" w:type="dxa"/>
            <w:tcBorders>
              <w:top w:val="single" w:sz="6" w:space="0" w:color="auto"/>
              <w:bottom w:val="single" w:sz="12" w:space="0" w:color="auto"/>
            </w:tcBorders>
          </w:tcPr>
          <w:p w14:paraId="79567508"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rPr>
                <w:b/>
              </w:rPr>
              <w:t>86.1</w:t>
            </w:r>
          </w:p>
        </w:tc>
        <w:tc>
          <w:tcPr>
            <w:tcW w:w="794" w:type="dxa"/>
            <w:tcBorders>
              <w:top w:val="single" w:sz="6" w:space="0" w:color="auto"/>
              <w:bottom w:val="single" w:sz="12" w:space="0" w:color="auto"/>
            </w:tcBorders>
          </w:tcPr>
          <w:p w14:paraId="04D4BD41"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rPr>
                <w:b/>
              </w:rPr>
              <w:t>85.9</w:t>
            </w:r>
          </w:p>
        </w:tc>
      </w:tr>
    </w:tbl>
    <w:p w14:paraId="2443F964" w14:textId="77777777" w:rsidR="00732BC0" w:rsidRPr="001213F7" w:rsidRDefault="00732BC0" w:rsidP="001210BE">
      <w:pPr>
        <w:pStyle w:val="Note"/>
        <w:ind w:left="0" w:firstLine="0"/>
      </w:pPr>
      <w:r w:rsidRPr="001213F7">
        <w:t>Notes:</w:t>
      </w:r>
    </w:p>
    <w:p w14:paraId="5EC342C6" w14:textId="77777777" w:rsidR="00732BC0" w:rsidRPr="001213F7" w:rsidRDefault="00732BC0" w:rsidP="0023596A">
      <w:pPr>
        <w:pStyle w:val="Note"/>
      </w:pPr>
      <w:r w:rsidRPr="001213F7">
        <w:t>(a)</w:t>
      </w:r>
      <w:r w:rsidRPr="001213F7">
        <w:tab/>
        <w:t>Financial assets include cash and deposits, advances paid, investments, loans and placements, receivables, and investments accounted for using the equity method.</w:t>
      </w:r>
    </w:p>
    <w:p w14:paraId="03E590C8" w14:textId="77777777" w:rsidR="00732BC0" w:rsidRPr="001213F7" w:rsidRDefault="00732BC0" w:rsidP="0023596A">
      <w:pPr>
        <w:pStyle w:val="Note"/>
      </w:pPr>
      <w:r w:rsidRPr="001213F7">
        <w:t>(b)</w:t>
      </w:r>
      <w:r w:rsidRPr="001213F7">
        <w:tab/>
        <w:t>Land, buildings, infrastructure, plant and equipment, and other non</w:t>
      </w:r>
      <w:r w:rsidRPr="001213F7">
        <w:noBreakHyphen/>
        <w:t>financial assets.</w:t>
      </w:r>
    </w:p>
    <w:p w14:paraId="18EFFCE2" w14:textId="77777777" w:rsidR="00732BC0" w:rsidRPr="001213F7" w:rsidRDefault="00732BC0" w:rsidP="00F066BC">
      <w:pPr>
        <w:pStyle w:val="Note"/>
      </w:pPr>
      <w:r w:rsidRPr="001213F7">
        <w:t>(c)</w:t>
      </w:r>
      <w:r w:rsidRPr="001213F7">
        <w:tab/>
        <w:t>Other liabilities consist of payables, employee benefits, deposits held and advances received, superannuation, contract liabilities, unearned income and grant of a right to the operator liability.</w:t>
      </w:r>
    </w:p>
    <w:p w14:paraId="49C534BB" w14:textId="77777777" w:rsidR="00732BC0" w:rsidRPr="001213F7" w:rsidRDefault="00732BC0">
      <w:pPr>
        <w:ind w:right="151"/>
      </w:pPr>
      <w:r w:rsidRPr="001213F7">
        <w:t>The PNFC sector is projected to report a net asset position of $84.6</w:t>
      </w:r>
      <w:r w:rsidRPr="001213F7">
        <w:rPr>
          <w:rFonts w:hint="eastAsia"/>
        </w:rPr>
        <w:t> </w:t>
      </w:r>
      <w:r w:rsidRPr="001213F7">
        <w:t>billion at 30 June 2027, before increasing to $85.9</w:t>
      </w:r>
      <w:r w:rsidRPr="001213F7">
        <w:rPr>
          <w:rFonts w:hint="eastAsia"/>
        </w:rPr>
        <w:t> </w:t>
      </w:r>
      <w:r w:rsidRPr="001213F7">
        <w:t>billion at 30 June 2030. This is primarily due to capital investments to be undertaken by the metropolitan water corporations, State Tolling Corporation and Homes Victoria. The increase in total assets is partly offset by an increase in borrowings to fund a proportion of the capital works to be undertaken by the water corporations. In addition, the increase in total assets is also partly offset by the progressive recognition of State Electricity Commission right of use liability and the service concession liability for the State Tolling Corporation as part of the North East Link project.</w:t>
      </w:r>
    </w:p>
    <w:p w14:paraId="2D84C07A" w14:textId="77777777" w:rsidR="00732BC0" w:rsidRPr="001213F7" w:rsidRDefault="00732BC0" w:rsidP="0023596A">
      <w:pPr>
        <w:pStyle w:val="Heading1"/>
        <w:pageBreakBefore/>
      </w:pPr>
      <w:bookmarkStart w:id="62" w:name="_Toc165467349"/>
      <w:bookmarkStart w:id="63" w:name="_Toc197955075"/>
      <w:bookmarkStart w:id="64" w:name="_Toc228545307"/>
      <w:r w:rsidRPr="001213F7">
        <w:lastRenderedPageBreak/>
        <w:t>Non-financial public sector</w:t>
      </w:r>
      <w:bookmarkEnd w:id="62"/>
      <w:bookmarkEnd w:id="63"/>
      <w:bookmarkEnd w:id="64"/>
    </w:p>
    <w:p w14:paraId="58D8DA4A" w14:textId="77777777" w:rsidR="00732BC0" w:rsidRPr="001213F7" w:rsidRDefault="00732BC0" w:rsidP="0023596A">
      <w:r w:rsidRPr="001213F7">
        <w:t>This section provides a summary of the key performance indicators for the NFPS by combining the PNFC sector and the general government sector, noting that adjustments are made for transactions between the two sectors.</w:t>
      </w:r>
    </w:p>
    <w:p w14:paraId="123B3E26" w14:textId="77777777" w:rsidR="00732BC0" w:rsidRPr="001213F7" w:rsidRDefault="00732BC0" w:rsidP="0023596A">
      <w:r w:rsidRPr="001213F7">
        <w:t>The net result from transactions of the NFPS is expected to improve from a deficit of $2.9 </w:t>
      </w:r>
      <w:r w:rsidRPr="001213F7">
        <w:rPr>
          <w:rFonts w:hint="eastAsia"/>
        </w:rPr>
        <w:t>billion</w:t>
      </w:r>
      <w:r w:rsidRPr="001213F7">
        <w:t xml:space="preserve"> in 2026-27 to a deficit of $2.3 b</w:t>
      </w:r>
      <w:r w:rsidRPr="001213F7">
        <w:rPr>
          <w:rFonts w:hint="eastAsia"/>
        </w:rPr>
        <w:t>illion</w:t>
      </w:r>
      <w:r w:rsidRPr="001213F7">
        <w:t xml:space="preserve"> in 2029-30. The sector improvement mainly reflects the improved operating performance of the general government sector, which is outlined in Chapter 4 </w:t>
      </w:r>
      <w:r w:rsidRPr="001213F7">
        <w:rPr>
          <w:i/>
        </w:rPr>
        <w:t>Budget position and outlook</w:t>
      </w:r>
      <w:r w:rsidRPr="001213F7">
        <w:t xml:space="preserve">. </w:t>
      </w:r>
    </w:p>
    <w:p w14:paraId="05CBF58D" w14:textId="77777777" w:rsidR="00732BC0" w:rsidRPr="001213F7" w:rsidRDefault="00732BC0" w:rsidP="004D676C">
      <w:pPr>
        <w:pStyle w:val="TableHeading"/>
      </w:pPr>
      <w:r w:rsidRPr="001213F7">
        <w:t xml:space="preserve">Table 5.3: </w:t>
      </w:r>
      <w:r w:rsidRPr="001213F7">
        <w:tab/>
        <w:t xml:space="preserve">Summary operating statement for the non-financial public sector </w:t>
      </w:r>
      <w:r w:rsidRPr="001213F7">
        <w:rPr>
          <w:vertAlign w:val="superscript"/>
        </w:rPr>
        <w:t>(a)</w:t>
      </w:r>
      <w:r w:rsidRPr="001213F7">
        <w:tab/>
        <w:t>($ million)</w:t>
      </w:r>
    </w:p>
    <w:tbl>
      <w:tblPr>
        <w:tblStyle w:val="DTFTableNumeric"/>
        <w:tblW w:w="7710" w:type="dxa"/>
        <w:tblLayout w:type="fixed"/>
        <w:tblLook w:val="06A0" w:firstRow="1" w:lastRow="0" w:firstColumn="1" w:lastColumn="0" w:noHBand="1" w:noVBand="1"/>
        <w:tblDescription w:val="Type:DtfTable|Workbook:https://vicgov.sharepoint.com/sites/VG002735/BP2/Spreadsheets/Chapter%205%20-%20CRA_FAL/SRIMS_BP2_Chap5_NFPS.xlsx|Table:Summary_OS_NFPS|TableGroup:Chapter 5"/>
      </w:tblPr>
      <w:tblGrid>
        <w:gridCol w:w="2946"/>
        <w:gridCol w:w="794"/>
        <w:gridCol w:w="794"/>
        <w:gridCol w:w="794"/>
        <w:gridCol w:w="794"/>
        <w:gridCol w:w="794"/>
        <w:gridCol w:w="794"/>
      </w:tblGrid>
      <w:tr w:rsidR="00732BC0" w:rsidRPr="001213F7" w14:paraId="4059FCE5"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946" w:type="dxa"/>
          </w:tcPr>
          <w:p w14:paraId="7C97C91B" w14:textId="77777777" w:rsidR="00732BC0" w:rsidRPr="001213F7" w:rsidRDefault="00732BC0">
            <w:pPr>
              <w:keepNext/>
            </w:pPr>
          </w:p>
        </w:tc>
        <w:tc>
          <w:tcPr>
            <w:tcW w:w="794" w:type="dxa"/>
          </w:tcPr>
          <w:p w14:paraId="660B1B6D" w14:textId="77777777" w:rsidR="00732BC0" w:rsidRPr="001213F7" w:rsidRDefault="00732BC0">
            <w:pPr>
              <w:keepNext/>
              <w:cnfStyle w:val="100000000000" w:firstRow="1" w:lastRow="0" w:firstColumn="0" w:lastColumn="0" w:oddVBand="0" w:evenVBand="0" w:oddHBand="0" w:evenHBand="0" w:firstRowFirstColumn="0" w:firstRowLastColumn="0" w:lastRowFirstColumn="0" w:lastRowLastColumn="0"/>
            </w:pPr>
            <w:r w:rsidRPr="001213F7">
              <w:t>2024</w:t>
            </w:r>
            <w:r w:rsidRPr="001213F7">
              <w:noBreakHyphen/>
              <w:t>25</w:t>
            </w:r>
          </w:p>
        </w:tc>
        <w:tc>
          <w:tcPr>
            <w:tcW w:w="794" w:type="dxa"/>
          </w:tcPr>
          <w:p w14:paraId="5327FFEF" w14:textId="77777777" w:rsidR="00732BC0" w:rsidRPr="001213F7" w:rsidRDefault="00732BC0">
            <w:pPr>
              <w:keepNext/>
              <w:cnfStyle w:val="100000000000" w:firstRow="1" w:lastRow="0" w:firstColumn="0" w:lastColumn="0" w:oddVBand="0" w:evenVBand="0" w:oddHBand="0" w:evenHBand="0" w:firstRowFirstColumn="0" w:firstRowLastColumn="0" w:lastRowFirstColumn="0" w:lastRowLastColumn="0"/>
            </w:pPr>
            <w:r w:rsidRPr="001213F7">
              <w:t>2025</w:t>
            </w:r>
            <w:r w:rsidRPr="001213F7">
              <w:noBreakHyphen/>
              <w:t>26</w:t>
            </w:r>
          </w:p>
        </w:tc>
        <w:tc>
          <w:tcPr>
            <w:tcW w:w="794" w:type="dxa"/>
          </w:tcPr>
          <w:p w14:paraId="40925DC6" w14:textId="77777777" w:rsidR="00732BC0" w:rsidRPr="001213F7" w:rsidRDefault="00732BC0">
            <w:pPr>
              <w:keepNext/>
              <w:cnfStyle w:val="100000000000" w:firstRow="1" w:lastRow="0" w:firstColumn="0" w:lastColumn="0" w:oddVBand="0" w:evenVBand="0" w:oddHBand="0" w:evenHBand="0" w:firstRowFirstColumn="0" w:firstRowLastColumn="0" w:lastRowFirstColumn="0" w:lastRowLastColumn="0"/>
            </w:pPr>
            <w:r w:rsidRPr="001213F7">
              <w:t>2026</w:t>
            </w:r>
            <w:r w:rsidRPr="001213F7">
              <w:noBreakHyphen/>
              <w:t>27</w:t>
            </w:r>
          </w:p>
        </w:tc>
        <w:tc>
          <w:tcPr>
            <w:tcW w:w="794" w:type="dxa"/>
          </w:tcPr>
          <w:p w14:paraId="4A2448A0" w14:textId="77777777" w:rsidR="00732BC0" w:rsidRPr="001213F7" w:rsidRDefault="00732BC0">
            <w:pPr>
              <w:keepNext/>
              <w:cnfStyle w:val="100000000000" w:firstRow="1" w:lastRow="0" w:firstColumn="0" w:lastColumn="0" w:oddVBand="0" w:evenVBand="0" w:oddHBand="0" w:evenHBand="0" w:firstRowFirstColumn="0" w:firstRowLastColumn="0" w:lastRowFirstColumn="0" w:lastRowLastColumn="0"/>
            </w:pPr>
            <w:r w:rsidRPr="001213F7">
              <w:t>2027</w:t>
            </w:r>
            <w:r w:rsidRPr="001213F7">
              <w:noBreakHyphen/>
              <w:t>28</w:t>
            </w:r>
          </w:p>
        </w:tc>
        <w:tc>
          <w:tcPr>
            <w:tcW w:w="794" w:type="dxa"/>
          </w:tcPr>
          <w:p w14:paraId="6D02F7D7" w14:textId="77777777" w:rsidR="00732BC0" w:rsidRPr="001213F7" w:rsidRDefault="00732BC0">
            <w:pPr>
              <w:keepNext/>
              <w:cnfStyle w:val="100000000000" w:firstRow="1" w:lastRow="0" w:firstColumn="0" w:lastColumn="0" w:oddVBand="0" w:evenVBand="0" w:oddHBand="0" w:evenHBand="0" w:firstRowFirstColumn="0" w:firstRowLastColumn="0" w:lastRowFirstColumn="0" w:lastRowLastColumn="0"/>
            </w:pPr>
            <w:r w:rsidRPr="001213F7">
              <w:t>2028</w:t>
            </w:r>
            <w:r w:rsidRPr="001213F7">
              <w:noBreakHyphen/>
              <w:t>29</w:t>
            </w:r>
          </w:p>
        </w:tc>
        <w:tc>
          <w:tcPr>
            <w:tcW w:w="794" w:type="dxa"/>
          </w:tcPr>
          <w:p w14:paraId="25EAEB84" w14:textId="77777777" w:rsidR="00732BC0" w:rsidRPr="001213F7" w:rsidRDefault="00732BC0">
            <w:pPr>
              <w:keepNext/>
              <w:cnfStyle w:val="100000000000" w:firstRow="1" w:lastRow="0" w:firstColumn="0" w:lastColumn="0" w:oddVBand="0" w:evenVBand="0" w:oddHBand="0" w:evenHBand="0" w:firstRowFirstColumn="0" w:firstRowLastColumn="0" w:lastRowFirstColumn="0" w:lastRowLastColumn="0"/>
            </w:pPr>
            <w:r w:rsidRPr="001213F7">
              <w:t>2029</w:t>
            </w:r>
            <w:r w:rsidRPr="001213F7">
              <w:noBreakHyphen/>
              <w:t>30</w:t>
            </w:r>
          </w:p>
        </w:tc>
      </w:tr>
      <w:tr w:rsidR="00732BC0" w:rsidRPr="001213F7" w14:paraId="4004DE9B"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946" w:type="dxa"/>
          </w:tcPr>
          <w:p w14:paraId="5747C424" w14:textId="77777777" w:rsidR="00732BC0" w:rsidRPr="001213F7" w:rsidRDefault="00732BC0">
            <w:pPr>
              <w:keepNext/>
            </w:pPr>
          </w:p>
        </w:tc>
        <w:tc>
          <w:tcPr>
            <w:tcW w:w="794" w:type="dxa"/>
          </w:tcPr>
          <w:p w14:paraId="773C88F1" w14:textId="77777777" w:rsidR="00732BC0" w:rsidRPr="001213F7" w:rsidRDefault="00732BC0">
            <w:pPr>
              <w:keepNext/>
              <w:cnfStyle w:val="100000000000" w:firstRow="1" w:lastRow="0" w:firstColumn="0" w:lastColumn="0" w:oddVBand="0" w:evenVBand="0" w:oddHBand="0" w:evenHBand="0" w:firstRowFirstColumn="0" w:firstRowLastColumn="0" w:lastRowFirstColumn="0" w:lastRowLastColumn="0"/>
            </w:pPr>
            <w:r w:rsidRPr="001213F7">
              <w:t>actual</w:t>
            </w:r>
          </w:p>
        </w:tc>
        <w:tc>
          <w:tcPr>
            <w:tcW w:w="794" w:type="dxa"/>
          </w:tcPr>
          <w:p w14:paraId="685E8D05" w14:textId="77777777" w:rsidR="00732BC0" w:rsidRPr="001213F7" w:rsidRDefault="00732BC0">
            <w:pPr>
              <w:keepNext/>
              <w:cnfStyle w:val="100000000000" w:firstRow="1" w:lastRow="0" w:firstColumn="0" w:lastColumn="0" w:oddVBand="0" w:evenVBand="0" w:oddHBand="0" w:evenHBand="0" w:firstRowFirstColumn="0" w:firstRowLastColumn="0" w:lastRowFirstColumn="0" w:lastRowLastColumn="0"/>
            </w:pPr>
            <w:r w:rsidRPr="001213F7">
              <w:t>revised</w:t>
            </w:r>
          </w:p>
        </w:tc>
        <w:tc>
          <w:tcPr>
            <w:tcW w:w="794" w:type="dxa"/>
          </w:tcPr>
          <w:p w14:paraId="0E54E23E" w14:textId="77777777" w:rsidR="00732BC0" w:rsidRPr="001213F7" w:rsidRDefault="00732BC0">
            <w:pPr>
              <w:keepNext/>
              <w:cnfStyle w:val="100000000000" w:firstRow="1" w:lastRow="0" w:firstColumn="0" w:lastColumn="0" w:oddVBand="0" w:evenVBand="0" w:oddHBand="0" w:evenHBand="0" w:firstRowFirstColumn="0" w:firstRowLastColumn="0" w:lastRowFirstColumn="0" w:lastRowLastColumn="0"/>
            </w:pPr>
            <w:r w:rsidRPr="001213F7">
              <w:t>budget</w:t>
            </w:r>
          </w:p>
        </w:tc>
        <w:tc>
          <w:tcPr>
            <w:tcW w:w="794" w:type="dxa"/>
          </w:tcPr>
          <w:p w14:paraId="69782DCD" w14:textId="77777777" w:rsidR="00732BC0" w:rsidRPr="001213F7" w:rsidRDefault="00732BC0">
            <w:pPr>
              <w:keepNext/>
              <w:cnfStyle w:val="100000000000" w:firstRow="1" w:lastRow="0" w:firstColumn="0" w:lastColumn="0" w:oddVBand="0" w:evenVBand="0" w:oddHBand="0" w:evenHBand="0" w:firstRowFirstColumn="0" w:firstRowLastColumn="0" w:lastRowFirstColumn="0" w:lastRowLastColumn="0"/>
            </w:pPr>
            <w:r w:rsidRPr="001213F7">
              <w:t>estimate</w:t>
            </w:r>
          </w:p>
        </w:tc>
        <w:tc>
          <w:tcPr>
            <w:tcW w:w="794" w:type="dxa"/>
          </w:tcPr>
          <w:p w14:paraId="4282040A" w14:textId="77777777" w:rsidR="00732BC0" w:rsidRPr="001213F7" w:rsidRDefault="00732BC0">
            <w:pPr>
              <w:keepNext/>
              <w:cnfStyle w:val="100000000000" w:firstRow="1" w:lastRow="0" w:firstColumn="0" w:lastColumn="0" w:oddVBand="0" w:evenVBand="0" w:oddHBand="0" w:evenHBand="0" w:firstRowFirstColumn="0" w:firstRowLastColumn="0" w:lastRowFirstColumn="0" w:lastRowLastColumn="0"/>
            </w:pPr>
            <w:r w:rsidRPr="001213F7">
              <w:t>estimate</w:t>
            </w:r>
          </w:p>
        </w:tc>
        <w:tc>
          <w:tcPr>
            <w:tcW w:w="794" w:type="dxa"/>
          </w:tcPr>
          <w:p w14:paraId="10E1C30F" w14:textId="77777777" w:rsidR="00732BC0" w:rsidRPr="001213F7" w:rsidRDefault="00732BC0">
            <w:pPr>
              <w:keepNext/>
              <w:cnfStyle w:val="100000000000" w:firstRow="1" w:lastRow="0" w:firstColumn="0" w:lastColumn="0" w:oddVBand="0" w:evenVBand="0" w:oddHBand="0" w:evenHBand="0" w:firstRowFirstColumn="0" w:firstRowLastColumn="0" w:lastRowFirstColumn="0" w:lastRowLastColumn="0"/>
            </w:pPr>
            <w:r w:rsidRPr="001213F7">
              <w:t>estimate</w:t>
            </w:r>
          </w:p>
        </w:tc>
      </w:tr>
      <w:tr w:rsidR="00732BC0" w:rsidRPr="001213F7" w14:paraId="6946CAE0" w14:textId="77777777">
        <w:tc>
          <w:tcPr>
            <w:cnfStyle w:val="001000000000" w:firstRow="0" w:lastRow="0" w:firstColumn="1" w:lastColumn="0" w:oddVBand="0" w:evenVBand="0" w:oddHBand="0" w:evenHBand="0" w:firstRowFirstColumn="0" w:firstRowLastColumn="0" w:lastRowFirstColumn="0" w:lastRowLastColumn="0"/>
            <w:tcW w:w="2946" w:type="dxa"/>
          </w:tcPr>
          <w:p w14:paraId="15DCB714" w14:textId="77777777" w:rsidR="00732BC0" w:rsidRPr="001213F7" w:rsidRDefault="00732BC0">
            <w:r w:rsidRPr="001213F7">
              <w:rPr>
                <w:b/>
              </w:rPr>
              <w:t>Revenue and income from transactions</w:t>
            </w:r>
          </w:p>
        </w:tc>
        <w:tc>
          <w:tcPr>
            <w:tcW w:w="794" w:type="dxa"/>
          </w:tcPr>
          <w:p w14:paraId="4F683AC7"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p>
        </w:tc>
        <w:tc>
          <w:tcPr>
            <w:tcW w:w="794" w:type="dxa"/>
          </w:tcPr>
          <w:p w14:paraId="6CA3CD31"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p>
        </w:tc>
        <w:tc>
          <w:tcPr>
            <w:tcW w:w="794" w:type="dxa"/>
          </w:tcPr>
          <w:p w14:paraId="6303B607"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p>
        </w:tc>
        <w:tc>
          <w:tcPr>
            <w:tcW w:w="794" w:type="dxa"/>
          </w:tcPr>
          <w:p w14:paraId="206B13AB"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p>
        </w:tc>
        <w:tc>
          <w:tcPr>
            <w:tcW w:w="794" w:type="dxa"/>
          </w:tcPr>
          <w:p w14:paraId="46DE5AE4"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p>
        </w:tc>
        <w:tc>
          <w:tcPr>
            <w:tcW w:w="794" w:type="dxa"/>
          </w:tcPr>
          <w:p w14:paraId="5B51B983"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p>
        </w:tc>
      </w:tr>
      <w:tr w:rsidR="00732BC0" w:rsidRPr="001213F7" w14:paraId="08B9280F" w14:textId="77777777">
        <w:tc>
          <w:tcPr>
            <w:cnfStyle w:val="001000000000" w:firstRow="0" w:lastRow="0" w:firstColumn="1" w:lastColumn="0" w:oddVBand="0" w:evenVBand="0" w:oddHBand="0" w:evenHBand="0" w:firstRowFirstColumn="0" w:firstRowLastColumn="0" w:lastRowFirstColumn="0" w:lastRowLastColumn="0"/>
            <w:tcW w:w="2946" w:type="dxa"/>
          </w:tcPr>
          <w:p w14:paraId="5BE1EFFB" w14:textId="77777777" w:rsidR="00732BC0" w:rsidRPr="001213F7" w:rsidRDefault="00732BC0">
            <w:r w:rsidRPr="001213F7">
              <w:t>Taxation</w:t>
            </w:r>
          </w:p>
        </w:tc>
        <w:tc>
          <w:tcPr>
            <w:tcW w:w="794" w:type="dxa"/>
          </w:tcPr>
          <w:p w14:paraId="05C04CA6"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38 389</w:t>
            </w:r>
          </w:p>
        </w:tc>
        <w:tc>
          <w:tcPr>
            <w:tcW w:w="794" w:type="dxa"/>
          </w:tcPr>
          <w:p w14:paraId="3D493553"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40 944</w:t>
            </w:r>
          </w:p>
        </w:tc>
        <w:tc>
          <w:tcPr>
            <w:tcW w:w="794" w:type="dxa"/>
          </w:tcPr>
          <w:p w14:paraId="3C8F93C2"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42 567</w:t>
            </w:r>
          </w:p>
        </w:tc>
        <w:tc>
          <w:tcPr>
            <w:tcW w:w="794" w:type="dxa"/>
          </w:tcPr>
          <w:p w14:paraId="6B2454D0"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45 712</w:t>
            </w:r>
          </w:p>
        </w:tc>
        <w:tc>
          <w:tcPr>
            <w:tcW w:w="794" w:type="dxa"/>
          </w:tcPr>
          <w:p w14:paraId="6BD69982"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47 473</w:t>
            </w:r>
          </w:p>
        </w:tc>
        <w:tc>
          <w:tcPr>
            <w:tcW w:w="794" w:type="dxa"/>
          </w:tcPr>
          <w:p w14:paraId="22CC0A70"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49 654</w:t>
            </w:r>
          </w:p>
        </w:tc>
      </w:tr>
      <w:tr w:rsidR="00732BC0" w:rsidRPr="001213F7" w14:paraId="1AF77DF0" w14:textId="77777777">
        <w:tc>
          <w:tcPr>
            <w:cnfStyle w:val="001000000000" w:firstRow="0" w:lastRow="0" w:firstColumn="1" w:lastColumn="0" w:oddVBand="0" w:evenVBand="0" w:oddHBand="0" w:evenHBand="0" w:firstRowFirstColumn="0" w:firstRowLastColumn="0" w:lastRowFirstColumn="0" w:lastRowLastColumn="0"/>
            <w:tcW w:w="2946" w:type="dxa"/>
          </w:tcPr>
          <w:p w14:paraId="424271DC" w14:textId="77777777" w:rsidR="00732BC0" w:rsidRPr="001213F7" w:rsidRDefault="00732BC0">
            <w:r w:rsidRPr="001213F7">
              <w:t>Interest income</w:t>
            </w:r>
          </w:p>
        </w:tc>
        <w:tc>
          <w:tcPr>
            <w:tcW w:w="794" w:type="dxa"/>
          </w:tcPr>
          <w:p w14:paraId="0A16D76C"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1 081</w:t>
            </w:r>
          </w:p>
        </w:tc>
        <w:tc>
          <w:tcPr>
            <w:tcW w:w="794" w:type="dxa"/>
          </w:tcPr>
          <w:p w14:paraId="2952FD30"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1 128</w:t>
            </w:r>
          </w:p>
        </w:tc>
        <w:tc>
          <w:tcPr>
            <w:tcW w:w="794" w:type="dxa"/>
          </w:tcPr>
          <w:p w14:paraId="6FC7E1B1"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1 164</w:t>
            </w:r>
          </w:p>
        </w:tc>
        <w:tc>
          <w:tcPr>
            <w:tcW w:w="794" w:type="dxa"/>
          </w:tcPr>
          <w:p w14:paraId="622A3989"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1 006</w:t>
            </w:r>
          </w:p>
        </w:tc>
        <w:tc>
          <w:tcPr>
            <w:tcW w:w="794" w:type="dxa"/>
          </w:tcPr>
          <w:p w14:paraId="08EE2EE4"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998</w:t>
            </w:r>
          </w:p>
        </w:tc>
        <w:tc>
          <w:tcPr>
            <w:tcW w:w="794" w:type="dxa"/>
          </w:tcPr>
          <w:p w14:paraId="34898671"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1 000</w:t>
            </w:r>
          </w:p>
        </w:tc>
      </w:tr>
      <w:tr w:rsidR="00732BC0" w:rsidRPr="001213F7" w14:paraId="135D4AD0" w14:textId="77777777">
        <w:tc>
          <w:tcPr>
            <w:cnfStyle w:val="001000000000" w:firstRow="0" w:lastRow="0" w:firstColumn="1" w:lastColumn="0" w:oddVBand="0" w:evenVBand="0" w:oddHBand="0" w:evenHBand="0" w:firstRowFirstColumn="0" w:firstRowLastColumn="0" w:lastRowFirstColumn="0" w:lastRowLastColumn="0"/>
            <w:tcW w:w="2946" w:type="dxa"/>
          </w:tcPr>
          <w:p w14:paraId="23A70E58" w14:textId="77777777" w:rsidR="00732BC0" w:rsidRPr="001213F7" w:rsidRDefault="00732BC0">
            <w:r w:rsidRPr="001213F7">
              <w:t>Dividends, income tax equivalent and rate equivalent income</w:t>
            </w:r>
          </w:p>
        </w:tc>
        <w:tc>
          <w:tcPr>
            <w:tcW w:w="794" w:type="dxa"/>
          </w:tcPr>
          <w:p w14:paraId="5ADE1B9C"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1 997</w:t>
            </w:r>
          </w:p>
        </w:tc>
        <w:tc>
          <w:tcPr>
            <w:tcW w:w="794" w:type="dxa"/>
          </w:tcPr>
          <w:p w14:paraId="15D6211E"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1 558</w:t>
            </w:r>
          </w:p>
        </w:tc>
        <w:tc>
          <w:tcPr>
            <w:tcW w:w="794" w:type="dxa"/>
          </w:tcPr>
          <w:p w14:paraId="52C12F86"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2 019</w:t>
            </w:r>
          </w:p>
        </w:tc>
        <w:tc>
          <w:tcPr>
            <w:tcW w:w="794" w:type="dxa"/>
          </w:tcPr>
          <w:p w14:paraId="58490749"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984</w:t>
            </w:r>
          </w:p>
        </w:tc>
        <w:tc>
          <w:tcPr>
            <w:tcW w:w="794" w:type="dxa"/>
          </w:tcPr>
          <w:p w14:paraId="04A97309"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1 753</w:t>
            </w:r>
          </w:p>
        </w:tc>
        <w:tc>
          <w:tcPr>
            <w:tcW w:w="794" w:type="dxa"/>
          </w:tcPr>
          <w:p w14:paraId="73AEC8E1"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1 729</w:t>
            </w:r>
          </w:p>
        </w:tc>
      </w:tr>
      <w:tr w:rsidR="00732BC0" w:rsidRPr="001213F7" w14:paraId="633AFCED" w14:textId="77777777">
        <w:tc>
          <w:tcPr>
            <w:cnfStyle w:val="001000000000" w:firstRow="0" w:lastRow="0" w:firstColumn="1" w:lastColumn="0" w:oddVBand="0" w:evenVBand="0" w:oddHBand="0" w:evenHBand="0" w:firstRowFirstColumn="0" w:firstRowLastColumn="0" w:lastRowFirstColumn="0" w:lastRowLastColumn="0"/>
            <w:tcW w:w="2946" w:type="dxa"/>
          </w:tcPr>
          <w:p w14:paraId="7D0BD6C4" w14:textId="77777777" w:rsidR="00732BC0" w:rsidRPr="001213F7" w:rsidRDefault="00732BC0">
            <w:r w:rsidRPr="001213F7">
              <w:t>Sales of goods and services</w:t>
            </w:r>
          </w:p>
        </w:tc>
        <w:tc>
          <w:tcPr>
            <w:tcW w:w="794" w:type="dxa"/>
          </w:tcPr>
          <w:p w14:paraId="4A3B08CD"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14 615</w:t>
            </w:r>
          </w:p>
        </w:tc>
        <w:tc>
          <w:tcPr>
            <w:tcW w:w="794" w:type="dxa"/>
          </w:tcPr>
          <w:p w14:paraId="55CD7404"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16 250</w:t>
            </w:r>
          </w:p>
        </w:tc>
        <w:tc>
          <w:tcPr>
            <w:tcW w:w="794" w:type="dxa"/>
          </w:tcPr>
          <w:p w14:paraId="45E8AB99"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17 194</w:t>
            </w:r>
          </w:p>
        </w:tc>
        <w:tc>
          <w:tcPr>
            <w:tcW w:w="794" w:type="dxa"/>
          </w:tcPr>
          <w:p w14:paraId="0A0BE6E0"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18 113</w:t>
            </w:r>
          </w:p>
        </w:tc>
        <w:tc>
          <w:tcPr>
            <w:tcW w:w="794" w:type="dxa"/>
          </w:tcPr>
          <w:p w14:paraId="05A4CE22"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18 896</w:t>
            </w:r>
          </w:p>
        </w:tc>
        <w:tc>
          <w:tcPr>
            <w:tcW w:w="794" w:type="dxa"/>
          </w:tcPr>
          <w:p w14:paraId="1E84AF04"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19 865</w:t>
            </w:r>
          </w:p>
        </w:tc>
      </w:tr>
      <w:tr w:rsidR="00732BC0" w:rsidRPr="001213F7" w14:paraId="09C86D46" w14:textId="77777777">
        <w:tc>
          <w:tcPr>
            <w:cnfStyle w:val="001000000000" w:firstRow="0" w:lastRow="0" w:firstColumn="1" w:lastColumn="0" w:oddVBand="0" w:evenVBand="0" w:oddHBand="0" w:evenHBand="0" w:firstRowFirstColumn="0" w:firstRowLastColumn="0" w:lastRowFirstColumn="0" w:lastRowLastColumn="0"/>
            <w:tcW w:w="2946" w:type="dxa"/>
          </w:tcPr>
          <w:p w14:paraId="6905ED15" w14:textId="77777777" w:rsidR="00732BC0" w:rsidRPr="001213F7" w:rsidRDefault="00732BC0">
            <w:r w:rsidRPr="001213F7">
              <w:t>Grants</w:t>
            </w:r>
          </w:p>
        </w:tc>
        <w:tc>
          <w:tcPr>
            <w:tcW w:w="794" w:type="dxa"/>
          </w:tcPr>
          <w:p w14:paraId="2365286E"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47 324</w:t>
            </w:r>
          </w:p>
        </w:tc>
        <w:tc>
          <w:tcPr>
            <w:tcW w:w="794" w:type="dxa"/>
          </w:tcPr>
          <w:p w14:paraId="7ACCC9B7"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55 255</w:t>
            </w:r>
          </w:p>
        </w:tc>
        <w:tc>
          <w:tcPr>
            <w:tcW w:w="794" w:type="dxa"/>
          </w:tcPr>
          <w:p w14:paraId="1D6375CE"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56 392</w:t>
            </w:r>
          </w:p>
        </w:tc>
        <w:tc>
          <w:tcPr>
            <w:tcW w:w="794" w:type="dxa"/>
          </w:tcPr>
          <w:p w14:paraId="0BAB3149"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55 693</w:t>
            </w:r>
          </w:p>
        </w:tc>
        <w:tc>
          <w:tcPr>
            <w:tcW w:w="794" w:type="dxa"/>
          </w:tcPr>
          <w:p w14:paraId="418E8201"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57 052</w:t>
            </w:r>
          </w:p>
        </w:tc>
        <w:tc>
          <w:tcPr>
            <w:tcW w:w="794" w:type="dxa"/>
          </w:tcPr>
          <w:p w14:paraId="131E3AF4"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58 968</w:t>
            </w:r>
          </w:p>
        </w:tc>
      </w:tr>
      <w:tr w:rsidR="00732BC0" w:rsidRPr="001213F7" w14:paraId="18419CD3" w14:textId="77777777">
        <w:tc>
          <w:tcPr>
            <w:cnfStyle w:val="001000000000" w:firstRow="0" w:lastRow="0" w:firstColumn="1" w:lastColumn="0" w:oddVBand="0" w:evenVBand="0" w:oddHBand="0" w:evenHBand="0" w:firstRowFirstColumn="0" w:firstRowLastColumn="0" w:lastRowFirstColumn="0" w:lastRowLastColumn="0"/>
            <w:tcW w:w="2946" w:type="dxa"/>
            <w:tcBorders>
              <w:bottom w:val="single" w:sz="6" w:space="0" w:color="auto"/>
            </w:tcBorders>
          </w:tcPr>
          <w:p w14:paraId="6914C69B" w14:textId="77777777" w:rsidR="00732BC0" w:rsidRPr="001213F7" w:rsidRDefault="00732BC0">
            <w:r w:rsidRPr="001213F7">
              <w:t>Other revenue and income</w:t>
            </w:r>
          </w:p>
        </w:tc>
        <w:tc>
          <w:tcPr>
            <w:tcW w:w="794" w:type="dxa"/>
            <w:tcBorders>
              <w:bottom w:val="single" w:sz="6" w:space="0" w:color="auto"/>
            </w:tcBorders>
          </w:tcPr>
          <w:p w14:paraId="5D1420A4"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5 250</w:t>
            </w:r>
          </w:p>
        </w:tc>
        <w:tc>
          <w:tcPr>
            <w:tcW w:w="794" w:type="dxa"/>
            <w:tcBorders>
              <w:bottom w:val="single" w:sz="6" w:space="0" w:color="auto"/>
            </w:tcBorders>
          </w:tcPr>
          <w:p w14:paraId="683528D7"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4 659</w:t>
            </w:r>
          </w:p>
        </w:tc>
        <w:tc>
          <w:tcPr>
            <w:tcW w:w="794" w:type="dxa"/>
            <w:tcBorders>
              <w:bottom w:val="single" w:sz="6" w:space="0" w:color="auto"/>
            </w:tcBorders>
          </w:tcPr>
          <w:p w14:paraId="5A6CA435"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4 614</w:t>
            </w:r>
          </w:p>
        </w:tc>
        <w:tc>
          <w:tcPr>
            <w:tcW w:w="794" w:type="dxa"/>
            <w:tcBorders>
              <w:bottom w:val="single" w:sz="6" w:space="0" w:color="auto"/>
            </w:tcBorders>
          </w:tcPr>
          <w:p w14:paraId="14E478DF"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4 440</w:t>
            </w:r>
          </w:p>
        </w:tc>
        <w:tc>
          <w:tcPr>
            <w:tcW w:w="794" w:type="dxa"/>
            <w:tcBorders>
              <w:bottom w:val="single" w:sz="6" w:space="0" w:color="auto"/>
            </w:tcBorders>
          </w:tcPr>
          <w:p w14:paraId="1BFDC0E8"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4 541</w:t>
            </w:r>
          </w:p>
        </w:tc>
        <w:tc>
          <w:tcPr>
            <w:tcW w:w="794" w:type="dxa"/>
            <w:tcBorders>
              <w:bottom w:val="single" w:sz="6" w:space="0" w:color="auto"/>
            </w:tcBorders>
          </w:tcPr>
          <w:p w14:paraId="70DE391A"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4 675</w:t>
            </w:r>
          </w:p>
        </w:tc>
      </w:tr>
      <w:tr w:rsidR="00732BC0" w:rsidRPr="001213F7" w14:paraId="30A8D633" w14:textId="77777777">
        <w:tc>
          <w:tcPr>
            <w:cnfStyle w:val="001000000000" w:firstRow="0" w:lastRow="0" w:firstColumn="1" w:lastColumn="0" w:oddVBand="0" w:evenVBand="0" w:oddHBand="0" w:evenHBand="0" w:firstRowFirstColumn="0" w:firstRowLastColumn="0" w:lastRowFirstColumn="0" w:lastRowLastColumn="0"/>
            <w:tcW w:w="2946" w:type="dxa"/>
            <w:tcBorders>
              <w:top w:val="single" w:sz="6" w:space="0" w:color="auto"/>
            </w:tcBorders>
          </w:tcPr>
          <w:p w14:paraId="282A003A" w14:textId="77777777" w:rsidR="00732BC0" w:rsidRPr="001213F7" w:rsidRDefault="00732BC0">
            <w:r w:rsidRPr="001213F7">
              <w:rPr>
                <w:b/>
              </w:rPr>
              <w:t>Total revenue and income from transactions</w:t>
            </w:r>
          </w:p>
        </w:tc>
        <w:tc>
          <w:tcPr>
            <w:tcW w:w="794" w:type="dxa"/>
            <w:tcBorders>
              <w:top w:val="single" w:sz="6" w:space="0" w:color="auto"/>
            </w:tcBorders>
          </w:tcPr>
          <w:p w14:paraId="6E578609"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rPr>
                <w:b/>
              </w:rPr>
              <w:t>108 656</w:t>
            </w:r>
          </w:p>
        </w:tc>
        <w:tc>
          <w:tcPr>
            <w:tcW w:w="794" w:type="dxa"/>
            <w:tcBorders>
              <w:top w:val="single" w:sz="6" w:space="0" w:color="auto"/>
            </w:tcBorders>
          </w:tcPr>
          <w:p w14:paraId="2EBE06B9"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rPr>
                <w:b/>
              </w:rPr>
              <w:t>119 794</w:t>
            </w:r>
          </w:p>
        </w:tc>
        <w:tc>
          <w:tcPr>
            <w:tcW w:w="794" w:type="dxa"/>
            <w:tcBorders>
              <w:top w:val="single" w:sz="6" w:space="0" w:color="auto"/>
            </w:tcBorders>
          </w:tcPr>
          <w:p w14:paraId="4B14BFFF"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rPr>
                <w:b/>
              </w:rPr>
              <w:t>123 949</w:t>
            </w:r>
          </w:p>
        </w:tc>
        <w:tc>
          <w:tcPr>
            <w:tcW w:w="794" w:type="dxa"/>
            <w:tcBorders>
              <w:top w:val="single" w:sz="6" w:space="0" w:color="auto"/>
            </w:tcBorders>
          </w:tcPr>
          <w:p w14:paraId="76167CD7"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rPr>
                <w:b/>
              </w:rPr>
              <w:t>125 948</w:t>
            </w:r>
          </w:p>
        </w:tc>
        <w:tc>
          <w:tcPr>
            <w:tcW w:w="794" w:type="dxa"/>
            <w:tcBorders>
              <w:top w:val="single" w:sz="6" w:space="0" w:color="auto"/>
            </w:tcBorders>
          </w:tcPr>
          <w:p w14:paraId="57C030D3"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rPr>
                <w:b/>
              </w:rPr>
              <w:t>130 713</w:t>
            </w:r>
          </w:p>
        </w:tc>
        <w:tc>
          <w:tcPr>
            <w:tcW w:w="794" w:type="dxa"/>
            <w:tcBorders>
              <w:top w:val="single" w:sz="6" w:space="0" w:color="auto"/>
            </w:tcBorders>
          </w:tcPr>
          <w:p w14:paraId="031DFE13"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rPr>
                <w:b/>
              </w:rPr>
              <w:t>135 892</w:t>
            </w:r>
          </w:p>
        </w:tc>
      </w:tr>
      <w:tr w:rsidR="00732BC0" w:rsidRPr="001213F7" w14:paraId="37B87B73" w14:textId="77777777">
        <w:tc>
          <w:tcPr>
            <w:cnfStyle w:val="001000000000" w:firstRow="0" w:lastRow="0" w:firstColumn="1" w:lastColumn="0" w:oddVBand="0" w:evenVBand="0" w:oddHBand="0" w:evenHBand="0" w:firstRowFirstColumn="0" w:firstRowLastColumn="0" w:lastRowFirstColumn="0" w:lastRowLastColumn="0"/>
            <w:tcW w:w="2946" w:type="dxa"/>
          </w:tcPr>
          <w:p w14:paraId="582E3E51" w14:textId="77777777" w:rsidR="00732BC0" w:rsidRPr="001213F7" w:rsidRDefault="00732BC0">
            <w:r w:rsidRPr="001213F7">
              <w:rPr>
                <w:i/>
              </w:rPr>
              <w:t>per cent change</w:t>
            </w:r>
          </w:p>
        </w:tc>
        <w:tc>
          <w:tcPr>
            <w:tcW w:w="794" w:type="dxa"/>
          </w:tcPr>
          <w:p w14:paraId="01198777"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rPr>
                <w:i/>
              </w:rPr>
              <w:t>8.8</w:t>
            </w:r>
          </w:p>
        </w:tc>
        <w:tc>
          <w:tcPr>
            <w:tcW w:w="794" w:type="dxa"/>
          </w:tcPr>
          <w:p w14:paraId="4B6E9222"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rPr>
                <w:i/>
              </w:rPr>
              <w:t>10.3</w:t>
            </w:r>
          </w:p>
        </w:tc>
        <w:tc>
          <w:tcPr>
            <w:tcW w:w="794" w:type="dxa"/>
          </w:tcPr>
          <w:p w14:paraId="6BE8FB24"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rPr>
                <w:i/>
              </w:rPr>
              <w:t>3.5</w:t>
            </w:r>
          </w:p>
        </w:tc>
        <w:tc>
          <w:tcPr>
            <w:tcW w:w="794" w:type="dxa"/>
          </w:tcPr>
          <w:p w14:paraId="63F782BF"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rPr>
                <w:i/>
              </w:rPr>
              <w:t>1.6</w:t>
            </w:r>
          </w:p>
        </w:tc>
        <w:tc>
          <w:tcPr>
            <w:tcW w:w="794" w:type="dxa"/>
          </w:tcPr>
          <w:p w14:paraId="295FBE2B"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rPr>
                <w:i/>
              </w:rPr>
              <w:t>3.8</w:t>
            </w:r>
          </w:p>
        </w:tc>
        <w:tc>
          <w:tcPr>
            <w:tcW w:w="794" w:type="dxa"/>
          </w:tcPr>
          <w:p w14:paraId="590F36DC"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rPr>
                <w:i/>
              </w:rPr>
              <w:t>4.0</w:t>
            </w:r>
          </w:p>
        </w:tc>
      </w:tr>
      <w:tr w:rsidR="00732BC0" w:rsidRPr="001213F7" w14:paraId="444C5240" w14:textId="77777777">
        <w:trPr>
          <w:trHeight w:hRule="exact" w:val="113"/>
        </w:trPr>
        <w:tc>
          <w:tcPr>
            <w:cnfStyle w:val="001000000000" w:firstRow="0" w:lastRow="0" w:firstColumn="1" w:lastColumn="0" w:oddVBand="0" w:evenVBand="0" w:oddHBand="0" w:evenHBand="0" w:firstRowFirstColumn="0" w:firstRowLastColumn="0" w:lastRowFirstColumn="0" w:lastRowLastColumn="0"/>
            <w:tcW w:w="2946" w:type="dxa"/>
          </w:tcPr>
          <w:p w14:paraId="3B64C956" w14:textId="77777777" w:rsidR="00732BC0" w:rsidRPr="001213F7" w:rsidRDefault="00732BC0"/>
        </w:tc>
        <w:tc>
          <w:tcPr>
            <w:tcW w:w="794" w:type="dxa"/>
          </w:tcPr>
          <w:p w14:paraId="248CCAED"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p>
        </w:tc>
        <w:tc>
          <w:tcPr>
            <w:tcW w:w="794" w:type="dxa"/>
          </w:tcPr>
          <w:p w14:paraId="4851A20A"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p>
        </w:tc>
        <w:tc>
          <w:tcPr>
            <w:tcW w:w="794" w:type="dxa"/>
          </w:tcPr>
          <w:p w14:paraId="7EC23F75"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p>
        </w:tc>
        <w:tc>
          <w:tcPr>
            <w:tcW w:w="794" w:type="dxa"/>
          </w:tcPr>
          <w:p w14:paraId="7D0965EF"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p>
        </w:tc>
        <w:tc>
          <w:tcPr>
            <w:tcW w:w="794" w:type="dxa"/>
          </w:tcPr>
          <w:p w14:paraId="6C987A88"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p>
        </w:tc>
        <w:tc>
          <w:tcPr>
            <w:tcW w:w="794" w:type="dxa"/>
          </w:tcPr>
          <w:p w14:paraId="30A1A539"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p>
        </w:tc>
      </w:tr>
      <w:tr w:rsidR="00732BC0" w:rsidRPr="001213F7" w14:paraId="4BEF325E" w14:textId="77777777">
        <w:tc>
          <w:tcPr>
            <w:cnfStyle w:val="001000000000" w:firstRow="0" w:lastRow="0" w:firstColumn="1" w:lastColumn="0" w:oddVBand="0" w:evenVBand="0" w:oddHBand="0" w:evenHBand="0" w:firstRowFirstColumn="0" w:firstRowLastColumn="0" w:lastRowFirstColumn="0" w:lastRowLastColumn="0"/>
            <w:tcW w:w="2946" w:type="dxa"/>
          </w:tcPr>
          <w:p w14:paraId="3EFC3339" w14:textId="77777777" w:rsidR="00732BC0" w:rsidRPr="001213F7" w:rsidRDefault="00732BC0">
            <w:r w:rsidRPr="001213F7">
              <w:rPr>
                <w:b/>
              </w:rPr>
              <w:t>Expenses from transactions</w:t>
            </w:r>
          </w:p>
        </w:tc>
        <w:tc>
          <w:tcPr>
            <w:tcW w:w="794" w:type="dxa"/>
          </w:tcPr>
          <w:p w14:paraId="6C45E09B"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p>
        </w:tc>
        <w:tc>
          <w:tcPr>
            <w:tcW w:w="794" w:type="dxa"/>
          </w:tcPr>
          <w:p w14:paraId="4FC67E6A"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p>
        </w:tc>
        <w:tc>
          <w:tcPr>
            <w:tcW w:w="794" w:type="dxa"/>
          </w:tcPr>
          <w:p w14:paraId="0CEC75C3"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p>
        </w:tc>
        <w:tc>
          <w:tcPr>
            <w:tcW w:w="794" w:type="dxa"/>
          </w:tcPr>
          <w:p w14:paraId="666E77BB"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p>
        </w:tc>
        <w:tc>
          <w:tcPr>
            <w:tcW w:w="794" w:type="dxa"/>
          </w:tcPr>
          <w:p w14:paraId="36F41C1F"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p>
        </w:tc>
        <w:tc>
          <w:tcPr>
            <w:tcW w:w="794" w:type="dxa"/>
          </w:tcPr>
          <w:p w14:paraId="4DE7AD46"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p>
        </w:tc>
      </w:tr>
      <w:tr w:rsidR="00732BC0" w:rsidRPr="001213F7" w14:paraId="4D587A28" w14:textId="77777777">
        <w:tc>
          <w:tcPr>
            <w:cnfStyle w:val="001000000000" w:firstRow="0" w:lastRow="0" w:firstColumn="1" w:lastColumn="0" w:oddVBand="0" w:evenVBand="0" w:oddHBand="0" w:evenHBand="0" w:firstRowFirstColumn="0" w:firstRowLastColumn="0" w:lastRowFirstColumn="0" w:lastRowLastColumn="0"/>
            <w:tcW w:w="2946" w:type="dxa"/>
          </w:tcPr>
          <w:p w14:paraId="326C151E" w14:textId="77777777" w:rsidR="00732BC0" w:rsidRPr="001213F7" w:rsidRDefault="00732BC0">
            <w:r w:rsidRPr="001213F7">
              <w:t>Employee expenses</w:t>
            </w:r>
          </w:p>
        </w:tc>
        <w:tc>
          <w:tcPr>
            <w:tcW w:w="794" w:type="dxa"/>
          </w:tcPr>
          <w:p w14:paraId="7772F8FC"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40 510</w:t>
            </w:r>
          </w:p>
        </w:tc>
        <w:tc>
          <w:tcPr>
            <w:tcW w:w="794" w:type="dxa"/>
          </w:tcPr>
          <w:p w14:paraId="10C6DAA1"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42 398</w:t>
            </w:r>
          </w:p>
        </w:tc>
        <w:tc>
          <w:tcPr>
            <w:tcW w:w="794" w:type="dxa"/>
          </w:tcPr>
          <w:p w14:paraId="37BE085D"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43 399</w:t>
            </w:r>
          </w:p>
        </w:tc>
        <w:tc>
          <w:tcPr>
            <w:tcW w:w="794" w:type="dxa"/>
          </w:tcPr>
          <w:p w14:paraId="1053A244"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45 102</w:t>
            </w:r>
          </w:p>
        </w:tc>
        <w:tc>
          <w:tcPr>
            <w:tcW w:w="794" w:type="dxa"/>
          </w:tcPr>
          <w:p w14:paraId="7384D34E"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46 673</w:t>
            </w:r>
          </w:p>
        </w:tc>
        <w:tc>
          <w:tcPr>
            <w:tcW w:w="794" w:type="dxa"/>
          </w:tcPr>
          <w:p w14:paraId="49AB57EA"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47 856</w:t>
            </w:r>
          </w:p>
        </w:tc>
      </w:tr>
      <w:tr w:rsidR="00732BC0" w:rsidRPr="001213F7" w14:paraId="3DCD1161" w14:textId="77777777">
        <w:tc>
          <w:tcPr>
            <w:cnfStyle w:val="001000000000" w:firstRow="0" w:lastRow="0" w:firstColumn="1" w:lastColumn="0" w:oddVBand="0" w:evenVBand="0" w:oddHBand="0" w:evenHBand="0" w:firstRowFirstColumn="0" w:firstRowLastColumn="0" w:lastRowFirstColumn="0" w:lastRowLastColumn="0"/>
            <w:tcW w:w="2946" w:type="dxa"/>
          </w:tcPr>
          <w:p w14:paraId="56533BAD" w14:textId="77777777" w:rsidR="00732BC0" w:rsidRPr="001213F7" w:rsidRDefault="00732BC0">
            <w:r w:rsidRPr="001213F7">
              <w:t>Superannuation:</w:t>
            </w:r>
          </w:p>
        </w:tc>
        <w:tc>
          <w:tcPr>
            <w:tcW w:w="794" w:type="dxa"/>
          </w:tcPr>
          <w:p w14:paraId="5225524F"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p>
        </w:tc>
        <w:tc>
          <w:tcPr>
            <w:tcW w:w="794" w:type="dxa"/>
          </w:tcPr>
          <w:p w14:paraId="7CD38134"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p>
        </w:tc>
        <w:tc>
          <w:tcPr>
            <w:tcW w:w="794" w:type="dxa"/>
          </w:tcPr>
          <w:p w14:paraId="5910A64B"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p>
        </w:tc>
        <w:tc>
          <w:tcPr>
            <w:tcW w:w="794" w:type="dxa"/>
          </w:tcPr>
          <w:p w14:paraId="6EC87591"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p>
        </w:tc>
        <w:tc>
          <w:tcPr>
            <w:tcW w:w="794" w:type="dxa"/>
          </w:tcPr>
          <w:p w14:paraId="1B533237"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p>
        </w:tc>
        <w:tc>
          <w:tcPr>
            <w:tcW w:w="794" w:type="dxa"/>
          </w:tcPr>
          <w:p w14:paraId="61BA293E"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p>
        </w:tc>
      </w:tr>
      <w:tr w:rsidR="00732BC0" w:rsidRPr="001213F7" w14:paraId="6D53962B" w14:textId="77777777">
        <w:tc>
          <w:tcPr>
            <w:cnfStyle w:val="001000000000" w:firstRow="0" w:lastRow="0" w:firstColumn="1" w:lastColumn="0" w:oddVBand="0" w:evenVBand="0" w:oddHBand="0" w:evenHBand="0" w:firstRowFirstColumn="0" w:firstRowLastColumn="0" w:lastRowFirstColumn="0" w:lastRowLastColumn="0"/>
            <w:tcW w:w="2946" w:type="dxa"/>
          </w:tcPr>
          <w:p w14:paraId="7F20989E" w14:textId="77777777" w:rsidR="00732BC0" w:rsidRPr="001213F7" w:rsidRDefault="00732BC0">
            <w:r w:rsidRPr="001213F7">
              <w:t>Net superannuation interest expense</w:t>
            </w:r>
          </w:p>
        </w:tc>
        <w:tc>
          <w:tcPr>
            <w:tcW w:w="794" w:type="dxa"/>
          </w:tcPr>
          <w:p w14:paraId="208BD232"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785</w:t>
            </w:r>
          </w:p>
        </w:tc>
        <w:tc>
          <w:tcPr>
            <w:tcW w:w="794" w:type="dxa"/>
          </w:tcPr>
          <w:p w14:paraId="2F0B981D"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788</w:t>
            </w:r>
          </w:p>
        </w:tc>
        <w:tc>
          <w:tcPr>
            <w:tcW w:w="794" w:type="dxa"/>
          </w:tcPr>
          <w:p w14:paraId="6AD7631B"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811</w:t>
            </w:r>
          </w:p>
        </w:tc>
        <w:tc>
          <w:tcPr>
            <w:tcW w:w="794" w:type="dxa"/>
          </w:tcPr>
          <w:p w14:paraId="6401E317"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796</w:t>
            </w:r>
          </w:p>
        </w:tc>
        <w:tc>
          <w:tcPr>
            <w:tcW w:w="794" w:type="dxa"/>
          </w:tcPr>
          <w:p w14:paraId="3771D2EE"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737</w:t>
            </w:r>
          </w:p>
        </w:tc>
        <w:tc>
          <w:tcPr>
            <w:tcW w:w="794" w:type="dxa"/>
          </w:tcPr>
          <w:p w14:paraId="24B5CBAE"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676</w:t>
            </w:r>
          </w:p>
        </w:tc>
      </w:tr>
      <w:tr w:rsidR="00732BC0" w:rsidRPr="001213F7" w14:paraId="5BD9A425" w14:textId="77777777">
        <w:tc>
          <w:tcPr>
            <w:cnfStyle w:val="001000000000" w:firstRow="0" w:lastRow="0" w:firstColumn="1" w:lastColumn="0" w:oddVBand="0" w:evenVBand="0" w:oddHBand="0" w:evenHBand="0" w:firstRowFirstColumn="0" w:firstRowLastColumn="0" w:lastRowFirstColumn="0" w:lastRowLastColumn="0"/>
            <w:tcW w:w="2946" w:type="dxa"/>
          </w:tcPr>
          <w:p w14:paraId="3AB4E629" w14:textId="77777777" w:rsidR="00732BC0" w:rsidRPr="001213F7" w:rsidRDefault="00732BC0">
            <w:r w:rsidRPr="001213F7">
              <w:t>Other superannuation</w:t>
            </w:r>
          </w:p>
        </w:tc>
        <w:tc>
          <w:tcPr>
            <w:tcW w:w="794" w:type="dxa"/>
          </w:tcPr>
          <w:p w14:paraId="48EE7428"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4 748</w:t>
            </w:r>
          </w:p>
        </w:tc>
        <w:tc>
          <w:tcPr>
            <w:tcW w:w="794" w:type="dxa"/>
          </w:tcPr>
          <w:p w14:paraId="7EEB0462"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4 962</w:t>
            </w:r>
          </w:p>
        </w:tc>
        <w:tc>
          <w:tcPr>
            <w:tcW w:w="794" w:type="dxa"/>
          </w:tcPr>
          <w:p w14:paraId="19142C59"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4 911</w:t>
            </w:r>
          </w:p>
        </w:tc>
        <w:tc>
          <w:tcPr>
            <w:tcW w:w="794" w:type="dxa"/>
          </w:tcPr>
          <w:p w14:paraId="35F618D7"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5 113</w:t>
            </w:r>
          </w:p>
        </w:tc>
        <w:tc>
          <w:tcPr>
            <w:tcW w:w="794" w:type="dxa"/>
          </w:tcPr>
          <w:p w14:paraId="3D23C706"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5 268</w:t>
            </w:r>
          </w:p>
        </w:tc>
        <w:tc>
          <w:tcPr>
            <w:tcW w:w="794" w:type="dxa"/>
          </w:tcPr>
          <w:p w14:paraId="2096FFA2"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5 410</w:t>
            </w:r>
          </w:p>
        </w:tc>
      </w:tr>
      <w:tr w:rsidR="00732BC0" w:rsidRPr="001213F7" w14:paraId="5C77E642" w14:textId="77777777">
        <w:tc>
          <w:tcPr>
            <w:cnfStyle w:val="001000000000" w:firstRow="0" w:lastRow="0" w:firstColumn="1" w:lastColumn="0" w:oddVBand="0" w:evenVBand="0" w:oddHBand="0" w:evenHBand="0" w:firstRowFirstColumn="0" w:firstRowLastColumn="0" w:lastRowFirstColumn="0" w:lastRowLastColumn="0"/>
            <w:tcW w:w="2946" w:type="dxa"/>
          </w:tcPr>
          <w:p w14:paraId="477B056B" w14:textId="77777777" w:rsidR="00732BC0" w:rsidRPr="001213F7" w:rsidRDefault="00732BC0">
            <w:r w:rsidRPr="001213F7">
              <w:t>Depreciation</w:t>
            </w:r>
          </w:p>
        </w:tc>
        <w:tc>
          <w:tcPr>
            <w:tcW w:w="794" w:type="dxa"/>
          </w:tcPr>
          <w:p w14:paraId="558BBBE0"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9 265</w:t>
            </w:r>
          </w:p>
        </w:tc>
        <w:tc>
          <w:tcPr>
            <w:tcW w:w="794" w:type="dxa"/>
          </w:tcPr>
          <w:p w14:paraId="6CB370B1"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11 429</w:t>
            </w:r>
          </w:p>
        </w:tc>
        <w:tc>
          <w:tcPr>
            <w:tcW w:w="794" w:type="dxa"/>
          </w:tcPr>
          <w:p w14:paraId="3AF71ADB"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11 714</w:t>
            </w:r>
          </w:p>
        </w:tc>
        <w:tc>
          <w:tcPr>
            <w:tcW w:w="794" w:type="dxa"/>
          </w:tcPr>
          <w:p w14:paraId="34CE1468"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11 955</w:t>
            </w:r>
          </w:p>
        </w:tc>
        <w:tc>
          <w:tcPr>
            <w:tcW w:w="794" w:type="dxa"/>
          </w:tcPr>
          <w:p w14:paraId="60F1B33E"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12 438</w:t>
            </w:r>
          </w:p>
        </w:tc>
        <w:tc>
          <w:tcPr>
            <w:tcW w:w="794" w:type="dxa"/>
          </w:tcPr>
          <w:p w14:paraId="33764D15"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13 075</w:t>
            </w:r>
          </w:p>
        </w:tc>
      </w:tr>
      <w:tr w:rsidR="00732BC0" w:rsidRPr="001213F7" w14:paraId="2979ACD6" w14:textId="77777777">
        <w:tc>
          <w:tcPr>
            <w:cnfStyle w:val="001000000000" w:firstRow="0" w:lastRow="0" w:firstColumn="1" w:lastColumn="0" w:oddVBand="0" w:evenVBand="0" w:oddHBand="0" w:evenHBand="0" w:firstRowFirstColumn="0" w:firstRowLastColumn="0" w:lastRowFirstColumn="0" w:lastRowLastColumn="0"/>
            <w:tcW w:w="2946" w:type="dxa"/>
          </w:tcPr>
          <w:p w14:paraId="7EC964B0" w14:textId="77777777" w:rsidR="00732BC0" w:rsidRPr="001213F7" w:rsidRDefault="00732BC0">
            <w:r w:rsidRPr="001213F7">
              <w:t>Interest expense</w:t>
            </w:r>
          </w:p>
        </w:tc>
        <w:tc>
          <w:tcPr>
            <w:tcW w:w="794" w:type="dxa"/>
          </w:tcPr>
          <w:p w14:paraId="0F28B7AA"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7 298</w:t>
            </w:r>
          </w:p>
        </w:tc>
        <w:tc>
          <w:tcPr>
            <w:tcW w:w="794" w:type="dxa"/>
          </w:tcPr>
          <w:p w14:paraId="281AB4D3"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8 569</w:t>
            </w:r>
          </w:p>
        </w:tc>
        <w:tc>
          <w:tcPr>
            <w:tcW w:w="794" w:type="dxa"/>
          </w:tcPr>
          <w:p w14:paraId="2397C1BE"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9 901</w:t>
            </w:r>
          </w:p>
        </w:tc>
        <w:tc>
          <w:tcPr>
            <w:tcW w:w="794" w:type="dxa"/>
          </w:tcPr>
          <w:p w14:paraId="0FF06D9E"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10 855</w:t>
            </w:r>
          </w:p>
        </w:tc>
        <w:tc>
          <w:tcPr>
            <w:tcW w:w="794" w:type="dxa"/>
          </w:tcPr>
          <w:p w14:paraId="15AA06D7"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12 164</w:t>
            </w:r>
          </w:p>
        </w:tc>
        <w:tc>
          <w:tcPr>
            <w:tcW w:w="794" w:type="dxa"/>
          </w:tcPr>
          <w:p w14:paraId="36D521AD"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13 679</w:t>
            </w:r>
          </w:p>
        </w:tc>
      </w:tr>
      <w:tr w:rsidR="00732BC0" w:rsidRPr="001213F7" w14:paraId="123D8DDA" w14:textId="77777777">
        <w:tc>
          <w:tcPr>
            <w:cnfStyle w:val="001000000000" w:firstRow="0" w:lastRow="0" w:firstColumn="1" w:lastColumn="0" w:oddVBand="0" w:evenVBand="0" w:oddHBand="0" w:evenHBand="0" w:firstRowFirstColumn="0" w:firstRowLastColumn="0" w:lastRowFirstColumn="0" w:lastRowLastColumn="0"/>
            <w:tcW w:w="2946" w:type="dxa"/>
          </w:tcPr>
          <w:p w14:paraId="3BE8500E" w14:textId="77777777" w:rsidR="00732BC0" w:rsidRPr="001213F7" w:rsidRDefault="00732BC0">
            <w:r w:rsidRPr="001213F7">
              <w:t>Grant expense</w:t>
            </w:r>
          </w:p>
        </w:tc>
        <w:tc>
          <w:tcPr>
            <w:tcW w:w="794" w:type="dxa"/>
          </w:tcPr>
          <w:p w14:paraId="5A53F968"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15 042</w:t>
            </w:r>
          </w:p>
        </w:tc>
        <w:tc>
          <w:tcPr>
            <w:tcW w:w="794" w:type="dxa"/>
          </w:tcPr>
          <w:p w14:paraId="62940031"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15 992</w:t>
            </w:r>
          </w:p>
        </w:tc>
        <w:tc>
          <w:tcPr>
            <w:tcW w:w="794" w:type="dxa"/>
          </w:tcPr>
          <w:p w14:paraId="62D849D7"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17 344</w:t>
            </w:r>
          </w:p>
        </w:tc>
        <w:tc>
          <w:tcPr>
            <w:tcW w:w="794" w:type="dxa"/>
          </w:tcPr>
          <w:p w14:paraId="1E95A87B"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16 643</w:t>
            </w:r>
          </w:p>
        </w:tc>
        <w:tc>
          <w:tcPr>
            <w:tcW w:w="794" w:type="dxa"/>
          </w:tcPr>
          <w:p w14:paraId="6E6D3552"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17 015</w:t>
            </w:r>
          </w:p>
        </w:tc>
        <w:tc>
          <w:tcPr>
            <w:tcW w:w="794" w:type="dxa"/>
          </w:tcPr>
          <w:p w14:paraId="6EA3854B"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17 504</w:t>
            </w:r>
          </w:p>
        </w:tc>
      </w:tr>
      <w:tr w:rsidR="00732BC0" w:rsidRPr="001213F7" w14:paraId="5215E14A" w14:textId="77777777">
        <w:tc>
          <w:tcPr>
            <w:cnfStyle w:val="001000000000" w:firstRow="0" w:lastRow="0" w:firstColumn="1" w:lastColumn="0" w:oddVBand="0" w:evenVBand="0" w:oddHBand="0" w:evenHBand="0" w:firstRowFirstColumn="0" w:firstRowLastColumn="0" w:lastRowFirstColumn="0" w:lastRowLastColumn="0"/>
            <w:tcW w:w="2946" w:type="dxa"/>
          </w:tcPr>
          <w:p w14:paraId="5E77A48F" w14:textId="77777777" w:rsidR="00732BC0" w:rsidRPr="001213F7" w:rsidRDefault="00732BC0">
            <w:r w:rsidRPr="001213F7">
              <w:t>Other operating expenses</w:t>
            </w:r>
          </w:p>
        </w:tc>
        <w:tc>
          <w:tcPr>
            <w:tcW w:w="794" w:type="dxa"/>
          </w:tcPr>
          <w:p w14:paraId="2EF0DCEA"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35 280</w:t>
            </w:r>
          </w:p>
        </w:tc>
        <w:tc>
          <w:tcPr>
            <w:tcW w:w="794" w:type="dxa"/>
          </w:tcPr>
          <w:p w14:paraId="6957C41D"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39 007</w:t>
            </w:r>
          </w:p>
        </w:tc>
        <w:tc>
          <w:tcPr>
            <w:tcW w:w="794" w:type="dxa"/>
          </w:tcPr>
          <w:p w14:paraId="670B74D5"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38 725</w:t>
            </w:r>
          </w:p>
        </w:tc>
        <w:tc>
          <w:tcPr>
            <w:tcW w:w="794" w:type="dxa"/>
          </w:tcPr>
          <w:p w14:paraId="3D8E0996"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37 243</w:t>
            </w:r>
          </w:p>
        </w:tc>
        <w:tc>
          <w:tcPr>
            <w:tcW w:w="794" w:type="dxa"/>
          </w:tcPr>
          <w:p w14:paraId="0D12A326"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38 403</w:t>
            </w:r>
          </w:p>
        </w:tc>
        <w:tc>
          <w:tcPr>
            <w:tcW w:w="794" w:type="dxa"/>
          </w:tcPr>
          <w:p w14:paraId="1F09B29D"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39 999</w:t>
            </w:r>
          </w:p>
        </w:tc>
      </w:tr>
      <w:tr w:rsidR="00732BC0" w:rsidRPr="001213F7" w14:paraId="35C1FAF8" w14:textId="77777777">
        <w:tc>
          <w:tcPr>
            <w:cnfStyle w:val="001000000000" w:firstRow="0" w:lastRow="0" w:firstColumn="1" w:lastColumn="0" w:oddVBand="0" w:evenVBand="0" w:oddHBand="0" w:evenHBand="0" w:firstRowFirstColumn="0" w:firstRowLastColumn="0" w:lastRowFirstColumn="0" w:lastRowLastColumn="0"/>
            <w:tcW w:w="2946" w:type="dxa"/>
            <w:tcBorders>
              <w:top w:val="single" w:sz="6" w:space="0" w:color="auto"/>
              <w:bottom w:val="single" w:sz="6" w:space="0" w:color="auto"/>
            </w:tcBorders>
          </w:tcPr>
          <w:p w14:paraId="2C70ACD3" w14:textId="77777777" w:rsidR="00732BC0" w:rsidRPr="001213F7" w:rsidRDefault="00732BC0">
            <w:r w:rsidRPr="001213F7">
              <w:rPr>
                <w:b/>
              </w:rPr>
              <w:t>Total expenses from transactions</w:t>
            </w:r>
          </w:p>
        </w:tc>
        <w:tc>
          <w:tcPr>
            <w:tcW w:w="794" w:type="dxa"/>
            <w:tcBorders>
              <w:top w:val="single" w:sz="6" w:space="0" w:color="auto"/>
              <w:bottom w:val="single" w:sz="6" w:space="0" w:color="auto"/>
            </w:tcBorders>
          </w:tcPr>
          <w:p w14:paraId="79A2E56D"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rPr>
                <w:b/>
              </w:rPr>
              <w:t>112 928</w:t>
            </w:r>
          </w:p>
        </w:tc>
        <w:tc>
          <w:tcPr>
            <w:tcW w:w="794" w:type="dxa"/>
            <w:tcBorders>
              <w:top w:val="single" w:sz="6" w:space="0" w:color="auto"/>
              <w:bottom w:val="single" w:sz="6" w:space="0" w:color="auto"/>
            </w:tcBorders>
          </w:tcPr>
          <w:p w14:paraId="79489170"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rPr>
                <w:b/>
              </w:rPr>
              <w:t>123 144</w:t>
            </w:r>
          </w:p>
        </w:tc>
        <w:tc>
          <w:tcPr>
            <w:tcW w:w="794" w:type="dxa"/>
            <w:tcBorders>
              <w:top w:val="single" w:sz="6" w:space="0" w:color="auto"/>
              <w:bottom w:val="single" w:sz="6" w:space="0" w:color="auto"/>
            </w:tcBorders>
          </w:tcPr>
          <w:p w14:paraId="700065DA"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rPr>
                <w:b/>
              </w:rPr>
              <w:t>126 805</w:t>
            </w:r>
          </w:p>
        </w:tc>
        <w:tc>
          <w:tcPr>
            <w:tcW w:w="794" w:type="dxa"/>
            <w:tcBorders>
              <w:top w:val="single" w:sz="6" w:space="0" w:color="auto"/>
              <w:bottom w:val="single" w:sz="6" w:space="0" w:color="auto"/>
            </w:tcBorders>
          </w:tcPr>
          <w:p w14:paraId="5A505940"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rPr>
                <w:b/>
              </w:rPr>
              <w:t>127 708</w:t>
            </w:r>
          </w:p>
        </w:tc>
        <w:tc>
          <w:tcPr>
            <w:tcW w:w="794" w:type="dxa"/>
            <w:tcBorders>
              <w:top w:val="single" w:sz="6" w:space="0" w:color="auto"/>
              <w:bottom w:val="single" w:sz="6" w:space="0" w:color="auto"/>
            </w:tcBorders>
          </w:tcPr>
          <w:p w14:paraId="577CCC3B"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rPr>
                <w:b/>
              </w:rPr>
              <w:t>132 699</w:t>
            </w:r>
          </w:p>
        </w:tc>
        <w:tc>
          <w:tcPr>
            <w:tcW w:w="794" w:type="dxa"/>
            <w:tcBorders>
              <w:top w:val="single" w:sz="6" w:space="0" w:color="auto"/>
              <w:bottom w:val="single" w:sz="6" w:space="0" w:color="auto"/>
            </w:tcBorders>
          </w:tcPr>
          <w:p w14:paraId="69B3E76C"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rPr>
                <w:b/>
              </w:rPr>
              <w:t>138 200</w:t>
            </w:r>
          </w:p>
        </w:tc>
      </w:tr>
      <w:tr w:rsidR="00732BC0" w:rsidRPr="001213F7" w14:paraId="145924AF" w14:textId="77777777">
        <w:tc>
          <w:tcPr>
            <w:cnfStyle w:val="001000000000" w:firstRow="0" w:lastRow="0" w:firstColumn="1" w:lastColumn="0" w:oddVBand="0" w:evenVBand="0" w:oddHBand="0" w:evenHBand="0" w:firstRowFirstColumn="0" w:firstRowLastColumn="0" w:lastRowFirstColumn="0" w:lastRowLastColumn="0"/>
            <w:tcW w:w="2946" w:type="dxa"/>
            <w:tcBorders>
              <w:top w:val="single" w:sz="6" w:space="0" w:color="auto"/>
            </w:tcBorders>
          </w:tcPr>
          <w:p w14:paraId="6DC5C2AC" w14:textId="77777777" w:rsidR="00732BC0" w:rsidRPr="001213F7" w:rsidRDefault="00732BC0">
            <w:r w:rsidRPr="001213F7">
              <w:rPr>
                <w:i/>
              </w:rPr>
              <w:t>per cent change</w:t>
            </w:r>
          </w:p>
        </w:tc>
        <w:tc>
          <w:tcPr>
            <w:tcW w:w="794" w:type="dxa"/>
            <w:tcBorders>
              <w:top w:val="single" w:sz="6" w:space="0" w:color="auto"/>
            </w:tcBorders>
          </w:tcPr>
          <w:p w14:paraId="56CA44BB"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rPr>
                <w:i/>
              </w:rPr>
              <w:t>7.2</w:t>
            </w:r>
          </w:p>
        </w:tc>
        <w:tc>
          <w:tcPr>
            <w:tcW w:w="794" w:type="dxa"/>
            <w:tcBorders>
              <w:top w:val="single" w:sz="6" w:space="0" w:color="auto"/>
            </w:tcBorders>
          </w:tcPr>
          <w:p w14:paraId="28BBAAB4"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rPr>
                <w:i/>
              </w:rPr>
              <w:t>9.0</w:t>
            </w:r>
          </w:p>
        </w:tc>
        <w:tc>
          <w:tcPr>
            <w:tcW w:w="794" w:type="dxa"/>
            <w:tcBorders>
              <w:top w:val="single" w:sz="6" w:space="0" w:color="auto"/>
            </w:tcBorders>
          </w:tcPr>
          <w:p w14:paraId="42907D07"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rPr>
                <w:i/>
              </w:rPr>
              <w:t>3.0</w:t>
            </w:r>
          </w:p>
        </w:tc>
        <w:tc>
          <w:tcPr>
            <w:tcW w:w="794" w:type="dxa"/>
            <w:tcBorders>
              <w:top w:val="single" w:sz="6" w:space="0" w:color="auto"/>
            </w:tcBorders>
          </w:tcPr>
          <w:p w14:paraId="3C1953E1"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rPr>
                <w:i/>
              </w:rPr>
              <w:t>0.7</w:t>
            </w:r>
          </w:p>
        </w:tc>
        <w:tc>
          <w:tcPr>
            <w:tcW w:w="794" w:type="dxa"/>
            <w:tcBorders>
              <w:top w:val="single" w:sz="6" w:space="0" w:color="auto"/>
            </w:tcBorders>
          </w:tcPr>
          <w:p w14:paraId="32B3AC84"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rPr>
                <w:i/>
              </w:rPr>
              <w:t>3.9</w:t>
            </w:r>
          </w:p>
        </w:tc>
        <w:tc>
          <w:tcPr>
            <w:tcW w:w="794" w:type="dxa"/>
            <w:tcBorders>
              <w:top w:val="single" w:sz="6" w:space="0" w:color="auto"/>
            </w:tcBorders>
          </w:tcPr>
          <w:p w14:paraId="31EE0C43"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rPr>
                <w:i/>
              </w:rPr>
              <w:t>4.1</w:t>
            </w:r>
          </w:p>
        </w:tc>
      </w:tr>
      <w:tr w:rsidR="00732BC0" w:rsidRPr="001213F7" w14:paraId="7D23818C" w14:textId="77777777">
        <w:trPr>
          <w:trHeight w:hRule="exact" w:val="113"/>
        </w:trPr>
        <w:tc>
          <w:tcPr>
            <w:cnfStyle w:val="001000000000" w:firstRow="0" w:lastRow="0" w:firstColumn="1" w:lastColumn="0" w:oddVBand="0" w:evenVBand="0" w:oddHBand="0" w:evenHBand="0" w:firstRowFirstColumn="0" w:firstRowLastColumn="0" w:lastRowFirstColumn="0" w:lastRowLastColumn="0"/>
            <w:tcW w:w="2946" w:type="dxa"/>
          </w:tcPr>
          <w:p w14:paraId="3AE105D9" w14:textId="77777777" w:rsidR="00732BC0" w:rsidRPr="001213F7" w:rsidRDefault="00732BC0"/>
        </w:tc>
        <w:tc>
          <w:tcPr>
            <w:tcW w:w="794" w:type="dxa"/>
          </w:tcPr>
          <w:p w14:paraId="65AA191E"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p>
        </w:tc>
        <w:tc>
          <w:tcPr>
            <w:tcW w:w="794" w:type="dxa"/>
          </w:tcPr>
          <w:p w14:paraId="49927215"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p>
        </w:tc>
        <w:tc>
          <w:tcPr>
            <w:tcW w:w="794" w:type="dxa"/>
          </w:tcPr>
          <w:p w14:paraId="122F75D6"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p>
        </w:tc>
        <w:tc>
          <w:tcPr>
            <w:tcW w:w="794" w:type="dxa"/>
          </w:tcPr>
          <w:p w14:paraId="41C83CED"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p>
        </w:tc>
        <w:tc>
          <w:tcPr>
            <w:tcW w:w="794" w:type="dxa"/>
          </w:tcPr>
          <w:p w14:paraId="39D6340D"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p>
        </w:tc>
        <w:tc>
          <w:tcPr>
            <w:tcW w:w="794" w:type="dxa"/>
          </w:tcPr>
          <w:p w14:paraId="6997BC66"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p>
        </w:tc>
      </w:tr>
      <w:tr w:rsidR="00732BC0" w:rsidRPr="001213F7" w14:paraId="7CF1FE41" w14:textId="77777777">
        <w:tc>
          <w:tcPr>
            <w:cnfStyle w:val="001000000000" w:firstRow="0" w:lastRow="0" w:firstColumn="1" w:lastColumn="0" w:oddVBand="0" w:evenVBand="0" w:oddHBand="0" w:evenHBand="0" w:firstRowFirstColumn="0" w:firstRowLastColumn="0" w:lastRowFirstColumn="0" w:lastRowLastColumn="0"/>
            <w:tcW w:w="2946" w:type="dxa"/>
            <w:tcBorders>
              <w:bottom w:val="single" w:sz="12" w:space="0" w:color="auto"/>
            </w:tcBorders>
          </w:tcPr>
          <w:p w14:paraId="562DD8A9" w14:textId="77777777" w:rsidR="00732BC0" w:rsidRPr="001213F7" w:rsidRDefault="00732BC0">
            <w:r w:rsidRPr="001213F7">
              <w:rPr>
                <w:b/>
              </w:rPr>
              <w:t>Net result from transactions – net operating balance</w:t>
            </w:r>
          </w:p>
        </w:tc>
        <w:tc>
          <w:tcPr>
            <w:tcW w:w="794" w:type="dxa"/>
            <w:tcBorders>
              <w:bottom w:val="single" w:sz="12" w:space="0" w:color="auto"/>
            </w:tcBorders>
          </w:tcPr>
          <w:p w14:paraId="37DDAE87"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rPr>
                <w:b/>
              </w:rPr>
              <w:t>(4 273)</w:t>
            </w:r>
          </w:p>
        </w:tc>
        <w:tc>
          <w:tcPr>
            <w:tcW w:w="794" w:type="dxa"/>
            <w:tcBorders>
              <w:bottom w:val="single" w:sz="12" w:space="0" w:color="auto"/>
            </w:tcBorders>
          </w:tcPr>
          <w:p w14:paraId="4E7D306F"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rPr>
                <w:b/>
              </w:rPr>
              <w:t>(3 351)</w:t>
            </w:r>
          </w:p>
        </w:tc>
        <w:tc>
          <w:tcPr>
            <w:tcW w:w="794" w:type="dxa"/>
            <w:tcBorders>
              <w:bottom w:val="single" w:sz="12" w:space="0" w:color="auto"/>
            </w:tcBorders>
          </w:tcPr>
          <w:p w14:paraId="33B7DF6D"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rPr>
                <w:b/>
              </w:rPr>
              <w:t>(2 856)</w:t>
            </w:r>
          </w:p>
        </w:tc>
        <w:tc>
          <w:tcPr>
            <w:tcW w:w="794" w:type="dxa"/>
            <w:tcBorders>
              <w:bottom w:val="single" w:sz="12" w:space="0" w:color="auto"/>
            </w:tcBorders>
          </w:tcPr>
          <w:p w14:paraId="30032EEB"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rPr>
                <w:b/>
              </w:rPr>
              <w:t>(1 760)</w:t>
            </w:r>
          </w:p>
        </w:tc>
        <w:tc>
          <w:tcPr>
            <w:tcW w:w="794" w:type="dxa"/>
            <w:tcBorders>
              <w:bottom w:val="single" w:sz="12" w:space="0" w:color="auto"/>
            </w:tcBorders>
          </w:tcPr>
          <w:p w14:paraId="052BAA71"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rPr>
                <w:b/>
              </w:rPr>
              <w:t>(1 985)</w:t>
            </w:r>
          </w:p>
        </w:tc>
        <w:tc>
          <w:tcPr>
            <w:tcW w:w="794" w:type="dxa"/>
            <w:tcBorders>
              <w:bottom w:val="single" w:sz="12" w:space="0" w:color="auto"/>
            </w:tcBorders>
          </w:tcPr>
          <w:p w14:paraId="773665F2"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rPr>
                <w:b/>
              </w:rPr>
              <w:t>(2 308)</w:t>
            </w:r>
          </w:p>
        </w:tc>
      </w:tr>
      <w:tr w:rsidR="00732BC0" w:rsidRPr="001213F7" w14:paraId="64E20C93" w14:textId="77777777">
        <w:tc>
          <w:tcPr>
            <w:cnfStyle w:val="001000000000" w:firstRow="0" w:lastRow="0" w:firstColumn="1" w:lastColumn="0" w:oddVBand="0" w:evenVBand="0" w:oddHBand="0" w:evenHBand="0" w:firstRowFirstColumn="0" w:firstRowLastColumn="0" w:lastRowFirstColumn="0" w:lastRowLastColumn="0"/>
            <w:tcW w:w="2946" w:type="dxa"/>
            <w:tcBorders>
              <w:top w:val="single" w:sz="0" w:space="0" w:color="auto"/>
              <w:bottom w:val="single" w:sz="6" w:space="0" w:color="auto"/>
            </w:tcBorders>
          </w:tcPr>
          <w:p w14:paraId="6AB401DD" w14:textId="77777777" w:rsidR="00732BC0" w:rsidRPr="001213F7" w:rsidRDefault="00732BC0">
            <w:r w:rsidRPr="001213F7">
              <w:t>Total other economic flows included in net result</w:t>
            </w:r>
          </w:p>
        </w:tc>
        <w:tc>
          <w:tcPr>
            <w:tcW w:w="794" w:type="dxa"/>
            <w:tcBorders>
              <w:top w:val="single" w:sz="0" w:space="0" w:color="auto"/>
              <w:bottom w:val="single" w:sz="6" w:space="0" w:color="auto"/>
            </w:tcBorders>
          </w:tcPr>
          <w:p w14:paraId="16B87E0A"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589</w:t>
            </w:r>
          </w:p>
        </w:tc>
        <w:tc>
          <w:tcPr>
            <w:tcW w:w="794" w:type="dxa"/>
            <w:tcBorders>
              <w:top w:val="single" w:sz="0" w:space="0" w:color="auto"/>
              <w:bottom w:val="single" w:sz="6" w:space="0" w:color="auto"/>
            </w:tcBorders>
          </w:tcPr>
          <w:p w14:paraId="3EC7F7AF"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(755)</w:t>
            </w:r>
          </w:p>
        </w:tc>
        <w:tc>
          <w:tcPr>
            <w:tcW w:w="794" w:type="dxa"/>
            <w:tcBorders>
              <w:top w:val="single" w:sz="0" w:space="0" w:color="auto"/>
              <w:bottom w:val="single" w:sz="6" w:space="0" w:color="auto"/>
            </w:tcBorders>
          </w:tcPr>
          <w:p w14:paraId="1875DB4E"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(98)</w:t>
            </w:r>
          </w:p>
        </w:tc>
        <w:tc>
          <w:tcPr>
            <w:tcW w:w="794" w:type="dxa"/>
            <w:tcBorders>
              <w:top w:val="single" w:sz="0" w:space="0" w:color="auto"/>
              <w:bottom w:val="single" w:sz="6" w:space="0" w:color="auto"/>
            </w:tcBorders>
          </w:tcPr>
          <w:p w14:paraId="7C6AF3EF"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186</w:t>
            </w:r>
          </w:p>
        </w:tc>
        <w:tc>
          <w:tcPr>
            <w:tcW w:w="794" w:type="dxa"/>
            <w:tcBorders>
              <w:top w:val="single" w:sz="0" w:space="0" w:color="auto"/>
              <w:bottom w:val="single" w:sz="6" w:space="0" w:color="auto"/>
            </w:tcBorders>
          </w:tcPr>
          <w:p w14:paraId="2E1D054C"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(60)</w:t>
            </w:r>
          </w:p>
        </w:tc>
        <w:tc>
          <w:tcPr>
            <w:tcW w:w="794" w:type="dxa"/>
            <w:tcBorders>
              <w:top w:val="single" w:sz="0" w:space="0" w:color="auto"/>
              <w:bottom w:val="single" w:sz="6" w:space="0" w:color="auto"/>
            </w:tcBorders>
          </w:tcPr>
          <w:p w14:paraId="2A60F69F"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(42)</w:t>
            </w:r>
          </w:p>
        </w:tc>
      </w:tr>
      <w:tr w:rsidR="00732BC0" w:rsidRPr="001213F7" w14:paraId="7388F568" w14:textId="77777777">
        <w:tc>
          <w:tcPr>
            <w:cnfStyle w:val="001000000000" w:firstRow="0" w:lastRow="0" w:firstColumn="1" w:lastColumn="0" w:oddVBand="0" w:evenVBand="0" w:oddHBand="0" w:evenHBand="0" w:firstRowFirstColumn="0" w:firstRowLastColumn="0" w:lastRowFirstColumn="0" w:lastRowLastColumn="0"/>
            <w:tcW w:w="2946" w:type="dxa"/>
            <w:tcBorders>
              <w:top w:val="single" w:sz="6" w:space="0" w:color="auto"/>
              <w:bottom w:val="single" w:sz="12" w:space="0" w:color="auto"/>
            </w:tcBorders>
          </w:tcPr>
          <w:p w14:paraId="4F0942EF" w14:textId="77777777" w:rsidR="00732BC0" w:rsidRPr="001213F7" w:rsidRDefault="00732BC0">
            <w:r w:rsidRPr="001213F7">
              <w:rPr>
                <w:b/>
              </w:rPr>
              <w:t>Net result</w:t>
            </w:r>
          </w:p>
        </w:tc>
        <w:tc>
          <w:tcPr>
            <w:tcW w:w="794" w:type="dxa"/>
            <w:tcBorders>
              <w:top w:val="single" w:sz="6" w:space="0" w:color="auto"/>
              <w:bottom w:val="single" w:sz="12" w:space="0" w:color="auto"/>
            </w:tcBorders>
          </w:tcPr>
          <w:p w14:paraId="3159BB5E"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rPr>
                <w:b/>
              </w:rPr>
              <w:t>(3 683)</w:t>
            </w:r>
          </w:p>
        </w:tc>
        <w:tc>
          <w:tcPr>
            <w:tcW w:w="794" w:type="dxa"/>
            <w:tcBorders>
              <w:top w:val="single" w:sz="6" w:space="0" w:color="auto"/>
              <w:bottom w:val="single" w:sz="12" w:space="0" w:color="auto"/>
            </w:tcBorders>
          </w:tcPr>
          <w:p w14:paraId="5A75D83E"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rPr>
                <w:b/>
              </w:rPr>
              <w:t>(4 105)</w:t>
            </w:r>
          </w:p>
        </w:tc>
        <w:tc>
          <w:tcPr>
            <w:tcW w:w="794" w:type="dxa"/>
            <w:tcBorders>
              <w:top w:val="single" w:sz="6" w:space="0" w:color="auto"/>
              <w:bottom w:val="single" w:sz="12" w:space="0" w:color="auto"/>
            </w:tcBorders>
          </w:tcPr>
          <w:p w14:paraId="75F5AD38"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rPr>
                <w:b/>
              </w:rPr>
              <w:t>(2 954)</w:t>
            </w:r>
          </w:p>
        </w:tc>
        <w:tc>
          <w:tcPr>
            <w:tcW w:w="794" w:type="dxa"/>
            <w:tcBorders>
              <w:top w:val="single" w:sz="6" w:space="0" w:color="auto"/>
              <w:bottom w:val="single" w:sz="12" w:space="0" w:color="auto"/>
            </w:tcBorders>
          </w:tcPr>
          <w:p w14:paraId="6D03305B"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rPr>
                <w:b/>
              </w:rPr>
              <w:t>(1 574)</w:t>
            </w:r>
          </w:p>
        </w:tc>
        <w:tc>
          <w:tcPr>
            <w:tcW w:w="794" w:type="dxa"/>
            <w:tcBorders>
              <w:top w:val="single" w:sz="6" w:space="0" w:color="auto"/>
              <w:bottom w:val="single" w:sz="12" w:space="0" w:color="auto"/>
            </w:tcBorders>
          </w:tcPr>
          <w:p w14:paraId="2E630C5E"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rPr>
                <w:b/>
              </w:rPr>
              <w:t>(2 046)</w:t>
            </w:r>
          </w:p>
        </w:tc>
        <w:tc>
          <w:tcPr>
            <w:tcW w:w="794" w:type="dxa"/>
            <w:tcBorders>
              <w:top w:val="single" w:sz="6" w:space="0" w:color="auto"/>
              <w:bottom w:val="single" w:sz="12" w:space="0" w:color="auto"/>
            </w:tcBorders>
          </w:tcPr>
          <w:p w14:paraId="28DE4EFD"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rPr>
                <w:b/>
              </w:rPr>
              <w:t>(2 351)</w:t>
            </w:r>
          </w:p>
        </w:tc>
      </w:tr>
    </w:tbl>
    <w:p w14:paraId="683B8B25" w14:textId="77777777" w:rsidR="00732BC0" w:rsidRPr="001213F7" w:rsidRDefault="00732BC0">
      <w:pPr>
        <w:pStyle w:val="Note"/>
        <w:ind w:left="0" w:firstLine="0"/>
      </w:pPr>
      <w:r w:rsidRPr="001213F7">
        <w:t>Note:</w:t>
      </w:r>
    </w:p>
    <w:p w14:paraId="4F55E7BA" w14:textId="77777777" w:rsidR="00732BC0" w:rsidRPr="001213F7" w:rsidRDefault="00732BC0">
      <w:pPr>
        <w:pStyle w:val="Note"/>
      </w:pPr>
      <w:r w:rsidRPr="001213F7">
        <w:t xml:space="preserve">(a) </w:t>
      </w:r>
      <w:r w:rsidRPr="001213F7">
        <w:tab/>
        <w:t xml:space="preserve">This is a summary operating statement. The comprehensive operating statement is presented in Budget Paper No. 5, Chapter 2 </w:t>
      </w:r>
      <w:r w:rsidRPr="001213F7">
        <w:rPr>
          <w:i w:val="0"/>
        </w:rPr>
        <w:t>Supplementary uniform presentation framework tables</w:t>
      </w:r>
      <w:r w:rsidRPr="001213F7">
        <w:t xml:space="preserve">. </w:t>
      </w:r>
    </w:p>
    <w:p w14:paraId="2DA7A9E1" w14:textId="77777777" w:rsidR="00732BC0" w:rsidRPr="001213F7" w:rsidRDefault="00732BC0">
      <w:pPr>
        <w:pStyle w:val="Heading2"/>
        <w:spacing w:before="180"/>
      </w:pPr>
      <w:r w:rsidRPr="001213F7">
        <w:lastRenderedPageBreak/>
        <w:t>Application of cash resources</w:t>
      </w:r>
    </w:p>
    <w:p w14:paraId="142CF861" w14:textId="77777777" w:rsidR="00732BC0" w:rsidRPr="001213F7" w:rsidRDefault="00732BC0">
      <w:pPr>
        <w:keepNext/>
      </w:pPr>
      <w:r w:rsidRPr="001213F7">
        <w:t>Table 5.4 shows the net cash flows from operating activities of the NFPS is projected to improve slightly from a surplus of $7.6 </w:t>
      </w:r>
      <w:r w:rsidRPr="001213F7">
        <w:rPr>
          <w:rFonts w:hint="eastAsia"/>
        </w:rPr>
        <w:t>billion</w:t>
      </w:r>
      <w:r w:rsidRPr="001213F7">
        <w:t xml:space="preserve"> in 2026-27 to a surplus of $8.0 </w:t>
      </w:r>
      <w:r w:rsidRPr="001213F7">
        <w:rPr>
          <w:rFonts w:hint="eastAsia"/>
        </w:rPr>
        <w:t>billion</w:t>
      </w:r>
      <w:r w:rsidRPr="001213F7">
        <w:t xml:space="preserve"> by 2029</w:t>
      </w:r>
      <w:r w:rsidRPr="001213F7">
        <w:noBreakHyphen/>
        <w:t>30. The surplus net cash flows from operating activities funds 31 </w:t>
      </w:r>
      <w:r w:rsidRPr="001213F7">
        <w:rPr>
          <w:rFonts w:hint="eastAsia"/>
        </w:rPr>
        <w:t>per</w:t>
      </w:r>
      <w:r w:rsidRPr="001213F7">
        <w:t> </w:t>
      </w:r>
      <w:r w:rsidRPr="001213F7">
        <w:rPr>
          <w:rFonts w:hint="eastAsia"/>
        </w:rPr>
        <w:t>cent</w:t>
      </w:r>
      <w:r w:rsidRPr="001213F7">
        <w:t xml:space="preserve"> of the projected net investment in fixed assets in 2026-27, with this expected to increase to 41 </w:t>
      </w:r>
      <w:r w:rsidRPr="001213F7">
        <w:rPr>
          <w:rFonts w:hint="eastAsia"/>
        </w:rPr>
        <w:t>per</w:t>
      </w:r>
      <w:r w:rsidRPr="001213F7">
        <w:t> </w:t>
      </w:r>
      <w:r w:rsidRPr="001213F7">
        <w:rPr>
          <w:rFonts w:hint="eastAsia"/>
        </w:rPr>
        <w:t>cent</w:t>
      </w:r>
      <w:r w:rsidRPr="001213F7">
        <w:t xml:space="preserve"> by</w:t>
      </w:r>
      <w:r w:rsidRPr="001213F7">
        <w:rPr>
          <w:rFonts w:hint="eastAsia"/>
        </w:rPr>
        <w:t> </w:t>
      </w:r>
      <w:r w:rsidRPr="001213F7">
        <w:t xml:space="preserve">2029-30. The remaining investment in fixed assets is largely funded by borrowings. </w:t>
      </w:r>
    </w:p>
    <w:p w14:paraId="1C415A56" w14:textId="77777777" w:rsidR="00732BC0" w:rsidRPr="001213F7" w:rsidRDefault="00732BC0">
      <w:pPr>
        <w:pStyle w:val="TableHeading"/>
      </w:pPr>
      <w:r w:rsidRPr="001213F7">
        <w:t>Table 5.4:</w:t>
      </w:r>
      <w:r w:rsidRPr="001213F7">
        <w:tab/>
        <w:t xml:space="preserve">Application of cash resources for the non-financial public sector </w:t>
      </w:r>
      <w:r w:rsidRPr="001213F7">
        <w:tab/>
        <w:t>($ million)</w:t>
      </w:r>
    </w:p>
    <w:tbl>
      <w:tblPr>
        <w:tblStyle w:val="DTFTableNumeric"/>
        <w:tblW w:w="7710" w:type="dxa"/>
        <w:tblLayout w:type="fixed"/>
        <w:tblLook w:val="06A0" w:firstRow="1" w:lastRow="0" w:firstColumn="1" w:lastColumn="0" w:noHBand="1" w:noVBand="1"/>
        <w:tblDescription w:val="Type:DtfTable|Workbook:https://vicgov.sharepoint.com/sites/VG002735/BP2/Spreadsheets/Chapter%205%20-%20CRA_FAL/SRIMS_BP2_Chap5_NFPS.xlsx|Table:AppCash_NFPS|TableGroup:Chapter 5"/>
      </w:tblPr>
      <w:tblGrid>
        <w:gridCol w:w="2946"/>
        <w:gridCol w:w="794"/>
        <w:gridCol w:w="794"/>
        <w:gridCol w:w="794"/>
        <w:gridCol w:w="794"/>
        <w:gridCol w:w="794"/>
        <w:gridCol w:w="794"/>
      </w:tblGrid>
      <w:tr w:rsidR="00732BC0" w:rsidRPr="001213F7" w14:paraId="1271C65B"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946" w:type="dxa"/>
          </w:tcPr>
          <w:p w14:paraId="12335875" w14:textId="77777777" w:rsidR="00732BC0" w:rsidRPr="001213F7" w:rsidRDefault="00732BC0">
            <w:pPr>
              <w:keepNext/>
            </w:pPr>
          </w:p>
        </w:tc>
        <w:tc>
          <w:tcPr>
            <w:tcW w:w="794" w:type="dxa"/>
          </w:tcPr>
          <w:p w14:paraId="56D5315B" w14:textId="77777777" w:rsidR="00732BC0" w:rsidRPr="001213F7" w:rsidRDefault="00732BC0">
            <w:pPr>
              <w:keepNext/>
              <w:cnfStyle w:val="100000000000" w:firstRow="1" w:lastRow="0" w:firstColumn="0" w:lastColumn="0" w:oddVBand="0" w:evenVBand="0" w:oddHBand="0" w:evenHBand="0" w:firstRowFirstColumn="0" w:firstRowLastColumn="0" w:lastRowFirstColumn="0" w:lastRowLastColumn="0"/>
            </w:pPr>
            <w:r w:rsidRPr="001213F7">
              <w:t>2024</w:t>
            </w:r>
            <w:r w:rsidRPr="001213F7">
              <w:noBreakHyphen/>
              <w:t>25</w:t>
            </w:r>
          </w:p>
        </w:tc>
        <w:tc>
          <w:tcPr>
            <w:tcW w:w="794" w:type="dxa"/>
          </w:tcPr>
          <w:p w14:paraId="4BD35A62" w14:textId="77777777" w:rsidR="00732BC0" w:rsidRPr="001213F7" w:rsidRDefault="00732BC0">
            <w:pPr>
              <w:keepNext/>
              <w:cnfStyle w:val="100000000000" w:firstRow="1" w:lastRow="0" w:firstColumn="0" w:lastColumn="0" w:oddVBand="0" w:evenVBand="0" w:oddHBand="0" w:evenHBand="0" w:firstRowFirstColumn="0" w:firstRowLastColumn="0" w:lastRowFirstColumn="0" w:lastRowLastColumn="0"/>
            </w:pPr>
            <w:r w:rsidRPr="001213F7">
              <w:t>2025</w:t>
            </w:r>
            <w:r w:rsidRPr="001213F7">
              <w:noBreakHyphen/>
              <w:t>26</w:t>
            </w:r>
          </w:p>
        </w:tc>
        <w:tc>
          <w:tcPr>
            <w:tcW w:w="794" w:type="dxa"/>
          </w:tcPr>
          <w:p w14:paraId="063F31C7" w14:textId="77777777" w:rsidR="00732BC0" w:rsidRPr="001213F7" w:rsidRDefault="00732BC0">
            <w:pPr>
              <w:keepNext/>
              <w:cnfStyle w:val="100000000000" w:firstRow="1" w:lastRow="0" w:firstColumn="0" w:lastColumn="0" w:oddVBand="0" w:evenVBand="0" w:oddHBand="0" w:evenHBand="0" w:firstRowFirstColumn="0" w:firstRowLastColumn="0" w:lastRowFirstColumn="0" w:lastRowLastColumn="0"/>
            </w:pPr>
            <w:r w:rsidRPr="001213F7">
              <w:t>2026</w:t>
            </w:r>
            <w:r w:rsidRPr="001213F7">
              <w:noBreakHyphen/>
              <w:t>27</w:t>
            </w:r>
          </w:p>
        </w:tc>
        <w:tc>
          <w:tcPr>
            <w:tcW w:w="794" w:type="dxa"/>
          </w:tcPr>
          <w:p w14:paraId="41656068" w14:textId="77777777" w:rsidR="00732BC0" w:rsidRPr="001213F7" w:rsidRDefault="00732BC0">
            <w:pPr>
              <w:keepNext/>
              <w:cnfStyle w:val="100000000000" w:firstRow="1" w:lastRow="0" w:firstColumn="0" w:lastColumn="0" w:oddVBand="0" w:evenVBand="0" w:oddHBand="0" w:evenHBand="0" w:firstRowFirstColumn="0" w:firstRowLastColumn="0" w:lastRowFirstColumn="0" w:lastRowLastColumn="0"/>
            </w:pPr>
            <w:r w:rsidRPr="001213F7">
              <w:t>2027</w:t>
            </w:r>
            <w:r w:rsidRPr="001213F7">
              <w:noBreakHyphen/>
              <w:t>28</w:t>
            </w:r>
          </w:p>
        </w:tc>
        <w:tc>
          <w:tcPr>
            <w:tcW w:w="794" w:type="dxa"/>
          </w:tcPr>
          <w:p w14:paraId="693049B3" w14:textId="77777777" w:rsidR="00732BC0" w:rsidRPr="001213F7" w:rsidRDefault="00732BC0">
            <w:pPr>
              <w:keepNext/>
              <w:cnfStyle w:val="100000000000" w:firstRow="1" w:lastRow="0" w:firstColumn="0" w:lastColumn="0" w:oddVBand="0" w:evenVBand="0" w:oddHBand="0" w:evenHBand="0" w:firstRowFirstColumn="0" w:firstRowLastColumn="0" w:lastRowFirstColumn="0" w:lastRowLastColumn="0"/>
            </w:pPr>
            <w:r w:rsidRPr="001213F7">
              <w:t>2028</w:t>
            </w:r>
            <w:r w:rsidRPr="001213F7">
              <w:noBreakHyphen/>
              <w:t>29</w:t>
            </w:r>
          </w:p>
        </w:tc>
        <w:tc>
          <w:tcPr>
            <w:tcW w:w="794" w:type="dxa"/>
          </w:tcPr>
          <w:p w14:paraId="7C8842A6" w14:textId="77777777" w:rsidR="00732BC0" w:rsidRPr="001213F7" w:rsidRDefault="00732BC0">
            <w:pPr>
              <w:keepNext/>
              <w:cnfStyle w:val="100000000000" w:firstRow="1" w:lastRow="0" w:firstColumn="0" w:lastColumn="0" w:oddVBand="0" w:evenVBand="0" w:oddHBand="0" w:evenHBand="0" w:firstRowFirstColumn="0" w:firstRowLastColumn="0" w:lastRowFirstColumn="0" w:lastRowLastColumn="0"/>
            </w:pPr>
            <w:r w:rsidRPr="001213F7">
              <w:t>2029</w:t>
            </w:r>
            <w:r w:rsidRPr="001213F7">
              <w:noBreakHyphen/>
              <w:t>30</w:t>
            </w:r>
          </w:p>
        </w:tc>
      </w:tr>
      <w:tr w:rsidR="00732BC0" w:rsidRPr="001213F7" w14:paraId="49B6C26A"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946" w:type="dxa"/>
          </w:tcPr>
          <w:p w14:paraId="31D341D7" w14:textId="77777777" w:rsidR="00732BC0" w:rsidRPr="001213F7" w:rsidRDefault="00732BC0">
            <w:pPr>
              <w:keepNext/>
            </w:pPr>
          </w:p>
        </w:tc>
        <w:tc>
          <w:tcPr>
            <w:tcW w:w="794" w:type="dxa"/>
          </w:tcPr>
          <w:p w14:paraId="1091921A" w14:textId="77777777" w:rsidR="00732BC0" w:rsidRPr="001213F7" w:rsidRDefault="00732BC0">
            <w:pPr>
              <w:keepNext/>
              <w:cnfStyle w:val="100000000000" w:firstRow="1" w:lastRow="0" w:firstColumn="0" w:lastColumn="0" w:oddVBand="0" w:evenVBand="0" w:oddHBand="0" w:evenHBand="0" w:firstRowFirstColumn="0" w:firstRowLastColumn="0" w:lastRowFirstColumn="0" w:lastRowLastColumn="0"/>
            </w:pPr>
            <w:r w:rsidRPr="001213F7">
              <w:t xml:space="preserve"> actual</w:t>
            </w:r>
          </w:p>
        </w:tc>
        <w:tc>
          <w:tcPr>
            <w:tcW w:w="794" w:type="dxa"/>
          </w:tcPr>
          <w:p w14:paraId="3B9E9D61" w14:textId="77777777" w:rsidR="00732BC0" w:rsidRPr="001213F7" w:rsidRDefault="00732BC0">
            <w:pPr>
              <w:keepNext/>
              <w:cnfStyle w:val="100000000000" w:firstRow="1" w:lastRow="0" w:firstColumn="0" w:lastColumn="0" w:oddVBand="0" w:evenVBand="0" w:oddHBand="0" w:evenHBand="0" w:firstRowFirstColumn="0" w:firstRowLastColumn="0" w:lastRowFirstColumn="0" w:lastRowLastColumn="0"/>
            </w:pPr>
            <w:r w:rsidRPr="001213F7">
              <w:t xml:space="preserve"> revised</w:t>
            </w:r>
          </w:p>
        </w:tc>
        <w:tc>
          <w:tcPr>
            <w:tcW w:w="794" w:type="dxa"/>
          </w:tcPr>
          <w:p w14:paraId="4F0852FA" w14:textId="77777777" w:rsidR="00732BC0" w:rsidRPr="001213F7" w:rsidRDefault="00732BC0">
            <w:pPr>
              <w:keepNext/>
              <w:cnfStyle w:val="100000000000" w:firstRow="1" w:lastRow="0" w:firstColumn="0" w:lastColumn="0" w:oddVBand="0" w:evenVBand="0" w:oddHBand="0" w:evenHBand="0" w:firstRowFirstColumn="0" w:firstRowLastColumn="0" w:lastRowFirstColumn="0" w:lastRowLastColumn="0"/>
            </w:pPr>
            <w:r w:rsidRPr="001213F7">
              <w:t xml:space="preserve"> budget</w:t>
            </w:r>
          </w:p>
        </w:tc>
        <w:tc>
          <w:tcPr>
            <w:tcW w:w="794" w:type="dxa"/>
          </w:tcPr>
          <w:p w14:paraId="0D641844" w14:textId="77777777" w:rsidR="00732BC0" w:rsidRPr="001213F7" w:rsidRDefault="00732BC0">
            <w:pPr>
              <w:keepNext/>
              <w:cnfStyle w:val="100000000000" w:firstRow="1" w:lastRow="0" w:firstColumn="0" w:lastColumn="0" w:oddVBand="0" w:evenVBand="0" w:oddHBand="0" w:evenHBand="0" w:firstRowFirstColumn="0" w:firstRowLastColumn="0" w:lastRowFirstColumn="0" w:lastRowLastColumn="0"/>
            </w:pPr>
            <w:r w:rsidRPr="001213F7">
              <w:t xml:space="preserve"> estimate</w:t>
            </w:r>
          </w:p>
        </w:tc>
        <w:tc>
          <w:tcPr>
            <w:tcW w:w="794" w:type="dxa"/>
          </w:tcPr>
          <w:p w14:paraId="54039B34" w14:textId="77777777" w:rsidR="00732BC0" w:rsidRPr="001213F7" w:rsidRDefault="00732BC0">
            <w:pPr>
              <w:keepNext/>
              <w:cnfStyle w:val="100000000000" w:firstRow="1" w:lastRow="0" w:firstColumn="0" w:lastColumn="0" w:oddVBand="0" w:evenVBand="0" w:oddHBand="0" w:evenHBand="0" w:firstRowFirstColumn="0" w:firstRowLastColumn="0" w:lastRowFirstColumn="0" w:lastRowLastColumn="0"/>
            </w:pPr>
            <w:r w:rsidRPr="001213F7">
              <w:t xml:space="preserve"> estimate</w:t>
            </w:r>
          </w:p>
        </w:tc>
        <w:tc>
          <w:tcPr>
            <w:tcW w:w="794" w:type="dxa"/>
          </w:tcPr>
          <w:p w14:paraId="29660411" w14:textId="77777777" w:rsidR="00732BC0" w:rsidRPr="001213F7" w:rsidRDefault="00732BC0">
            <w:pPr>
              <w:keepNext/>
              <w:cnfStyle w:val="100000000000" w:firstRow="1" w:lastRow="0" w:firstColumn="0" w:lastColumn="0" w:oddVBand="0" w:evenVBand="0" w:oddHBand="0" w:evenHBand="0" w:firstRowFirstColumn="0" w:firstRowLastColumn="0" w:lastRowFirstColumn="0" w:lastRowLastColumn="0"/>
            </w:pPr>
            <w:r w:rsidRPr="001213F7">
              <w:t xml:space="preserve"> estimate</w:t>
            </w:r>
          </w:p>
        </w:tc>
      </w:tr>
      <w:tr w:rsidR="00732BC0" w:rsidRPr="001213F7" w14:paraId="5541151B" w14:textId="77777777">
        <w:tc>
          <w:tcPr>
            <w:cnfStyle w:val="001000000000" w:firstRow="0" w:lastRow="0" w:firstColumn="1" w:lastColumn="0" w:oddVBand="0" w:evenVBand="0" w:oddHBand="0" w:evenHBand="0" w:firstRowFirstColumn="0" w:firstRowLastColumn="0" w:lastRowFirstColumn="0" w:lastRowLastColumn="0"/>
            <w:tcW w:w="2946" w:type="dxa"/>
          </w:tcPr>
          <w:p w14:paraId="034D25DE" w14:textId="77777777" w:rsidR="00732BC0" w:rsidRPr="001213F7" w:rsidRDefault="00732BC0">
            <w:r w:rsidRPr="001213F7">
              <w:t>Net result from transactions</w:t>
            </w:r>
          </w:p>
        </w:tc>
        <w:tc>
          <w:tcPr>
            <w:tcW w:w="794" w:type="dxa"/>
          </w:tcPr>
          <w:p w14:paraId="41B26275"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(4 273)</w:t>
            </w:r>
          </w:p>
        </w:tc>
        <w:tc>
          <w:tcPr>
            <w:tcW w:w="794" w:type="dxa"/>
          </w:tcPr>
          <w:p w14:paraId="7377EDCE"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(3 351)</w:t>
            </w:r>
          </w:p>
        </w:tc>
        <w:tc>
          <w:tcPr>
            <w:tcW w:w="794" w:type="dxa"/>
          </w:tcPr>
          <w:p w14:paraId="5AEAFDBB"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(2 856)</w:t>
            </w:r>
          </w:p>
        </w:tc>
        <w:tc>
          <w:tcPr>
            <w:tcW w:w="794" w:type="dxa"/>
          </w:tcPr>
          <w:p w14:paraId="0414DF8E"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(1 760)</w:t>
            </w:r>
          </w:p>
        </w:tc>
        <w:tc>
          <w:tcPr>
            <w:tcW w:w="794" w:type="dxa"/>
          </w:tcPr>
          <w:p w14:paraId="2FD0FE4A"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(1 985)</w:t>
            </w:r>
          </w:p>
        </w:tc>
        <w:tc>
          <w:tcPr>
            <w:tcW w:w="794" w:type="dxa"/>
          </w:tcPr>
          <w:p w14:paraId="7FB81D18"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(2 308)</w:t>
            </w:r>
          </w:p>
        </w:tc>
      </w:tr>
      <w:tr w:rsidR="00732BC0" w:rsidRPr="001213F7" w14:paraId="199EBA6C" w14:textId="77777777">
        <w:tc>
          <w:tcPr>
            <w:cnfStyle w:val="001000000000" w:firstRow="0" w:lastRow="0" w:firstColumn="1" w:lastColumn="0" w:oddVBand="0" w:evenVBand="0" w:oddHBand="0" w:evenHBand="0" w:firstRowFirstColumn="0" w:firstRowLastColumn="0" w:lastRowFirstColumn="0" w:lastRowLastColumn="0"/>
            <w:tcW w:w="2946" w:type="dxa"/>
            <w:tcBorders>
              <w:bottom w:val="single" w:sz="6" w:space="0" w:color="auto"/>
            </w:tcBorders>
          </w:tcPr>
          <w:p w14:paraId="3CD3A285" w14:textId="77777777" w:rsidR="00732BC0" w:rsidRPr="001213F7" w:rsidRDefault="00732BC0">
            <w:r w:rsidRPr="001213F7">
              <w:t>Add back: operating cash flows not recognised in the net operating balance</w:t>
            </w:r>
            <w:r w:rsidRPr="001213F7">
              <w:rPr>
                <w:vertAlign w:val="superscript"/>
              </w:rPr>
              <w:t xml:space="preserve"> (a)</w:t>
            </w:r>
          </w:p>
        </w:tc>
        <w:tc>
          <w:tcPr>
            <w:tcW w:w="794" w:type="dxa"/>
            <w:tcBorders>
              <w:bottom w:val="single" w:sz="6" w:space="0" w:color="auto"/>
            </w:tcBorders>
          </w:tcPr>
          <w:p w14:paraId="1E0EAFDF"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8 972</w:t>
            </w:r>
          </w:p>
        </w:tc>
        <w:tc>
          <w:tcPr>
            <w:tcW w:w="794" w:type="dxa"/>
            <w:tcBorders>
              <w:bottom w:val="single" w:sz="6" w:space="0" w:color="auto"/>
            </w:tcBorders>
          </w:tcPr>
          <w:p w14:paraId="347DB28A"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10 651</w:t>
            </w:r>
          </w:p>
        </w:tc>
        <w:tc>
          <w:tcPr>
            <w:tcW w:w="794" w:type="dxa"/>
            <w:tcBorders>
              <w:bottom w:val="single" w:sz="6" w:space="0" w:color="auto"/>
            </w:tcBorders>
          </w:tcPr>
          <w:p w14:paraId="55371845"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10 426</w:t>
            </w:r>
          </w:p>
        </w:tc>
        <w:tc>
          <w:tcPr>
            <w:tcW w:w="794" w:type="dxa"/>
            <w:tcBorders>
              <w:bottom w:val="single" w:sz="6" w:space="0" w:color="auto"/>
            </w:tcBorders>
          </w:tcPr>
          <w:p w14:paraId="3DAAFB7D"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9 947</w:t>
            </w:r>
          </w:p>
        </w:tc>
        <w:tc>
          <w:tcPr>
            <w:tcW w:w="794" w:type="dxa"/>
            <w:tcBorders>
              <w:bottom w:val="single" w:sz="6" w:space="0" w:color="auto"/>
            </w:tcBorders>
          </w:tcPr>
          <w:p w14:paraId="637EBDE1"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9 879</w:t>
            </w:r>
          </w:p>
        </w:tc>
        <w:tc>
          <w:tcPr>
            <w:tcW w:w="794" w:type="dxa"/>
            <w:tcBorders>
              <w:bottom w:val="single" w:sz="6" w:space="0" w:color="auto"/>
            </w:tcBorders>
          </w:tcPr>
          <w:p w14:paraId="104747EB"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10 297</w:t>
            </w:r>
          </w:p>
        </w:tc>
      </w:tr>
      <w:tr w:rsidR="00732BC0" w:rsidRPr="001213F7" w14:paraId="40F3CB24" w14:textId="77777777">
        <w:tc>
          <w:tcPr>
            <w:cnfStyle w:val="001000000000" w:firstRow="0" w:lastRow="0" w:firstColumn="1" w:lastColumn="0" w:oddVBand="0" w:evenVBand="0" w:oddHBand="0" w:evenHBand="0" w:firstRowFirstColumn="0" w:firstRowLastColumn="0" w:lastRowFirstColumn="0" w:lastRowLastColumn="0"/>
            <w:tcW w:w="2946" w:type="dxa"/>
            <w:tcBorders>
              <w:top w:val="single" w:sz="6" w:space="0" w:color="auto"/>
              <w:bottom w:val="single" w:sz="6" w:space="0" w:color="auto"/>
            </w:tcBorders>
          </w:tcPr>
          <w:p w14:paraId="79626F9D" w14:textId="77777777" w:rsidR="00732BC0" w:rsidRPr="001213F7" w:rsidRDefault="00732BC0">
            <w:r w:rsidRPr="001213F7">
              <w:rPr>
                <w:b/>
              </w:rPr>
              <w:t>Net cash flows from operating activities</w:t>
            </w:r>
          </w:p>
        </w:tc>
        <w:tc>
          <w:tcPr>
            <w:tcW w:w="794" w:type="dxa"/>
            <w:tcBorders>
              <w:top w:val="single" w:sz="6" w:space="0" w:color="auto"/>
              <w:bottom w:val="single" w:sz="6" w:space="0" w:color="auto"/>
            </w:tcBorders>
          </w:tcPr>
          <w:p w14:paraId="5060C495"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rPr>
                <w:b/>
              </w:rPr>
              <w:t>4 699</w:t>
            </w:r>
          </w:p>
        </w:tc>
        <w:tc>
          <w:tcPr>
            <w:tcW w:w="794" w:type="dxa"/>
            <w:tcBorders>
              <w:top w:val="single" w:sz="6" w:space="0" w:color="auto"/>
              <w:bottom w:val="single" w:sz="6" w:space="0" w:color="auto"/>
            </w:tcBorders>
          </w:tcPr>
          <w:p w14:paraId="2B626D5C"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rPr>
                <w:b/>
              </w:rPr>
              <w:t>7 300</w:t>
            </w:r>
          </w:p>
        </w:tc>
        <w:tc>
          <w:tcPr>
            <w:tcW w:w="794" w:type="dxa"/>
            <w:tcBorders>
              <w:top w:val="single" w:sz="6" w:space="0" w:color="auto"/>
              <w:bottom w:val="single" w:sz="6" w:space="0" w:color="auto"/>
            </w:tcBorders>
          </w:tcPr>
          <w:p w14:paraId="7A0A251B"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rPr>
                <w:b/>
              </w:rPr>
              <w:t>7 570</w:t>
            </w:r>
          </w:p>
        </w:tc>
        <w:tc>
          <w:tcPr>
            <w:tcW w:w="794" w:type="dxa"/>
            <w:tcBorders>
              <w:top w:val="single" w:sz="6" w:space="0" w:color="auto"/>
              <w:bottom w:val="single" w:sz="6" w:space="0" w:color="auto"/>
            </w:tcBorders>
          </w:tcPr>
          <w:p w14:paraId="723E6FF8"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rPr>
                <w:b/>
              </w:rPr>
              <w:t>8 188</w:t>
            </w:r>
          </w:p>
        </w:tc>
        <w:tc>
          <w:tcPr>
            <w:tcW w:w="794" w:type="dxa"/>
            <w:tcBorders>
              <w:top w:val="single" w:sz="6" w:space="0" w:color="auto"/>
              <w:bottom w:val="single" w:sz="6" w:space="0" w:color="auto"/>
            </w:tcBorders>
          </w:tcPr>
          <w:p w14:paraId="605A8456"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rPr>
                <w:b/>
              </w:rPr>
              <w:t>7 894</w:t>
            </w:r>
          </w:p>
        </w:tc>
        <w:tc>
          <w:tcPr>
            <w:tcW w:w="794" w:type="dxa"/>
            <w:tcBorders>
              <w:top w:val="single" w:sz="6" w:space="0" w:color="auto"/>
              <w:bottom w:val="single" w:sz="6" w:space="0" w:color="auto"/>
            </w:tcBorders>
          </w:tcPr>
          <w:p w14:paraId="0B93D234"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rPr>
                <w:b/>
              </w:rPr>
              <w:t>7 989</w:t>
            </w:r>
          </w:p>
        </w:tc>
      </w:tr>
      <w:tr w:rsidR="00732BC0" w:rsidRPr="001213F7" w14:paraId="08864E11" w14:textId="77777777">
        <w:tc>
          <w:tcPr>
            <w:cnfStyle w:val="001000000000" w:firstRow="0" w:lastRow="0" w:firstColumn="1" w:lastColumn="0" w:oddVBand="0" w:evenVBand="0" w:oddHBand="0" w:evenHBand="0" w:firstRowFirstColumn="0" w:firstRowLastColumn="0" w:lastRowFirstColumn="0" w:lastRowLastColumn="0"/>
            <w:tcW w:w="2946" w:type="dxa"/>
            <w:tcBorders>
              <w:top w:val="single" w:sz="6" w:space="0" w:color="auto"/>
              <w:bottom w:val="single" w:sz="6" w:space="0" w:color="auto"/>
            </w:tcBorders>
          </w:tcPr>
          <w:p w14:paraId="63C4EB09" w14:textId="77777777" w:rsidR="00732BC0" w:rsidRPr="001213F7" w:rsidRDefault="00732BC0">
            <w:r w:rsidRPr="001213F7">
              <w:t>Less: Total net investment in fixed assets </w:t>
            </w:r>
            <w:r w:rsidRPr="001213F7">
              <w:rPr>
                <w:vertAlign w:val="superscript"/>
              </w:rPr>
              <w:t>(b)</w:t>
            </w:r>
          </w:p>
        </w:tc>
        <w:tc>
          <w:tcPr>
            <w:tcW w:w="794" w:type="dxa"/>
            <w:tcBorders>
              <w:top w:val="single" w:sz="6" w:space="0" w:color="auto"/>
              <w:bottom w:val="single" w:sz="6" w:space="0" w:color="auto"/>
            </w:tcBorders>
          </w:tcPr>
          <w:p w14:paraId="147992A3"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22 126</w:t>
            </w:r>
          </w:p>
        </w:tc>
        <w:tc>
          <w:tcPr>
            <w:tcW w:w="794" w:type="dxa"/>
            <w:tcBorders>
              <w:top w:val="single" w:sz="6" w:space="0" w:color="auto"/>
              <w:bottom w:val="single" w:sz="6" w:space="0" w:color="auto"/>
            </w:tcBorders>
          </w:tcPr>
          <w:p w14:paraId="16FB2CF1"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23 553</w:t>
            </w:r>
          </w:p>
        </w:tc>
        <w:tc>
          <w:tcPr>
            <w:tcW w:w="794" w:type="dxa"/>
            <w:tcBorders>
              <w:top w:val="single" w:sz="6" w:space="0" w:color="auto"/>
              <w:bottom w:val="single" w:sz="6" w:space="0" w:color="auto"/>
            </w:tcBorders>
          </w:tcPr>
          <w:p w14:paraId="3CF7D618"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24 395</w:t>
            </w:r>
          </w:p>
        </w:tc>
        <w:tc>
          <w:tcPr>
            <w:tcW w:w="794" w:type="dxa"/>
            <w:tcBorders>
              <w:top w:val="single" w:sz="6" w:space="0" w:color="auto"/>
              <w:bottom w:val="single" w:sz="6" w:space="0" w:color="auto"/>
            </w:tcBorders>
          </w:tcPr>
          <w:p w14:paraId="0ADD2792"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18 724</w:t>
            </w:r>
          </w:p>
        </w:tc>
        <w:tc>
          <w:tcPr>
            <w:tcW w:w="794" w:type="dxa"/>
            <w:tcBorders>
              <w:top w:val="single" w:sz="6" w:space="0" w:color="auto"/>
              <w:bottom w:val="single" w:sz="6" w:space="0" w:color="auto"/>
            </w:tcBorders>
          </w:tcPr>
          <w:p w14:paraId="6143BF23"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19 785</w:t>
            </w:r>
          </w:p>
        </w:tc>
        <w:tc>
          <w:tcPr>
            <w:tcW w:w="794" w:type="dxa"/>
            <w:tcBorders>
              <w:top w:val="single" w:sz="6" w:space="0" w:color="auto"/>
              <w:bottom w:val="single" w:sz="6" w:space="0" w:color="auto"/>
            </w:tcBorders>
          </w:tcPr>
          <w:p w14:paraId="7F089D45"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19 702</w:t>
            </w:r>
          </w:p>
        </w:tc>
      </w:tr>
      <w:tr w:rsidR="00732BC0" w:rsidRPr="001213F7" w14:paraId="4CDCD0D6" w14:textId="77777777">
        <w:tc>
          <w:tcPr>
            <w:cnfStyle w:val="001000000000" w:firstRow="0" w:lastRow="0" w:firstColumn="1" w:lastColumn="0" w:oddVBand="0" w:evenVBand="0" w:oddHBand="0" w:evenHBand="0" w:firstRowFirstColumn="0" w:firstRowLastColumn="0" w:lastRowFirstColumn="0" w:lastRowLastColumn="0"/>
            <w:tcW w:w="2946" w:type="dxa"/>
            <w:tcBorders>
              <w:top w:val="single" w:sz="6" w:space="0" w:color="auto"/>
              <w:bottom w:val="single" w:sz="6" w:space="0" w:color="auto"/>
            </w:tcBorders>
          </w:tcPr>
          <w:p w14:paraId="236D882B" w14:textId="77777777" w:rsidR="00732BC0" w:rsidRPr="001213F7" w:rsidRDefault="00732BC0">
            <w:r w:rsidRPr="001213F7">
              <w:rPr>
                <w:b/>
              </w:rPr>
              <w:t>Surplus/(deficit) of cash from operations after funding net investments in fixed assets</w:t>
            </w:r>
          </w:p>
        </w:tc>
        <w:tc>
          <w:tcPr>
            <w:tcW w:w="794" w:type="dxa"/>
            <w:tcBorders>
              <w:top w:val="single" w:sz="6" w:space="0" w:color="auto"/>
              <w:bottom w:val="single" w:sz="6" w:space="0" w:color="auto"/>
            </w:tcBorders>
          </w:tcPr>
          <w:p w14:paraId="3C0D909E"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rPr>
                <w:b/>
              </w:rPr>
              <w:t>(17 427)</w:t>
            </w:r>
          </w:p>
        </w:tc>
        <w:tc>
          <w:tcPr>
            <w:tcW w:w="794" w:type="dxa"/>
            <w:tcBorders>
              <w:top w:val="single" w:sz="6" w:space="0" w:color="auto"/>
              <w:bottom w:val="single" w:sz="6" w:space="0" w:color="auto"/>
            </w:tcBorders>
          </w:tcPr>
          <w:p w14:paraId="6F71E3AC"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rPr>
                <w:b/>
              </w:rPr>
              <w:t>(16 253)</w:t>
            </w:r>
          </w:p>
        </w:tc>
        <w:tc>
          <w:tcPr>
            <w:tcW w:w="794" w:type="dxa"/>
            <w:tcBorders>
              <w:top w:val="single" w:sz="6" w:space="0" w:color="auto"/>
              <w:bottom w:val="single" w:sz="6" w:space="0" w:color="auto"/>
            </w:tcBorders>
          </w:tcPr>
          <w:p w14:paraId="7F383B5C"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rPr>
                <w:b/>
              </w:rPr>
              <w:t>(16 825)</w:t>
            </w:r>
          </w:p>
        </w:tc>
        <w:tc>
          <w:tcPr>
            <w:tcW w:w="794" w:type="dxa"/>
            <w:tcBorders>
              <w:top w:val="single" w:sz="6" w:space="0" w:color="auto"/>
              <w:bottom w:val="single" w:sz="6" w:space="0" w:color="auto"/>
            </w:tcBorders>
          </w:tcPr>
          <w:p w14:paraId="2B4A3E9F"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rPr>
                <w:b/>
              </w:rPr>
              <w:t>(10 536)</w:t>
            </w:r>
          </w:p>
        </w:tc>
        <w:tc>
          <w:tcPr>
            <w:tcW w:w="794" w:type="dxa"/>
            <w:tcBorders>
              <w:top w:val="single" w:sz="6" w:space="0" w:color="auto"/>
              <w:bottom w:val="single" w:sz="6" w:space="0" w:color="auto"/>
            </w:tcBorders>
          </w:tcPr>
          <w:p w14:paraId="5A511986"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rPr>
                <w:b/>
              </w:rPr>
              <w:t>(11 891)</w:t>
            </w:r>
          </w:p>
        </w:tc>
        <w:tc>
          <w:tcPr>
            <w:tcW w:w="794" w:type="dxa"/>
            <w:tcBorders>
              <w:top w:val="single" w:sz="6" w:space="0" w:color="auto"/>
              <w:bottom w:val="single" w:sz="6" w:space="0" w:color="auto"/>
            </w:tcBorders>
          </w:tcPr>
          <w:p w14:paraId="744D199F"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rPr>
                <w:b/>
              </w:rPr>
              <w:t>(11 713)</w:t>
            </w:r>
          </w:p>
        </w:tc>
      </w:tr>
      <w:tr w:rsidR="00732BC0" w:rsidRPr="001213F7" w14:paraId="369F51DD" w14:textId="77777777">
        <w:tc>
          <w:tcPr>
            <w:cnfStyle w:val="001000000000" w:firstRow="0" w:lastRow="0" w:firstColumn="1" w:lastColumn="0" w:oddVBand="0" w:evenVBand="0" w:oddHBand="0" w:evenHBand="0" w:firstRowFirstColumn="0" w:firstRowLastColumn="0" w:lastRowFirstColumn="0" w:lastRowLastColumn="0"/>
            <w:tcW w:w="2946" w:type="dxa"/>
            <w:tcBorders>
              <w:top w:val="single" w:sz="6" w:space="0" w:color="auto"/>
            </w:tcBorders>
          </w:tcPr>
          <w:p w14:paraId="4E44871F" w14:textId="77777777" w:rsidR="00732BC0" w:rsidRPr="001213F7" w:rsidRDefault="00732BC0">
            <w:r w:rsidRPr="001213F7">
              <w:t>Less:</w:t>
            </w:r>
          </w:p>
        </w:tc>
        <w:tc>
          <w:tcPr>
            <w:tcW w:w="794" w:type="dxa"/>
            <w:tcBorders>
              <w:top w:val="single" w:sz="6" w:space="0" w:color="auto"/>
            </w:tcBorders>
          </w:tcPr>
          <w:p w14:paraId="360080E3"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4C5D4906"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31C74CBD"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45D7B52B"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7F4E0989"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6FD0C195"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p>
        </w:tc>
      </w:tr>
      <w:tr w:rsidR="00732BC0" w:rsidRPr="001213F7" w14:paraId="54246CB7" w14:textId="77777777">
        <w:tc>
          <w:tcPr>
            <w:cnfStyle w:val="001000000000" w:firstRow="0" w:lastRow="0" w:firstColumn="1" w:lastColumn="0" w:oddVBand="0" w:evenVBand="0" w:oddHBand="0" w:evenHBand="0" w:firstRowFirstColumn="0" w:firstRowLastColumn="0" w:lastRowFirstColumn="0" w:lastRowLastColumn="0"/>
            <w:tcW w:w="2946" w:type="dxa"/>
          </w:tcPr>
          <w:p w14:paraId="191451F2" w14:textId="77777777" w:rsidR="00732BC0" w:rsidRPr="001213F7" w:rsidRDefault="00732BC0">
            <w:r w:rsidRPr="001213F7">
              <w:t>Leases and service concession arrangements</w:t>
            </w:r>
            <w:r w:rsidRPr="001213F7">
              <w:rPr>
                <w:vertAlign w:val="superscript"/>
              </w:rPr>
              <w:t xml:space="preserve"> (c)</w:t>
            </w:r>
          </w:p>
        </w:tc>
        <w:tc>
          <w:tcPr>
            <w:tcW w:w="794" w:type="dxa"/>
          </w:tcPr>
          <w:p w14:paraId="3B986F68"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3 716</w:t>
            </w:r>
          </w:p>
        </w:tc>
        <w:tc>
          <w:tcPr>
            <w:tcW w:w="794" w:type="dxa"/>
          </w:tcPr>
          <w:p w14:paraId="61F6AEFD"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3 094</w:t>
            </w:r>
          </w:p>
        </w:tc>
        <w:tc>
          <w:tcPr>
            <w:tcW w:w="794" w:type="dxa"/>
          </w:tcPr>
          <w:p w14:paraId="4FA40151"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1 438</w:t>
            </w:r>
          </w:p>
        </w:tc>
        <w:tc>
          <w:tcPr>
            <w:tcW w:w="794" w:type="dxa"/>
          </w:tcPr>
          <w:p w14:paraId="61D35F5C"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1 198</w:t>
            </w:r>
          </w:p>
        </w:tc>
        <w:tc>
          <w:tcPr>
            <w:tcW w:w="794" w:type="dxa"/>
          </w:tcPr>
          <w:p w14:paraId="04FE2B96"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819</w:t>
            </w:r>
          </w:p>
        </w:tc>
        <w:tc>
          <w:tcPr>
            <w:tcW w:w="794" w:type="dxa"/>
          </w:tcPr>
          <w:p w14:paraId="25DAC0D5"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577</w:t>
            </w:r>
          </w:p>
        </w:tc>
      </w:tr>
      <w:tr w:rsidR="00732BC0" w:rsidRPr="001213F7" w14:paraId="29D91C20" w14:textId="77777777">
        <w:tc>
          <w:tcPr>
            <w:cnfStyle w:val="001000000000" w:firstRow="0" w:lastRow="0" w:firstColumn="1" w:lastColumn="0" w:oddVBand="0" w:evenVBand="0" w:oddHBand="0" w:evenHBand="0" w:firstRowFirstColumn="0" w:firstRowLastColumn="0" w:lastRowFirstColumn="0" w:lastRowLastColumn="0"/>
            <w:tcW w:w="2946" w:type="dxa"/>
            <w:tcBorders>
              <w:bottom w:val="single" w:sz="6" w:space="0" w:color="auto"/>
            </w:tcBorders>
          </w:tcPr>
          <w:p w14:paraId="146B914F" w14:textId="77777777" w:rsidR="00732BC0" w:rsidRPr="001213F7" w:rsidRDefault="00732BC0">
            <w:r w:rsidRPr="001213F7">
              <w:t>Other movements</w:t>
            </w:r>
          </w:p>
        </w:tc>
        <w:tc>
          <w:tcPr>
            <w:tcW w:w="794" w:type="dxa"/>
            <w:tcBorders>
              <w:bottom w:val="single" w:sz="6" w:space="0" w:color="auto"/>
            </w:tcBorders>
          </w:tcPr>
          <w:p w14:paraId="7DB23B98"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(1 221)</w:t>
            </w:r>
          </w:p>
        </w:tc>
        <w:tc>
          <w:tcPr>
            <w:tcW w:w="794" w:type="dxa"/>
            <w:tcBorders>
              <w:bottom w:val="single" w:sz="6" w:space="0" w:color="auto"/>
            </w:tcBorders>
          </w:tcPr>
          <w:p w14:paraId="39A52364"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(64)</w:t>
            </w:r>
          </w:p>
        </w:tc>
        <w:tc>
          <w:tcPr>
            <w:tcW w:w="794" w:type="dxa"/>
            <w:tcBorders>
              <w:bottom w:val="single" w:sz="6" w:space="0" w:color="auto"/>
            </w:tcBorders>
          </w:tcPr>
          <w:p w14:paraId="0F4B7FD5"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(313)</w:t>
            </w:r>
          </w:p>
        </w:tc>
        <w:tc>
          <w:tcPr>
            <w:tcW w:w="794" w:type="dxa"/>
            <w:tcBorders>
              <w:bottom w:val="single" w:sz="6" w:space="0" w:color="auto"/>
            </w:tcBorders>
          </w:tcPr>
          <w:p w14:paraId="5E73D350"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(337)</w:t>
            </w:r>
          </w:p>
        </w:tc>
        <w:tc>
          <w:tcPr>
            <w:tcW w:w="794" w:type="dxa"/>
            <w:tcBorders>
              <w:bottom w:val="single" w:sz="6" w:space="0" w:color="auto"/>
            </w:tcBorders>
          </w:tcPr>
          <w:p w14:paraId="1C7E821A"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(369)</w:t>
            </w:r>
          </w:p>
        </w:tc>
        <w:tc>
          <w:tcPr>
            <w:tcW w:w="794" w:type="dxa"/>
            <w:tcBorders>
              <w:bottom w:val="single" w:sz="6" w:space="0" w:color="auto"/>
            </w:tcBorders>
          </w:tcPr>
          <w:p w14:paraId="3C51D159"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(391)</w:t>
            </w:r>
          </w:p>
        </w:tc>
      </w:tr>
      <w:tr w:rsidR="00732BC0" w:rsidRPr="001213F7" w14:paraId="136AABEE" w14:textId="77777777">
        <w:tc>
          <w:tcPr>
            <w:cnfStyle w:val="001000000000" w:firstRow="0" w:lastRow="0" w:firstColumn="1" w:lastColumn="0" w:oddVBand="0" w:evenVBand="0" w:oddHBand="0" w:evenHBand="0" w:firstRowFirstColumn="0" w:firstRowLastColumn="0" w:lastRowFirstColumn="0" w:lastRowLastColumn="0"/>
            <w:tcW w:w="2946" w:type="dxa"/>
            <w:tcBorders>
              <w:top w:val="single" w:sz="6" w:space="0" w:color="auto"/>
              <w:bottom w:val="single" w:sz="12" w:space="0" w:color="auto"/>
            </w:tcBorders>
          </w:tcPr>
          <w:p w14:paraId="0918B478" w14:textId="77777777" w:rsidR="00732BC0" w:rsidRPr="001213F7" w:rsidRDefault="00732BC0">
            <w:r w:rsidRPr="001213F7">
              <w:rPr>
                <w:b/>
              </w:rPr>
              <w:t>Decrease/(increase) in net debt</w:t>
            </w:r>
          </w:p>
        </w:tc>
        <w:tc>
          <w:tcPr>
            <w:tcW w:w="794" w:type="dxa"/>
            <w:tcBorders>
              <w:top w:val="single" w:sz="6" w:space="0" w:color="auto"/>
              <w:bottom w:val="single" w:sz="12" w:space="0" w:color="auto"/>
            </w:tcBorders>
          </w:tcPr>
          <w:p w14:paraId="13D025F4"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rPr>
                <w:b/>
              </w:rPr>
              <w:t>(19 922)</w:t>
            </w:r>
          </w:p>
        </w:tc>
        <w:tc>
          <w:tcPr>
            <w:tcW w:w="794" w:type="dxa"/>
            <w:tcBorders>
              <w:top w:val="single" w:sz="6" w:space="0" w:color="auto"/>
              <w:bottom w:val="single" w:sz="12" w:space="0" w:color="auto"/>
            </w:tcBorders>
          </w:tcPr>
          <w:p w14:paraId="334CCA9F"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rPr>
                <w:b/>
              </w:rPr>
              <w:t>(19 283)</w:t>
            </w:r>
          </w:p>
        </w:tc>
        <w:tc>
          <w:tcPr>
            <w:tcW w:w="794" w:type="dxa"/>
            <w:tcBorders>
              <w:top w:val="single" w:sz="6" w:space="0" w:color="auto"/>
              <w:bottom w:val="single" w:sz="12" w:space="0" w:color="auto"/>
            </w:tcBorders>
          </w:tcPr>
          <w:p w14:paraId="24060C75"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rPr>
                <w:b/>
              </w:rPr>
              <w:t>(17 949)</w:t>
            </w:r>
          </w:p>
        </w:tc>
        <w:tc>
          <w:tcPr>
            <w:tcW w:w="794" w:type="dxa"/>
            <w:tcBorders>
              <w:top w:val="single" w:sz="6" w:space="0" w:color="auto"/>
              <w:bottom w:val="single" w:sz="12" w:space="0" w:color="auto"/>
            </w:tcBorders>
          </w:tcPr>
          <w:p w14:paraId="17189E0D"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rPr>
                <w:b/>
              </w:rPr>
              <w:t>(11 397)</w:t>
            </w:r>
          </w:p>
        </w:tc>
        <w:tc>
          <w:tcPr>
            <w:tcW w:w="794" w:type="dxa"/>
            <w:tcBorders>
              <w:top w:val="single" w:sz="6" w:space="0" w:color="auto"/>
              <w:bottom w:val="single" w:sz="12" w:space="0" w:color="auto"/>
            </w:tcBorders>
          </w:tcPr>
          <w:p w14:paraId="26741F62"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rPr>
                <w:b/>
              </w:rPr>
              <w:t>(12 341)</w:t>
            </w:r>
          </w:p>
        </w:tc>
        <w:tc>
          <w:tcPr>
            <w:tcW w:w="794" w:type="dxa"/>
            <w:tcBorders>
              <w:top w:val="single" w:sz="6" w:space="0" w:color="auto"/>
              <w:bottom w:val="single" w:sz="12" w:space="0" w:color="auto"/>
            </w:tcBorders>
          </w:tcPr>
          <w:p w14:paraId="4FE4B117"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rPr>
                <w:b/>
              </w:rPr>
              <w:t>(11 899)</w:t>
            </w:r>
          </w:p>
        </w:tc>
      </w:tr>
    </w:tbl>
    <w:p w14:paraId="7E528480" w14:textId="77777777" w:rsidR="00732BC0" w:rsidRPr="001213F7" w:rsidRDefault="00732BC0">
      <w:pPr>
        <w:pStyle w:val="Note"/>
        <w:ind w:left="0" w:firstLine="0"/>
      </w:pPr>
      <w:r w:rsidRPr="001213F7">
        <w:t>Notes:</w:t>
      </w:r>
    </w:p>
    <w:p w14:paraId="3EB227CC" w14:textId="77777777" w:rsidR="00732BC0" w:rsidRPr="001213F7" w:rsidRDefault="00732BC0">
      <w:pPr>
        <w:pStyle w:val="Note"/>
      </w:pPr>
      <w:r w:rsidRPr="001213F7">
        <w:t>(a)</w:t>
      </w:r>
      <w:r w:rsidRPr="001213F7">
        <w:tab/>
        <w:t>Includes depreciation, prepayments and movements in the superannuation liability and liability of employee benefits for the year, and the progressive unwinding of the grant of a right to the operator liability.</w:t>
      </w:r>
    </w:p>
    <w:p w14:paraId="53AD9C58" w14:textId="77777777" w:rsidR="00732BC0" w:rsidRPr="001213F7" w:rsidRDefault="00732BC0">
      <w:pPr>
        <w:pStyle w:val="Note"/>
      </w:pPr>
      <w:r w:rsidRPr="001213F7">
        <w:t>(b)</w:t>
      </w:r>
      <w:r w:rsidRPr="001213F7">
        <w:tab/>
        <w:t>Includes total purchases of plant, property and equipment, and capital contributions to other sectors of government net of proceeds from asset sales.</w:t>
      </w:r>
    </w:p>
    <w:p w14:paraId="4653B0A3" w14:textId="77777777" w:rsidR="00732BC0" w:rsidRPr="001213F7" w:rsidRDefault="00732BC0">
      <w:pPr>
        <w:pStyle w:val="Note"/>
      </w:pPr>
      <w:r w:rsidRPr="001213F7">
        <w:t>(c)</w:t>
      </w:r>
      <w:r w:rsidRPr="001213F7">
        <w:tab/>
        <w:t xml:space="preserve">Includes most operating leases which are now required to be recognised as lease liabilities. It also includes financial liabilities relating to public private partnerships including </w:t>
      </w:r>
      <w:r w:rsidRPr="001213F7">
        <w:rPr>
          <w:spacing w:val="-2"/>
          <w:lang w:val="en-US"/>
        </w:rPr>
        <w:t>the Frankston Hospital Redevelopment, the High Capacity Metro Trains, the Homes Victoria Ground Lease Model Project 2, the Metro Tunnel, the new Footscray Hospital, the new Melton Hospital, the North East Link – Primary Package (Tunnels), the Nyaal Banyul Geelong Convention and Event Centre, and the West Gate Tunnel.</w:t>
      </w:r>
    </w:p>
    <w:p w14:paraId="13AC40CC" w14:textId="77777777" w:rsidR="00732BC0" w:rsidRPr="001213F7" w:rsidRDefault="00732BC0">
      <w:pPr>
        <w:pStyle w:val="Heading2"/>
        <w:pageBreakBefore/>
        <w:spacing w:before="180"/>
      </w:pPr>
      <w:r w:rsidRPr="001213F7">
        <w:lastRenderedPageBreak/>
        <w:t>Infrastructure</w:t>
      </w:r>
    </w:p>
    <w:p w14:paraId="523E94F2" w14:textId="77777777" w:rsidR="00732BC0" w:rsidRPr="001213F7" w:rsidRDefault="00732BC0">
      <w:pPr>
        <w:keepNext/>
        <w:spacing w:before="60"/>
      </w:pPr>
      <w:r w:rsidRPr="001213F7">
        <w:t xml:space="preserve">Table 5.4 also provides estimates of the net investment in fixed assets and shows investments in infrastructure that are not funded by the NFPS operating surplus or the proceeds of fixed asset sales. The total net investment in fixed assets by the NFPS is projected to average $20.7 billion a year over the budget and forward estimates. </w:t>
      </w:r>
    </w:p>
    <w:p w14:paraId="45E4E2A7" w14:textId="77777777" w:rsidR="00732BC0" w:rsidRPr="001213F7" w:rsidRDefault="00732BC0">
      <w:pPr>
        <w:keepNext/>
      </w:pPr>
      <w:r w:rsidRPr="001213F7">
        <w:t xml:space="preserve">The infrastructure projects under development in the PNFC sector are outlined in Budget Paper No. 4, Chapter 3 </w:t>
      </w:r>
      <w:r w:rsidRPr="001213F7">
        <w:rPr>
          <w:i/>
          <w:iCs/>
        </w:rPr>
        <w:t>Public non-financial corporations capital program.</w:t>
      </w:r>
    </w:p>
    <w:p w14:paraId="78D7F93B" w14:textId="77777777" w:rsidR="00732BC0" w:rsidRPr="001213F7" w:rsidRDefault="00732BC0">
      <w:pPr>
        <w:keepNext/>
      </w:pPr>
      <w:r w:rsidRPr="001213F7">
        <w:t>Significant infrastructure projects in the PNFC sector include:</w:t>
      </w:r>
    </w:p>
    <w:p w14:paraId="1081411A" w14:textId="77777777" w:rsidR="00732BC0" w:rsidRPr="001213F7" w:rsidRDefault="00732BC0" w:rsidP="00D20C0A">
      <w:pPr>
        <w:pStyle w:val="ListBullet"/>
        <w:numPr>
          <w:ilvl w:val="0"/>
          <w:numId w:val="13"/>
        </w:numPr>
        <w:ind w:left="346" w:hanging="346"/>
      </w:pPr>
      <w:r w:rsidRPr="001213F7">
        <w:t>investment in transport infrastructure and rolling stock to meet patronage growth and improve network performance. This includes the new metropolitan trains, trams and stabling and maintenance facilities for rolling stock</w:t>
      </w:r>
    </w:p>
    <w:p w14:paraId="49AB2EE1" w14:textId="77777777" w:rsidR="00732BC0" w:rsidRPr="001213F7" w:rsidRDefault="00732BC0" w:rsidP="00D20C0A">
      <w:pPr>
        <w:pStyle w:val="ListBullet"/>
        <w:numPr>
          <w:ilvl w:val="0"/>
          <w:numId w:val="13"/>
        </w:numPr>
        <w:ind w:left="346" w:hanging="346"/>
      </w:pPr>
      <w:r w:rsidRPr="001213F7">
        <w:t>the State Electricity Commission’s investments in the Renewable Energy Park – Horsham and the Delburn Wind Farm</w:t>
      </w:r>
    </w:p>
    <w:p w14:paraId="47323C90" w14:textId="77777777" w:rsidR="00732BC0" w:rsidRPr="001213F7" w:rsidRDefault="00732BC0" w:rsidP="00D20C0A">
      <w:pPr>
        <w:pStyle w:val="ListBullet"/>
        <w:numPr>
          <w:ilvl w:val="0"/>
          <w:numId w:val="13"/>
        </w:numPr>
        <w:ind w:left="346" w:hanging="346"/>
      </w:pPr>
      <w:r w:rsidRPr="001213F7">
        <w:t>investment to deliver the North East Link – Primary Package (Tunnels) by the State Tolling Corporation</w:t>
      </w:r>
    </w:p>
    <w:p w14:paraId="6D4A3D72" w14:textId="77777777" w:rsidR="00732BC0" w:rsidRPr="001213F7" w:rsidRDefault="00732BC0" w:rsidP="00D20C0A">
      <w:pPr>
        <w:pStyle w:val="ListBullet"/>
        <w:numPr>
          <w:ilvl w:val="0"/>
          <w:numId w:val="13"/>
        </w:numPr>
        <w:ind w:left="346" w:hanging="346"/>
      </w:pPr>
      <w:r w:rsidRPr="001213F7">
        <w:t xml:space="preserve">various water and sewer-related infrastructure projects, such as the Western Treatment Plant primary treatment capacity augmentation, the Western Treatment Plant 5 West nutrient removal plant, the rollout of digital water meters, and the Gisborne recycled water plant upgrade. </w:t>
      </w:r>
    </w:p>
    <w:p w14:paraId="54243626" w14:textId="77777777" w:rsidR="00732BC0" w:rsidRPr="001213F7" w:rsidRDefault="00732BC0">
      <w:pPr>
        <w:keepNext/>
        <w:tabs>
          <w:tab w:val="right" w:pos="9582"/>
        </w:tabs>
        <w:spacing w:before="240"/>
        <w:outlineLvl w:val="1"/>
        <w:rPr>
          <w:rFonts w:asciiTheme="majorHAnsi" w:eastAsiaTheme="majorEastAsia" w:hAnsiTheme="majorHAnsi" w:cstheme="majorBidi"/>
          <w:b/>
          <w:spacing w:val="-2"/>
          <w:sz w:val="26"/>
          <w:szCs w:val="26"/>
        </w:rPr>
      </w:pPr>
      <w:r w:rsidRPr="001213F7">
        <w:rPr>
          <w:rFonts w:asciiTheme="majorHAnsi" w:eastAsiaTheme="majorEastAsia" w:hAnsiTheme="majorHAnsi" w:cstheme="majorBidi"/>
          <w:b/>
          <w:spacing w:val="-2"/>
          <w:sz w:val="26"/>
          <w:szCs w:val="26"/>
        </w:rPr>
        <w:t>Non</w:t>
      </w:r>
      <w:r w:rsidRPr="001213F7">
        <w:rPr>
          <w:rFonts w:asciiTheme="majorHAnsi" w:eastAsiaTheme="majorEastAsia" w:hAnsiTheme="majorHAnsi" w:cstheme="majorBidi"/>
          <w:b/>
          <w:bCs/>
          <w:spacing w:val="-2"/>
          <w:sz w:val="26"/>
          <w:szCs w:val="26"/>
        </w:rPr>
        <w:t>-</w:t>
      </w:r>
      <w:r w:rsidRPr="001213F7">
        <w:rPr>
          <w:rFonts w:asciiTheme="majorHAnsi" w:eastAsiaTheme="majorEastAsia" w:hAnsiTheme="majorHAnsi" w:cstheme="majorBidi"/>
          <w:b/>
          <w:spacing w:val="-2"/>
          <w:sz w:val="26"/>
          <w:szCs w:val="26"/>
        </w:rPr>
        <w:t>financial public sector net debt and net financial liabilities</w:t>
      </w:r>
    </w:p>
    <w:p w14:paraId="0C3E33D6" w14:textId="77777777" w:rsidR="00732BC0" w:rsidRPr="001213F7" w:rsidRDefault="00732BC0">
      <w:pPr>
        <w:keepNext/>
        <w:ind w:right="-94"/>
      </w:pPr>
      <w:r w:rsidRPr="001213F7">
        <w:t>Table 5.5 details the NFPS net debt and superannuation liabilities. It shows that NFPS net debt is expected to increase from $212.5 </w:t>
      </w:r>
      <w:r w:rsidRPr="001213F7">
        <w:rPr>
          <w:rFonts w:hint="eastAsia"/>
        </w:rPr>
        <w:t>billion</w:t>
      </w:r>
      <w:r w:rsidRPr="001213F7">
        <w:t xml:space="preserve"> at 30 June 2027 to $248.1 </w:t>
      </w:r>
      <w:r w:rsidRPr="001213F7">
        <w:rPr>
          <w:rFonts w:hint="eastAsia"/>
        </w:rPr>
        <w:t>billion</w:t>
      </w:r>
      <w:r w:rsidRPr="001213F7">
        <w:t xml:space="preserve"> by 30</w:t>
      </w:r>
      <w:r w:rsidRPr="001213F7">
        <w:rPr>
          <w:rFonts w:hint="eastAsia"/>
        </w:rPr>
        <w:t> </w:t>
      </w:r>
      <w:r w:rsidRPr="001213F7">
        <w:t>June</w:t>
      </w:r>
      <w:r w:rsidRPr="001213F7">
        <w:rPr>
          <w:rFonts w:hint="eastAsia"/>
        </w:rPr>
        <w:t> </w:t>
      </w:r>
      <w:r w:rsidRPr="001213F7">
        <w:t>2030. The increase in net debt is predominately due to additional borrowings required by the general government sector to fund the State’s infrastructure investment program. As a proportion of GSP, NFPS net debt is expected to increase slightly from 30.2 </w:t>
      </w:r>
      <w:r w:rsidRPr="001213F7">
        <w:rPr>
          <w:rFonts w:hint="eastAsia"/>
        </w:rPr>
        <w:t>per</w:t>
      </w:r>
      <w:r w:rsidRPr="001213F7">
        <w:t> </w:t>
      </w:r>
      <w:r w:rsidRPr="001213F7">
        <w:rPr>
          <w:rFonts w:hint="eastAsia"/>
        </w:rPr>
        <w:t>cent</w:t>
      </w:r>
      <w:r w:rsidRPr="001213F7">
        <w:t xml:space="preserve"> at 30</w:t>
      </w:r>
      <w:r w:rsidRPr="001213F7">
        <w:rPr>
          <w:rFonts w:hint="eastAsia"/>
        </w:rPr>
        <w:t> </w:t>
      </w:r>
      <w:r w:rsidRPr="001213F7">
        <w:t>June 2027 to 30.4 </w:t>
      </w:r>
      <w:r w:rsidRPr="001213F7">
        <w:rPr>
          <w:rFonts w:hint="eastAsia"/>
        </w:rPr>
        <w:t>per</w:t>
      </w:r>
      <w:r w:rsidRPr="001213F7">
        <w:t> </w:t>
      </w:r>
      <w:r w:rsidRPr="001213F7">
        <w:rPr>
          <w:rFonts w:hint="eastAsia"/>
        </w:rPr>
        <w:t>cent</w:t>
      </w:r>
      <w:r w:rsidRPr="001213F7">
        <w:t xml:space="preserve"> at 30 June 2030. </w:t>
      </w:r>
    </w:p>
    <w:p w14:paraId="49575F06" w14:textId="77777777" w:rsidR="00732BC0" w:rsidRPr="001213F7" w:rsidRDefault="00732BC0" w:rsidP="00D66CCB">
      <w:pPr>
        <w:ind w:right="-127"/>
      </w:pPr>
      <w:r w:rsidRPr="001213F7">
        <w:t>The NFPS superannuation liability, which primarily resides in the general government sector and largely relates to the former State Superannuation Fund, is projected to decrease</w:t>
      </w:r>
      <w:r w:rsidRPr="001213F7" w:rsidDel="005D7235">
        <w:t xml:space="preserve"> </w:t>
      </w:r>
      <w:r w:rsidRPr="001213F7">
        <w:t>over the budget and forward estimates. This reduction reflects the Government’s ongoing commitment to fully fund the State Superannuation Fund’s unfunded superannuation liability by 2035.</w:t>
      </w:r>
    </w:p>
    <w:p w14:paraId="37E5518E" w14:textId="77777777" w:rsidR="00732BC0" w:rsidRPr="001213F7" w:rsidRDefault="00732BC0" w:rsidP="00F76588">
      <w:r w:rsidRPr="001213F7">
        <w:t>Overall, the net financial liabilities to GSP ratio is projected to decrease slightly from 38.5 </w:t>
      </w:r>
      <w:r w:rsidRPr="001213F7">
        <w:rPr>
          <w:rFonts w:hint="eastAsia"/>
        </w:rPr>
        <w:t>per</w:t>
      </w:r>
      <w:r w:rsidRPr="001213F7">
        <w:t> </w:t>
      </w:r>
      <w:r w:rsidRPr="001213F7">
        <w:rPr>
          <w:rFonts w:hint="eastAsia"/>
        </w:rPr>
        <w:t>cent</w:t>
      </w:r>
      <w:r w:rsidRPr="001213F7">
        <w:t xml:space="preserve"> in 2026-27 to 36.9 </w:t>
      </w:r>
      <w:r w:rsidRPr="001213F7">
        <w:rPr>
          <w:rFonts w:hint="eastAsia"/>
        </w:rPr>
        <w:t>per</w:t>
      </w:r>
      <w:r w:rsidRPr="001213F7">
        <w:t> </w:t>
      </w:r>
      <w:r w:rsidRPr="001213F7">
        <w:rPr>
          <w:rFonts w:hint="eastAsia"/>
        </w:rPr>
        <w:t>cent</w:t>
      </w:r>
      <w:r w:rsidRPr="001213F7">
        <w:t xml:space="preserve"> in 2029-30.</w:t>
      </w:r>
    </w:p>
    <w:p w14:paraId="73768F65" w14:textId="77777777" w:rsidR="00732BC0" w:rsidRPr="001213F7" w:rsidRDefault="00732BC0"/>
    <w:p w14:paraId="26681B97" w14:textId="77777777" w:rsidR="00732BC0" w:rsidRPr="001213F7" w:rsidRDefault="00732BC0">
      <w:pPr>
        <w:keepLines w:val="0"/>
        <w:rPr>
          <w:rFonts w:asciiTheme="majorHAnsi" w:hAnsiTheme="majorHAnsi" w:cs="Times New Roman"/>
          <w:b/>
          <w:iCs/>
          <w:sz w:val="20"/>
          <w:szCs w:val="18"/>
        </w:rPr>
      </w:pPr>
      <w:r w:rsidRPr="001213F7">
        <w:br w:type="page"/>
      </w:r>
    </w:p>
    <w:p w14:paraId="02F73A1D" w14:textId="77777777" w:rsidR="00732BC0" w:rsidRPr="001213F7" w:rsidRDefault="00732BC0">
      <w:pPr>
        <w:pStyle w:val="TableHeading"/>
      </w:pPr>
      <w:r w:rsidRPr="001213F7">
        <w:lastRenderedPageBreak/>
        <w:t xml:space="preserve">Table 5.5: </w:t>
      </w:r>
      <w:r w:rsidRPr="001213F7">
        <w:tab/>
        <w:t xml:space="preserve">Non-financial public sector net debt and net financial liabilities </w:t>
      </w:r>
      <w:r w:rsidRPr="001213F7">
        <w:tab/>
        <w:t>($ billion)</w:t>
      </w:r>
    </w:p>
    <w:tbl>
      <w:tblPr>
        <w:tblStyle w:val="DTFTableNumeric"/>
        <w:tblW w:w="7710" w:type="dxa"/>
        <w:tblLayout w:type="fixed"/>
        <w:tblLook w:val="06A0" w:firstRow="1" w:lastRow="0" w:firstColumn="1" w:lastColumn="0" w:noHBand="1" w:noVBand="1"/>
        <w:tblDescription w:val="Type:DtfTable|Workbook:https://vicgov.sharepoint.com/sites/VG002735/BP2/Spreadsheets/Chapter%205%20-%20CRA_FAL/SRIMS_BP2_Chap5_NFPS.xlsx|Table:NFPS_NetDebt_and_NetFinLiab|TableGroup:Chapter 5"/>
      </w:tblPr>
      <w:tblGrid>
        <w:gridCol w:w="2946"/>
        <w:gridCol w:w="794"/>
        <w:gridCol w:w="794"/>
        <w:gridCol w:w="794"/>
        <w:gridCol w:w="794"/>
        <w:gridCol w:w="794"/>
        <w:gridCol w:w="794"/>
      </w:tblGrid>
      <w:tr w:rsidR="00732BC0" w:rsidRPr="001213F7" w14:paraId="1AA6DE26"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946" w:type="dxa"/>
          </w:tcPr>
          <w:p w14:paraId="617D1E3C" w14:textId="77777777" w:rsidR="00732BC0" w:rsidRPr="001213F7" w:rsidRDefault="00732BC0">
            <w:pPr>
              <w:keepNext/>
            </w:pPr>
          </w:p>
        </w:tc>
        <w:tc>
          <w:tcPr>
            <w:tcW w:w="794" w:type="dxa"/>
          </w:tcPr>
          <w:p w14:paraId="17FDCA61" w14:textId="77777777" w:rsidR="00732BC0" w:rsidRPr="001213F7" w:rsidRDefault="00732BC0">
            <w:pPr>
              <w:keepNext/>
              <w:cnfStyle w:val="100000000000" w:firstRow="1" w:lastRow="0" w:firstColumn="0" w:lastColumn="0" w:oddVBand="0" w:evenVBand="0" w:oddHBand="0" w:evenHBand="0" w:firstRowFirstColumn="0" w:firstRowLastColumn="0" w:lastRowFirstColumn="0" w:lastRowLastColumn="0"/>
            </w:pPr>
            <w:r w:rsidRPr="001213F7">
              <w:t>2024</w:t>
            </w:r>
            <w:r w:rsidRPr="001213F7">
              <w:noBreakHyphen/>
              <w:t>25</w:t>
            </w:r>
          </w:p>
        </w:tc>
        <w:tc>
          <w:tcPr>
            <w:tcW w:w="794" w:type="dxa"/>
          </w:tcPr>
          <w:p w14:paraId="7E49A8E7" w14:textId="77777777" w:rsidR="00732BC0" w:rsidRPr="001213F7" w:rsidRDefault="00732BC0">
            <w:pPr>
              <w:keepNext/>
              <w:cnfStyle w:val="100000000000" w:firstRow="1" w:lastRow="0" w:firstColumn="0" w:lastColumn="0" w:oddVBand="0" w:evenVBand="0" w:oddHBand="0" w:evenHBand="0" w:firstRowFirstColumn="0" w:firstRowLastColumn="0" w:lastRowFirstColumn="0" w:lastRowLastColumn="0"/>
            </w:pPr>
            <w:r w:rsidRPr="001213F7">
              <w:t>2025</w:t>
            </w:r>
            <w:r w:rsidRPr="001213F7">
              <w:noBreakHyphen/>
              <w:t>26</w:t>
            </w:r>
          </w:p>
        </w:tc>
        <w:tc>
          <w:tcPr>
            <w:tcW w:w="794" w:type="dxa"/>
          </w:tcPr>
          <w:p w14:paraId="6AE19290" w14:textId="77777777" w:rsidR="00732BC0" w:rsidRPr="001213F7" w:rsidRDefault="00732BC0">
            <w:pPr>
              <w:keepNext/>
              <w:cnfStyle w:val="100000000000" w:firstRow="1" w:lastRow="0" w:firstColumn="0" w:lastColumn="0" w:oddVBand="0" w:evenVBand="0" w:oddHBand="0" w:evenHBand="0" w:firstRowFirstColumn="0" w:firstRowLastColumn="0" w:lastRowFirstColumn="0" w:lastRowLastColumn="0"/>
            </w:pPr>
            <w:r w:rsidRPr="001213F7">
              <w:t>2026</w:t>
            </w:r>
            <w:r w:rsidRPr="001213F7">
              <w:noBreakHyphen/>
              <w:t>27</w:t>
            </w:r>
          </w:p>
        </w:tc>
        <w:tc>
          <w:tcPr>
            <w:tcW w:w="794" w:type="dxa"/>
          </w:tcPr>
          <w:p w14:paraId="6AC086D6" w14:textId="77777777" w:rsidR="00732BC0" w:rsidRPr="001213F7" w:rsidRDefault="00732BC0">
            <w:pPr>
              <w:keepNext/>
              <w:cnfStyle w:val="100000000000" w:firstRow="1" w:lastRow="0" w:firstColumn="0" w:lastColumn="0" w:oddVBand="0" w:evenVBand="0" w:oddHBand="0" w:evenHBand="0" w:firstRowFirstColumn="0" w:firstRowLastColumn="0" w:lastRowFirstColumn="0" w:lastRowLastColumn="0"/>
            </w:pPr>
            <w:r w:rsidRPr="001213F7">
              <w:t>2027</w:t>
            </w:r>
            <w:r w:rsidRPr="001213F7">
              <w:noBreakHyphen/>
              <w:t>28</w:t>
            </w:r>
          </w:p>
        </w:tc>
        <w:tc>
          <w:tcPr>
            <w:tcW w:w="794" w:type="dxa"/>
          </w:tcPr>
          <w:p w14:paraId="7701A890" w14:textId="77777777" w:rsidR="00732BC0" w:rsidRPr="001213F7" w:rsidRDefault="00732BC0">
            <w:pPr>
              <w:keepNext/>
              <w:cnfStyle w:val="100000000000" w:firstRow="1" w:lastRow="0" w:firstColumn="0" w:lastColumn="0" w:oddVBand="0" w:evenVBand="0" w:oddHBand="0" w:evenHBand="0" w:firstRowFirstColumn="0" w:firstRowLastColumn="0" w:lastRowFirstColumn="0" w:lastRowLastColumn="0"/>
            </w:pPr>
            <w:r w:rsidRPr="001213F7">
              <w:t>2028</w:t>
            </w:r>
            <w:r w:rsidRPr="001213F7">
              <w:noBreakHyphen/>
              <w:t>29</w:t>
            </w:r>
          </w:p>
        </w:tc>
        <w:tc>
          <w:tcPr>
            <w:tcW w:w="794" w:type="dxa"/>
          </w:tcPr>
          <w:p w14:paraId="15ACA0F0" w14:textId="77777777" w:rsidR="00732BC0" w:rsidRPr="001213F7" w:rsidRDefault="00732BC0">
            <w:pPr>
              <w:keepNext/>
              <w:cnfStyle w:val="100000000000" w:firstRow="1" w:lastRow="0" w:firstColumn="0" w:lastColumn="0" w:oddVBand="0" w:evenVBand="0" w:oddHBand="0" w:evenHBand="0" w:firstRowFirstColumn="0" w:firstRowLastColumn="0" w:lastRowFirstColumn="0" w:lastRowLastColumn="0"/>
            </w:pPr>
            <w:r w:rsidRPr="001213F7">
              <w:t>2029</w:t>
            </w:r>
            <w:r w:rsidRPr="001213F7">
              <w:noBreakHyphen/>
              <w:t>30</w:t>
            </w:r>
          </w:p>
        </w:tc>
      </w:tr>
      <w:tr w:rsidR="00732BC0" w:rsidRPr="001213F7" w14:paraId="3565ECA5"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946" w:type="dxa"/>
          </w:tcPr>
          <w:p w14:paraId="0EA50BCF" w14:textId="77777777" w:rsidR="00732BC0" w:rsidRPr="001213F7" w:rsidRDefault="00732BC0">
            <w:pPr>
              <w:keepNext/>
            </w:pPr>
          </w:p>
        </w:tc>
        <w:tc>
          <w:tcPr>
            <w:tcW w:w="794" w:type="dxa"/>
          </w:tcPr>
          <w:p w14:paraId="6CC2B9EC" w14:textId="77777777" w:rsidR="00732BC0" w:rsidRPr="001213F7" w:rsidRDefault="00732BC0">
            <w:pPr>
              <w:keepNext/>
              <w:cnfStyle w:val="100000000000" w:firstRow="1" w:lastRow="0" w:firstColumn="0" w:lastColumn="0" w:oddVBand="0" w:evenVBand="0" w:oddHBand="0" w:evenHBand="0" w:firstRowFirstColumn="0" w:firstRowLastColumn="0" w:lastRowFirstColumn="0" w:lastRowLastColumn="0"/>
            </w:pPr>
            <w:r w:rsidRPr="001213F7">
              <w:t xml:space="preserve"> actual</w:t>
            </w:r>
          </w:p>
        </w:tc>
        <w:tc>
          <w:tcPr>
            <w:tcW w:w="794" w:type="dxa"/>
          </w:tcPr>
          <w:p w14:paraId="056375A5" w14:textId="77777777" w:rsidR="00732BC0" w:rsidRPr="001213F7" w:rsidRDefault="00732BC0">
            <w:pPr>
              <w:keepNext/>
              <w:cnfStyle w:val="100000000000" w:firstRow="1" w:lastRow="0" w:firstColumn="0" w:lastColumn="0" w:oddVBand="0" w:evenVBand="0" w:oddHBand="0" w:evenHBand="0" w:firstRowFirstColumn="0" w:firstRowLastColumn="0" w:lastRowFirstColumn="0" w:lastRowLastColumn="0"/>
            </w:pPr>
            <w:r w:rsidRPr="001213F7">
              <w:t xml:space="preserve"> revised</w:t>
            </w:r>
          </w:p>
        </w:tc>
        <w:tc>
          <w:tcPr>
            <w:tcW w:w="794" w:type="dxa"/>
          </w:tcPr>
          <w:p w14:paraId="53A4E56D" w14:textId="77777777" w:rsidR="00732BC0" w:rsidRPr="001213F7" w:rsidRDefault="00732BC0">
            <w:pPr>
              <w:keepNext/>
              <w:cnfStyle w:val="100000000000" w:firstRow="1" w:lastRow="0" w:firstColumn="0" w:lastColumn="0" w:oddVBand="0" w:evenVBand="0" w:oddHBand="0" w:evenHBand="0" w:firstRowFirstColumn="0" w:firstRowLastColumn="0" w:lastRowFirstColumn="0" w:lastRowLastColumn="0"/>
            </w:pPr>
            <w:r w:rsidRPr="001213F7">
              <w:t xml:space="preserve"> budget</w:t>
            </w:r>
          </w:p>
        </w:tc>
        <w:tc>
          <w:tcPr>
            <w:tcW w:w="794" w:type="dxa"/>
          </w:tcPr>
          <w:p w14:paraId="7802600F" w14:textId="77777777" w:rsidR="00732BC0" w:rsidRPr="001213F7" w:rsidRDefault="00732BC0">
            <w:pPr>
              <w:keepNext/>
              <w:cnfStyle w:val="100000000000" w:firstRow="1" w:lastRow="0" w:firstColumn="0" w:lastColumn="0" w:oddVBand="0" w:evenVBand="0" w:oddHBand="0" w:evenHBand="0" w:firstRowFirstColumn="0" w:firstRowLastColumn="0" w:lastRowFirstColumn="0" w:lastRowLastColumn="0"/>
            </w:pPr>
            <w:r w:rsidRPr="001213F7">
              <w:t xml:space="preserve"> estimate</w:t>
            </w:r>
          </w:p>
        </w:tc>
        <w:tc>
          <w:tcPr>
            <w:tcW w:w="794" w:type="dxa"/>
          </w:tcPr>
          <w:p w14:paraId="0E2C1B02" w14:textId="77777777" w:rsidR="00732BC0" w:rsidRPr="001213F7" w:rsidRDefault="00732BC0">
            <w:pPr>
              <w:keepNext/>
              <w:cnfStyle w:val="100000000000" w:firstRow="1" w:lastRow="0" w:firstColumn="0" w:lastColumn="0" w:oddVBand="0" w:evenVBand="0" w:oddHBand="0" w:evenHBand="0" w:firstRowFirstColumn="0" w:firstRowLastColumn="0" w:lastRowFirstColumn="0" w:lastRowLastColumn="0"/>
            </w:pPr>
            <w:r w:rsidRPr="001213F7">
              <w:t xml:space="preserve"> estimate</w:t>
            </w:r>
          </w:p>
        </w:tc>
        <w:tc>
          <w:tcPr>
            <w:tcW w:w="794" w:type="dxa"/>
          </w:tcPr>
          <w:p w14:paraId="4D14E36F" w14:textId="77777777" w:rsidR="00732BC0" w:rsidRPr="001213F7" w:rsidRDefault="00732BC0">
            <w:pPr>
              <w:keepNext/>
              <w:cnfStyle w:val="100000000000" w:firstRow="1" w:lastRow="0" w:firstColumn="0" w:lastColumn="0" w:oddVBand="0" w:evenVBand="0" w:oddHBand="0" w:evenHBand="0" w:firstRowFirstColumn="0" w:firstRowLastColumn="0" w:lastRowFirstColumn="0" w:lastRowLastColumn="0"/>
            </w:pPr>
            <w:r w:rsidRPr="001213F7">
              <w:t xml:space="preserve"> estimate</w:t>
            </w:r>
          </w:p>
        </w:tc>
      </w:tr>
      <w:tr w:rsidR="00732BC0" w:rsidRPr="001213F7" w14:paraId="605C14ED" w14:textId="77777777">
        <w:tc>
          <w:tcPr>
            <w:cnfStyle w:val="001000000000" w:firstRow="0" w:lastRow="0" w:firstColumn="1" w:lastColumn="0" w:oddVBand="0" w:evenVBand="0" w:oddHBand="0" w:evenHBand="0" w:firstRowFirstColumn="0" w:firstRowLastColumn="0" w:lastRowFirstColumn="0" w:lastRowLastColumn="0"/>
            <w:tcW w:w="2946" w:type="dxa"/>
          </w:tcPr>
          <w:p w14:paraId="22344F2F" w14:textId="77777777" w:rsidR="00732BC0" w:rsidRPr="001213F7" w:rsidRDefault="00732BC0">
            <w:r w:rsidRPr="001213F7">
              <w:rPr>
                <w:b/>
              </w:rPr>
              <w:t>Assets</w:t>
            </w:r>
          </w:p>
        </w:tc>
        <w:tc>
          <w:tcPr>
            <w:tcW w:w="794" w:type="dxa"/>
          </w:tcPr>
          <w:p w14:paraId="4BCE7E5D"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p>
        </w:tc>
        <w:tc>
          <w:tcPr>
            <w:tcW w:w="794" w:type="dxa"/>
          </w:tcPr>
          <w:p w14:paraId="4BD289C8"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p>
        </w:tc>
        <w:tc>
          <w:tcPr>
            <w:tcW w:w="794" w:type="dxa"/>
          </w:tcPr>
          <w:p w14:paraId="66FC88E2"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p>
        </w:tc>
        <w:tc>
          <w:tcPr>
            <w:tcW w:w="794" w:type="dxa"/>
          </w:tcPr>
          <w:p w14:paraId="011C2E08"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p>
        </w:tc>
        <w:tc>
          <w:tcPr>
            <w:tcW w:w="794" w:type="dxa"/>
          </w:tcPr>
          <w:p w14:paraId="311E99E9"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p>
        </w:tc>
        <w:tc>
          <w:tcPr>
            <w:tcW w:w="794" w:type="dxa"/>
          </w:tcPr>
          <w:p w14:paraId="7E03518A"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p>
        </w:tc>
      </w:tr>
      <w:tr w:rsidR="00732BC0" w:rsidRPr="001213F7" w14:paraId="6C755BFF" w14:textId="77777777">
        <w:tc>
          <w:tcPr>
            <w:cnfStyle w:val="001000000000" w:firstRow="0" w:lastRow="0" w:firstColumn="1" w:lastColumn="0" w:oddVBand="0" w:evenVBand="0" w:oddHBand="0" w:evenHBand="0" w:firstRowFirstColumn="0" w:firstRowLastColumn="0" w:lastRowFirstColumn="0" w:lastRowLastColumn="0"/>
            <w:tcW w:w="2946" w:type="dxa"/>
          </w:tcPr>
          <w:p w14:paraId="479BBF02" w14:textId="77777777" w:rsidR="00732BC0" w:rsidRPr="001213F7" w:rsidRDefault="00732BC0">
            <w:r w:rsidRPr="001213F7">
              <w:t>Cash and deposits</w:t>
            </w:r>
          </w:p>
        </w:tc>
        <w:tc>
          <w:tcPr>
            <w:tcW w:w="794" w:type="dxa"/>
          </w:tcPr>
          <w:p w14:paraId="3CFB93AE"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15.9</w:t>
            </w:r>
          </w:p>
        </w:tc>
        <w:tc>
          <w:tcPr>
            <w:tcW w:w="794" w:type="dxa"/>
          </w:tcPr>
          <w:p w14:paraId="1A5D5FE4"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15.8</w:t>
            </w:r>
          </w:p>
        </w:tc>
        <w:tc>
          <w:tcPr>
            <w:tcW w:w="794" w:type="dxa"/>
          </w:tcPr>
          <w:p w14:paraId="0B3473F7"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14.7</w:t>
            </w:r>
          </w:p>
        </w:tc>
        <w:tc>
          <w:tcPr>
            <w:tcW w:w="794" w:type="dxa"/>
          </w:tcPr>
          <w:p w14:paraId="76517ECD"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14.6</w:t>
            </w:r>
          </w:p>
        </w:tc>
        <w:tc>
          <w:tcPr>
            <w:tcW w:w="794" w:type="dxa"/>
          </w:tcPr>
          <w:p w14:paraId="2F7A87E4"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15.1</w:t>
            </w:r>
          </w:p>
        </w:tc>
        <w:tc>
          <w:tcPr>
            <w:tcW w:w="794" w:type="dxa"/>
          </w:tcPr>
          <w:p w14:paraId="0ABC14C4"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15.7</w:t>
            </w:r>
          </w:p>
        </w:tc>
      </w:tr>
      <w:tr w:rsidR="00732BC0" w:rsidRPr="001213F7" w14:paraId="5EB5D6A2" w14:textId="77777777">
        <w:tc>
          <w:tcPr>
            <w:cnfStyle w:val="001000000000" w:firstRow="0" w:lastRow="0" w:firstColumn="1" w:lastColumn="0" w:oddVBand="0" w:evenVBand="0" w:oddHBand="0" w:evenHBand="0" w:firstRowFirstColumn="0" w:firstRowLastColumn="0" w:lastRowFirstColumn="0" w:lastRowLastColumn="0"/>
            <w:tcW w:w="2946" w:type="dxa"/>
          </w:tcPr>
          <w:p w14:paraId="6D5739B3" w14:textId="77777777" w:rsidR="00732BC0" w:rsidRPr="001213F7" w:rsidRDefault="00732BC0">
            <w:r w:rsidRPr="001213F7">
              <w:t>Advances paid</w:t>
            </w:r>
          </w:p>
        </w:tc>
        <w:tc>
          <w:tcPr>
            <w:tcW w:w="794" w:type="dxa"/>
          </w:tcPr>
          <w:p w14:paraId="464D6FCE"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0.5</w:t>
            </w:r>
          </w:p>
        </w:tc>
        <w:tc>
          <w:tcPr>
            <w:tcW w:w="794" w:type="dxa"/>
          </w:tcPr>
          <w:p w14:paraId="23C6FB58"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0.4</w:t>
            </w:r>
          </w:p>
        </w:tc>
        <w:tc>
          <w:tcPr>
            <w:tcW w:w="794" w:type="dxa"/>
          </w:tcPr>
          <w:p w14:paraId="23A519B7"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0.4</w:t>
            </w:r>
          </w:p>
        </w:tc>
        <w:tc>
          <w:tcPr>
            <w:tcW w:w="794" w:type="dxa"/>
          </w:tcPr>
          <w:p w14:paraId="0FD8448B"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0.3</w:t>
            </w:r>
          </w:p>
        </w:tc>
        <w:tc>
          <w:tcPr>
            <w:tcW w:w="794" w:type="dxa"/>
          </w:tcPr>
          <w:p w14:paraId="76CA51C6"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0.3</w:t>
            </w:r>
          </w:p>
        </w:tc>
        <w:tc>
          <w:tcPr>
            <w:tcW w:w="794" w:type="dxa"/>
          </w:tcPr>
          <w:p w14:paraId="4AB00B7F"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0.3</w:t>
            </w:r>
          </w:p>
        </w:tc>
      </w:tr>
      <w:tr w:rsidR="00732BC0" w:rsidRPr="001213F7" w14:paraId="45370902" w14:textId="77777777">
        <w:tc>
          <w:tcPr>
            <w:cnfStyle w:val="001000000000" w:firstRow="0" w:lastRow="0" w:firstColumn="1" w:lastColumn="0" w:oddVBand="0" w:evenVBand="0" w:oddHBand="0" w:evenHBand="0" w:firstRowFirstColumn="0" w:firstRowLastColumn="0" w:lastRowFirstColumn="0" w:lastRowLastColumn="0"/>
            <w:tcW w:w="2946" w:type="dxa"/>
            <w:tcBorders>
              <w:bottom w:val="single" w:sz="6" w:space="0" w:color="auto"/>
            </w:tcBorders>
          </w:tcPr>
          <w:p w14:paraId="00F7FA58" w14:textId="77777777" w:rsidR="00732BC0" w:rsidRPr="001213F7" w:rsidRDefault="00732BC0">
            <w:r w:rsidRPr="001213F7">
              <w:t>Investment, loans and placements</w:t>
            </w:r>
          </w:p>
        </w:tc>
        <w:tc>
          <w:tcPr>
            <w:tcW w:w="794" w:type="dxa"/>
            <w:tcBorders>
              <w:bottom w:val="single" w:sz="6" w:space="0" w:color="auto"/>
            </w:tcBorders>
          </w:tcPr>
          <w:p w14:paraId="444BAE40"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18.7</w:t>
            </w:r>
          </w:p>
        </w:tc>
        <w:tc>
          <w:tcPr>
            <w:tcW w:w="794" w:type="dxa"/>
            <w:tcBorders>
              <w:bottom w:val="single" w:sz="6" w:space="0" w:color="auto"/>
            </w:tcBorders>
          </w:tcPr>
          <w:p w14:paraId="2668B481"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20.8</w:t>
            </w:r>
          </w:p>
        </w:tc>
        <w:tc>
          <w:tcPr>
            <w:tcW w:w="794" w:type="dxa"/>
            <w:tcBorders>
              <w:bottom w:val="single" w:sz="6" w:space="0" w:color="auto"/>
            </w:tcBorders>
          </w:tcPr>
          <w:p w14:paraId="19E18358"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22.2</w:t>
            </w:r>
          </w:p>
        </w:tc>
        <w:tc>
          <w:tcPr>
            <w:tcW w:w="794" w:type="dxa"/>
            <w:tcBorders>
              <w:bottom w:val="single" w:sz="6" w:space="0" w:color="auto"/>
            </w:tcBorders>
          </w:tcPr>
          <w:p w14:paraId="7B788F92"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23.7</w:t>
            </w:r>
          </w:p>
        </w:tc>
        <w:tc>
          <w:tcPr>
            <w:tcW w:w="794" w:type="dxa"/>
            <w:tcBorders>
              <w:bottom w:val="single" w:sz="6" w:space="0" w:color="auto"/>
            </w:tcBorders>
          </w:tcPr>
          <w:p w14:paraId="5B28D49D"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25.1</w:t>
            </w:r>
          </w:p>
        </w:tc>
        <w:tc>
          <w:tcPr>
            <w:tcW w:w="794" w:type="dxa"/>
            <w:tcBorders>
              <w:bottom w:val="single" w:sz="6" w:space="0" w:color="auto"/>
            </w:tcBorders>
          </w:tcPr>
          <w:p w14:paraId="48717F8C"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26.5</w:t>
            </w:r>
          </w:p>
        </w:tc>
      </w:tr>
      <w:tr w:rsidR="00732BC0" w:rsidRPr="001213F7" w14:paraId="1CA9EF60" w14:textId="77777777">
        <w:tc>
          <w:tcPr>
            <w:cnfStyle w:val="001000000000" w:firstRow="0" w:lastRow="0" w:firstColumn="1" w:lastColumn="0" w:oddVBand="0" w:evenVBand="0" w:oddHBand="0" w:evenHBand="0" w:firstRowFirstColumn="0" w:firstRowLastColumn="0" w:lastRowFirstColumn="0" w:lastRowLastColumn="0"/>
            <w:tcW w:w="2946" w:type="dxa"/>
            <w:tcBorders>
              <w:top w:val="single" w:sz="6" w:space="0" w:color="auto"/>
            </w:tcBorders>
          </w:tcPr>
          <w:p w14:paraId="6B6161D3" w14:textId="77777777" w:rsidR="00732BC0" w:rsidRPr="001213F7" w:rsidRDefault="00732BC0">
            <w:r w:rsidRPr="001213F7">
              <w:rPr>
                <w:b/>
              </w:rPr>
              <w:t>Total</w:t>
            </w:r>
          </w:p>
        </w:tc>
        <w:tc>
          <w:tcPr>
            <w:tcW w:w="794" w:type="dxa"/>
            <w:tcBorders>
              <w:top w:val="single" w:sz="6" w:space="0" w:color="auto"/>
            </w:tcBorders>
          </w:tcPr>
          <w:p w14:paraId="11F2BC2A"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rPr>
                <w:b/>
              </w:rPr>
              <w:t>35.2</w:t>
            </w:r>
          </w:p>
        </w:tc>
        <w:tc>
          <w:tcPr>
            <w:tcW w:w="794" w:type="dxa"/>
            <w:tcBorders>
              <w:top w:val="single" w:sz="6" w:space="0" w:color="auto"/>
            </w:tcBorders>
          </w:tcPr>
          <w:p w14:paraId="282948F0"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rPr>
                <w:b/>
              </w:rPr>
              <w:t>37.0</w:t>
            </w:r>
          </w:p>
        </w:tc>
        <w:tc>
          <w:tcPr>
            <w:tcW w:w="794" w:type="dxa"/>
            <w:tcBorders>
              <w:top w:val="single" w:sz="6" w:space="0" w:color="auto"/>
            </w:tcBorders>
          </w:tcPr>
          <w:p w14:paraId="52DFE312"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rPr>
                <w:b/>
              </w:rPr>
              <w:t>37.3</w:t>
            </w:r>
          </w:p>
        </w:tc>
        <w:tc>
          <w:tcPr>
            <w:tcW w:w="794" w:type="dxa"/>
            <w:tcBorders>
              <w:top w:val="single" w:sz="6" w:space="0" w:color="auto"/>
            </w:tcBorders>
          </w:tcPr>
          <w:p w14:paraId="7217191B"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rPr>
                <w:b/>
              </w:rPr>
              <w:t>38.6</w:t>
            </w:r>
          </w:p>
        </w:tc>
        <w:tc>
          <w:tcPr>
            <w:tcW w:w="794" w:type="dxa"/>
            <w:tcBorders>
              <w:top w:val="single" w:sz="6" w:space="0" w:color="auto"/>
            </w:tcBorders>
          </w:tcPr>
          <w:p w14:paraId="7B2B0C67"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rPr>
                <w:b/>
              </w:rPr>
              <w:t>40.5</w:t>
            </w:r>
          </w:p>
        </w:tc>
        <w:tc>
          <w:tcPr>
            <w:tcW w:w="794" w:type="dxa"/>
            <w:tcBorders>
              <w:top w:val="single" w:sz="6" w:space="0" w:color="auto"/>
            </w:tcBorders>
          </w:tcPr>
          <w:p w14:paraId="3D87C554"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rPr>
                <w:b/>
              </w:rPr>
              <w:t>42.5</w:t>
            </w:r>
          </w:p>
        </w:tc>
      </w:tr>
      <w:tr w:rsidR="00732BC0" w:rsidRPr="001213F7" w14:paraId="2BDFE554" w14:textId="77777777">
        <w:tc>
          <w:tcPr>
            <w:cnfStyle w:val="001000000000" w:firstRow="0" w:lastRow="0" w:firstColumn="1" w:lastColumn="0" w:oddVBand="0" w:evenVBand="0" w:oddHBand="0" w:evenHBand="0" w:firstRowFirstColumn="0" w:firstRowLastColumn="0" w:lastRowFirstColumn="0" w:lastRowLastColumn="0"/>
            <w:tcW w:w="2946" w:type="dxa"/>
          </w:tcPr>
          <w:p w14:paraId="3E50F0C5" w14:textId="77777777" w:rsidR="00732BC0" w:rsidRPr="001213F7" w:rsidRDefault="00732BC0">
            <w:r w:rsidRPr="001213F7">
              <w:rPr>
                <w:b/>
              </w:rPr>
              <w:t>Liabilities</w:t>
            </w:r>
          </w:p>
        </w:tc>
        <w:tc>
          <w:tcPr>
            <w:tcW w:w="794" w:type="dxa"/>
          </w:tcPr>
          <w:p w14:paraId="42318690"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p>
        </w:tc>
        <w:tc>
          <w:tcPr>
            <w:tcW w:w="794" w:type="dxa"/>
          </w:tcPr>
          <w:p w14:paraId="010429B8"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p>
        </w:tc>
        <w:tc>
          <w:tcPr>
            <w:tcW w:w="794" w:type="dxa"/>
          </w:tcPr>
          <w:p w14:paraId="17C11E6F"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p>
        </w:tc>
        <w:tc>
          <w:tcPr>
            <w:tcW w:w="794" w:type="dxa"/>
          </w:tcPr>
          <w:p w14:paraId="66B950B4"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p>
        </w:tc>
        <w:tc>
          <w:tcPr>
            <w:tcW w:w="794" w:type="dxa"/>
          </w:tcPr>
          <w:p w14:paraId="6E5A0090"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p>
        </w:tc>
        <w:tc>
          <w:tcPr>
            <w:tcW w:w="794" w:type="dxa"/>
          </w:tcPr>
          <w:p w14:paraId="0DD47D84"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p>
        </w:tc>
      </w:tr>
      <w:tr w:rsidR="00732BC0" w:rsidRPr="001213F7" w14:paraId="2BBEB6E8" w14:textId="77777777">
        <w:tc>
          <w:tcPr>
            <w:cnfStyle w:val="001000000000" w:firstRow="0" w:lastRow="0" w:firstColumn="1" w:lastColumn="0" w:oddVBand="0" w:evenVBand="0" w:oddHBand="0" w:evenHBand="0" w:firstRowFirstColumn="0" w:firstRowLastColumn="0" w:lastRowFirstColumn="0" w:lastRowLastColumn="0"/>
            <w:tcW w:w="2946" w:type="dxa"/>
          </w:tcPr>
          <w:p w14:paraId="476DA015" w14:textId="77777777" w:rsidR="00732BC0" w:rsidRPr="001213F7" w:rsidRDefault="00732BC0">
            <w:r w:rsidRPr="001213F7">
              <w:t>Deposits held and advances received</w:t>
            </w:r>
          </w:p>
        </w:tc>
        <w:tc>
          <w:tcPr>
            <w:tcW w:w="794" w:type="dxa"/>
          </w:tcPr>
          <w:p w14:paraId="53A313EE"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1.9</w:t>
            </w:r>
          </w:p>
        </w:tc>
        <w:tc>
          <w:tcPr>
            <w:tcW w:w="794" w:type="dxa"/>
          </w:tcPr>
          <w:p w14:paraId="3240642F"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1.8</w:t>
            </w:r>
          </w:p>
        </w:tc>
        <w:tc>
          <w:tcPr>
            <w:tcW w:w="794" w:type="dxa"/>
          </w:tcPr>
          <w:p w14:paraId="6B5026EE"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1.9</w:t>
            </w:r>
          </w:p>
        </w:tc>
        <w:tc>
          <w:tcPr>
            <w:tcW w:w="794" w:type="dxa"/>
          </w:tcPr>
          <w:p w14:paraId="7CF259B7"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1.8</w:t>
            </w:r>
          </w:p>
        </w:tc>
        <w:tc>
          <w:tcPr>
            <w:tcW w:w="794" w:type="dxa"/>
          </w:tcPr>
          <w:p w14:paraId="7868B8FD"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1.8</w:t>
            </w:r>
          </w:p>
        </w:tc>
        <w:tc>
          <w:tcPr>
            <w:tcW w:w="794" w:type="dxa"/>
          </w:tcPr>
          <w:p w14:paraId="648DB752"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1.8</w:t>
            </w:r>
          </w:p>
        </w:tc>
      </w:tr>
      <w:tr w:rsidR="00732BC0" w:rsidRPr="001213F7" w14:paraId="4150362D" w14:textId="77777777">
        <w:tc>
          <w:tcPr>
            <w:cnfStyle w:val="001000000000" w:firstRow="0" w:lastRow="0" w:firstColumn="1" w:lastColumn="0" w:oddVBand="0" w:evenVBand="0" w:oddHBand="0" w:evenHBand="0" w:firstRowFirstColumn="0" w:firstRowLastColumn="0" w:lastRowFirstColumn="0" w:lastRowLastColumn="0"/>
            <w:tcW w:w="2946" w:type="dxa"/>
            <w:tcBorders>
              <w:bottom w:val="single" w:sz="6" w:space="0" w:color="auto"/>
            </w:tcBorders>
          </w:tcPr>
          <w:p w14:paraId="4E7BAE42" w14:textId="77777777" w:rsidR="00732BC0" w:rsidRPr="001213F7" w:rsidRDefault="00732BC0">
            <w:r w:rsidRPr="001213F7">
              <w:t>Borrowings</w:t>
            </w:r>
          </w:p>
        </w:tc>
        <w:tc>
          <w:tcPr>
            <w:tcW w:w="794" w:type="dxa"/>
            <w:tcBorders>
              <w:bottom w:val="single" w:sz="6" w:space="0" w:color="auto"/>
            </w:tcBorders>
          </w:tcPr>
          <w:p w14:paraId="79D8FADB"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208.5</w:t>
            </w:r>
          </w:p>
        </w:tc>
        <w:tc>
          <w:tcPr>
            <w:tcW w:w="794" w:type="dxa"/>
            <w:tcBorders>
              <w:bottom w:val="single" w:sz="6" w:space="0" w:color="auto"/>
            </w:tcBorders>
          </w:tcPr>
          <w:p w14:paraId="141C9E72"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229.7</w:t>
            </w:r>
          </w:p>
        </w:tc>
        <w:tc>
          <w:tcPr>
            <w:tcW w:w="794" w:type="dxa"/>
            <w:tcBorders>
              <w:bottom w:val="single" w:sz="6" w:space="0" w:color="auto"/>
            </w:tcBorders>
          </w:tcPr>
          <w:p w14:paraId="28F72AB2"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247.9</w:t>
            </w:r>
          </w:p>
        </w:tc>
        <w:tc>
          <w:tcPr>
            <w:tcW w:w="794" w:type="dxa"/>
            <w:tcBorders>
              <w:bottom w:val="single" w:sz="6" w:space="0" w:color="auto"/>
            </w:tcBorders>
          </w:tcPr>
          <w:p w14:paraId="2D2DB9BE"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260.6</w:t>
            </w:r>
          </w:p>
        </w:tc>
        <w:tc>
          <w:tcPr>
            <w:tcW w:w="794" w:type="dxa"/>
            <w:tcBorders>
              <w:bottom w:val="single" w:sz="6" w:space="0" w:color="auto"/>
            </w:tcBorders>
          </w:tcPr>
          <w:p w14:paraId="4E3B8803"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274.9</w:t>
            </w:r>
          </w:p>
        </w:tc>
        <w:tc>
          <w:tcPr>
            <w:tcW w:w="794" w:type="dxa"/>
            <w:tcBorders>
              <w:bottom w:val="single" w:sz="6" w:space="0" w:color="auto"/>
            </w:tcBorders>
          </w:tcPr>
          <w:p w14:paraId="5CDDBAB2"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288.8</w:t>
            </w:r>
          </w:p>
        </w:tc>
      </w:tr>
      <w:tr w:rsidR="00732BC0" w:rsidRPr="001213F7" w14:paraId="69A37D7E" w14:textId="77777777">
        <w:tc>
          <w:tcPr>
            <w:cnfStyle w:val="001000000000" w:firstRow="0" w:lastRow="0" w:firstColumn="1" w:lastColumn="0" w:oddVBand="0" w:evenVBand="0" w:oddHBand="0" w:evenHBand="0" w:firstRowFirstColumn="0" w:firstRowLastColumn="0" w:lastRowFirstColumn="0" w:lastRowLastColumn="0"/>
            <w:tcW w:w="2946" w:type="dxa"/>
            <w:tcBorders>
              <w:top w:val="single" w:sz="6" w:space="0" w:color="auto"/>
              <w:bottom w:val="single" w:sz="6" w:space="0" w:color="auto"/>
            </w:tcBorders>
          </w:tcPr>
          <w:p w14:paraId="3D3B2B53" w14:textId="77777777" w:rsidR="00732BC0" w:rsidRPr="001213F7" w:rsidRDefault="00732BC0">
            <w:r w:rsidRPr="001213F7">
              <w:rPr>
                <w:b/>
              </w:rPr>
              <w:t>Total</w:t>
            </w:r>
          </w:p>
        </w:tc>
        <w:tc>
          <w:tcPr>
            <w:tcW w:w="794" w:type="dxa"/>
            <w:tcBorders>
              <w:top w:val="single" w:sz="6" w:space="0" w:color="auto"/>
              <w:bottom w:val="single" w:sz="6" w:space="0" w:color="auto"/>
            </w:tcBorders>
          </w:tcPr>
          <w:p w14:paraId="21F9D3DD"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rPr>
                <w:b/>
              </w:rPr>
              <w:t>210.4</w:t>
            </w:r>
          </w:p>
        </w:tc>
        <w:tc>
          <w:tcPr>
            <w:tcW w:w="794" w:type="dxa"/>
            <w:tcBorders>
              <w:top w:val="single" w:sz="6" w:space="0" w:color="auto"/>
              <w:bottom w:val="single" w:sz="6" w:space="0" w:color="auto"/>
            </w:tcBorders>
          </w:tcPr>
          <w:p w14:paraId="08418E6B"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rPr>
                <w:b/>
              </w:rPr>
              <w:t>231.6</w:t>
            </w:r>
          </w:p>
        </w:tc>
        <w:tc>
          <w:tcPr>
            <w:tcW w:w="794" w:type="dxa"/>
            <w:tcBorders>
              <w:top w:val="single" w:sz="6" w:space="0" w:color="auto"/>
              <w:bottom w:val="single" w:sz="6" w:space="0" w:color="auto"/>
            </w:tcBorders>
          </w:tcPr>
          <w:p w14:paraId="56015D23"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rPr>
                <w:b/>
              </w:rPr>
              <w:t>249.7</w:t>
            </w:r>
          </w:p>
        </w:tc>
        <w:tc>
          <w:tcPr>
            <w:tcW w:w="794" w:type="dxa"/>
            <w:tcBorders>
              <w:top w:val="single" w:sz="6" w:space="0" w:color="auto"/>
              <w:bottom w:val="single" w:sz="6" w:space="0" w:color="auto"/>
            </w:tcBorders>
          </w:tcPr>
          <w:p w14:paraId="0D5EDF62"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rPr>
                <w:b/>
              </w:rPr>
              <w:t>262.4</w:t>
            </w:r>
          </w:p>
        </w:tc>
        <w:tc>
          <w:tcPr>
            <w:tcW w:w="794" w:type="dxa"/>
            <w:tcBorders>
              <w:top w:val="single" w:sz="6" w:space="0" w:color="auto"/>
              <w:bottom w:val="single" w:sz="6" w:space="0" w:color="auto"/>
            </w:tcBorders>
          </w:tcPr>
          <w:p w14:paraId="0BAC7A03"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rPr>
                <w:b/>
              </w:rPr>
              <w:t>276.7</w:t>
            </w:r>
          </w:p>
        </w:tc>
        <w:tc>
          <w:tcPr>
            <w:tcW w:w="794" w:type="dxa"/>
            <w:tcBorders>
              <w:top w:val="single" w:sz="6" w:space="0" w:color="auto"/>
              <w:bottom w:val="single" w:sz="6" w:space="0" w:color="auto"/>
            </w:tcBorders>
          </w:tcPr>
          <w:p w14:paraId="72D17C89"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rPr>
                <w:b/>
              </w:rPr>
              <w:t>290.7</w:t>
            </w:r>
          </w:p>
        </w:tc>
      </w:tr>
      <w:tr w:rsidR="00732BC0" w:rsidRPr="001213F7" w14:paraId="39884D99" w14:textId="77777777">
        <w:tc>
          <w:tcPr>
            <w:cnfStyle w:val="001000000000" w:firstRow="0" w:lastRow="0" w:firstColumn="1" w:lastColumn="0" w:oddVBand="0" w:evenVBand="0" w:oddHBand="0" w:evenHBand="0" w:firstRowFirstColumn="0" w:firstRowLastColumn="0" w:lastRowFirstColumn="0" w:lastRowLastColumn="0"/>
            <w:tcW w:w="2946" w:type="dxa"/>
            <w:tcBorders>
              <w:top w:val="single" w:sz="6" w:space="0" w:color="auto"/>
            </w:tcBorders>
          </w:tcPr>
          <w:p w14:paraId="40123000" w14:textId="77777777" w:rsidR="00732BC0" w:rsidRPr="001213F7" w:rsidRDefault="00732BC0">
            <w:r w:rsidRPr="001213F7">
              <w:rPr>
                <w:b/>
              </w:rPr>
              <w:t>Net debt</w:t>
            </w:r>
            <w:r w:rsidRPr="001213F7">
              <w:rPr>
                <w:b/>
                <w:vertAlign w:val="superscript"/>
              </w:rPr>
              <w:t xml:space="preserve"> (a)</w:t>
            </w:r>
          </w:p>
        </w:tc>
        <w:tc>
          <w:tcPr>
            <w:tcW w:w="794" w:type="dxa"/>
            <w:tcBorders>
              <w:top w:val="single" w:sz="6" w:space="0" w:color="auto"/>
            </w:tcBorders>
          </w:tcPr>
          <w:p w14:paraId="14C8590D"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rPr>
                <w:b/>
              </w:rPr>
              <w:t>175.2</w:t>
            </w:r>
          </w:p>
        </w:tc>
        <w:tc>
          <w:tcPr>
            <w:tcW w:w="794" w:type="dxa"/>
            <w:tcBorders>
              <w:top w:val="single" w:sz="6" w:space="0" w:color="auto"/>
            </w:tcBorders>
          </w:tcPr>
          <w:p w14:paraId="650D1486"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rPr>
                <w:b/>
              </w:rPr>
              <w:t>194.5</w:t>
            </w:r>
          </w:p>
        </w:tc>
        <w:tc>
          <w:tcPr>
            <w:tcW w:w="794" w:type="dxa"/>
            <w:tcBorders>
              <w:top w:val="single" w:sz="6" w:space="0" w:color="auto"/>
            </w:tcBorders>
          </w:tcPr>
          <w:p w14:paraId="41D9397D"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rPr>
                <w:b/>
              </w:rPr>
              <w:t>212.5</w:t>
            </w:r>
          </w:p>
        </w:tc>
        <w:tc>
          <w:tcPr>
            <w:tcW w:w="794" w:type="dxa"/>
            <w:tcBorders>
              <w:top w:val="single" w:sz="6" w:space="0" w:color="auto"/>
            </w:tcBorders>
          </w:tcPr>
          <w:p w14:paraId="457F3DF6"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rPr>
                <w:b/>
              </w:rPr>
              <w:t>223.9</w:t>
            </w:r>
          </w:p>
        </w:tc>
        <w:tc>
          <w:tcPr>
            <w:tcW w:w="794" w:type="dxa"/>
            <w:tcBorders>
              <w:top w:val="single" w:sz="6" w:space="0" w:color="auto"/>
            </w:tcBorders>
          </w:tcPr>
          <w:p w14:paraId="3D78E022"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rPr>
                <w:b/>
              </w:rPr>
              <w:t>236.2</w:t>
            </w:r>
          </w:p>
        </w:tc>
        <w:tc>
          <w:tcPr>
            <w:tcW w:w="794" w:type="dxa"/>
            <w:tcBorders>
              <w:top w:val="single" w:sz="6" w:space="0" w:color="auto"/>
            </w:tcBorders>
          </w:tcPr>
          <w:p w14:paraId="613B430E"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rPr>
                <w:b/>
              </w:rPr>
              <w:t>248.1</w:t>
            </w:r>
          </w:p>
        </w:tc>
      </w:tr>
      <w:tr w:rsidR="00732BC0" w:rsidRPr="001213F7" w14:paraId="2B53F650" w14:textId="77777777">
        <w:tc>
          <w:tcPr>
            <w:cnfStyle w:val="001000000000" w:firstRow="0" w:lastRow="0" w:firstColumn="1" w:lastColumn="0" w:oddVBand="0" w:evenVBand="0" w:oddHBand="0" w:evenHBand="0" w:firstRowFirstColumn="0" w:firstRowLastColumn="0" w:lastRowFirstColumn="0" w:lastRowLastColumn="0"/>
            <w:tcW w:w="2946" w:type="dxa"/>
          </w:tcPr>
          <w:p w14:paraId="3D15B46F" w14:textId="77777777" w:rsidR="00732BC0" w:rsidRPr="001213F7" w:rsidRDefault="00732BC0">
            <w:r w:rsidRPr="001213F7">
              <w:t>Superannuation liability</w:t>
            </w:r>
          </w:p>
        </w:tc>
        <w:tc>
          <w:tcPr>
            <w:tcW w:w="794" w:type="dxa"/>
          </w:tcPr>
          <w:p w14:paraId="04B7D59A"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18.3</w:t>
            </w:r>
          </w:p>
        </w:tc>
        <w:tc>
          <w:tcPr>
            <w:tcW w:w="794" w:type="dxa"/>
          </w:tcPr>
          <w:p w14:paraId="1B8A2F2B"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16.1</w:t>
            </w:r>
          </w:p>
        </w:tc>
        <w:tc>
          <w:tcPr>
            <w:tcW w:w="794" w:type="dxa"/>
          </w:tcPr>
          <w:p w14:paraId="1F403D45"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16.3</w:t>
            </w:r>
          </w:p>
        </w:tc>
        <w:tc>
          <w:tcPr>
            <w:tcW w:w="794" w:type="dxa"/>
          </w:tcPr>
          <w:p w14:paraId="7E7B3FD4"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15.2</w:t>
            </w:r>
          </w:p>
        </w:tc>
        <w:tc>
          <w:tcPr>
            <w:tcW w:w="794" w:type="dxa"/>
          </w:tcPr>
          <w:p w14:paraId="594C97F5"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14.0</w:t>
            </w:r>
          </w:p>
        </w:tc>
        <w:tc>
          <w:tcPr>
            <w:tcW w:w="794" w:type="dxa"/>
          </w:tcPr>
          <w:p w14:paraId="6A6E7A3A"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12.8</w:t>
            </w:r>
          </w:p>
        </w:tc>
      </w:tr>
      <w:tr w:rsidR="00732BC0" w:rsidRPr="001213F7" w14:paraId="25790251" w14:textId="77777777">
        <w:tc>
          <w:tcPr>
            <w:cnfStyle w:val="001000000000" w:firstRow="0" w:lastRow="0" w:firstColumn="1" w:lastColumn="0" w:oddVBand="0" w:evenVBand="0" w:oddHBand="0" w:evenHBand="0" w:firstRowFirstColumn="0" w:firstRowLastColumn="0" w:lastRowFirstColumn="0" w:lastRowLastColumn="0"/>
            <w:tcW w:w="2946" w:type="dxa"/>
          </w:tcPr>
          <w:p w14:paraId="4F1D1C79" w14:textId="77777777" w:rsidR="00732BC0" w:rsidRPr="001213F7" w:rsidRDefault="00732BC0">
            <w:r w:rsidRPr="001213F7">
              <w:t>Net debt plus superannuation liabilities</w:t>
            </w:r>
          </w:p>
        </w:tc>
        <w:tc>
          <w:tcPr>
            <w:tcW w:w="794" w:type="dxa"/>
          </w:tcPr>
          <w:p w14:paraId="2ADA3DC0"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193.5</w:t>
            </w:r>
          </w:p>
        </w:tc>
        <w:tc>
          <w:tcPr>
            <w:tcW w:w="794" w:type="dxa"/>
          </w:tcPr>
          <w:p w14:paraId="117FC8E4"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210.6</w:t>
            </w:r>
          </w:p>
        </w:tc>
        <w:tc>
          <w:tcPr>
            <w:tcW w:w="794" w:type="dxa"/>
          </w:tcPr>
          <w:p w14:paraId="6E4A9A02"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228.8</w:t>
            </w:r>
          </w:p>
        </w:tc>
        <w:tc>
          <w:tcPr>
            <w:tcW w:w="794" w:type="dxa"/>
          </w:tcPr>
          <w:p w14:paraId="3F032DFF"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239.0</w:t>
            </w:r>
          </w:p>
        </w:tc>
        <w:tc>
          <w:tcPr>
            <w:tcW w:w="794" w:type="dxa"/>
          </w:tcPr>
          <w:p w14:paraId="78085F6F"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250.2</w:t>
            </w:r>
          </w:p>
        </w:tc>
        <w:tc>
          <w:tcPr>
            <w:tcW w:w="794" w:type="dxa"/>
          </w:tcPr>
          <w:p w14:paraId="74421052"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260.9</w:t>
            </w:r>
          </w:p>
        </w:tc>
      </w:tr>
      <w:tr w:rsidR="00732BC0" w:rsidRPr="001213F7" w14:paraId="30D4720D" w14:textId="77777777">
        <w:tc>
          <w:tcPr>
            <w:cnfStyle w:val="001000000000" w:firstRow="0" w:lastRow="0" w:firstColumn="1" w:lastColumn="0" w:oddVBand="0" w:evenVBand="0" w:oddHBand="0" w:evenHBand="0" w:firstRowFirstColumn="0" w:firstRowLastColumn="0" w:lastRowFirstColumn="0" w:lastRowLastColumn="0"/>
            <w:tcW w:w="2946" w:type="dxa"/>
            <w:tcBorders>
              <w:bottom w:val="single" w:sz="6" w:space="0" w:color="auto"/>
            </w:tcBorders>
          </w:tcPr>
          <w:p w14:paraId="2E5A9FE3" w14:textId="77777777" w:rsidR="00732BC0" w:rsidRPr="001213F7" w:rsidRDefault="00732BC0">
            <w:r w:rsidRPr="001213F7">
              <w:t>Other liabilities(net)</w:t>
            </w:r>
            <w:r w:rsidRPr="001213F7">
              <w:rPr>
                <w:vertAlign w:val="superscript"/>
              </w:rPr>
              <w:t xml:space="preserve"> (b)</w:t>
            </w:r>
          </w:p>
        </w:tc>
        <w:tc>
          <w:tcPr>
            <w:tcW w:w="794" w:type="dxa"/>
            <w:tcBorders>
              <w:bottom w:val="single" w:sz="6" w:space="0" w:color="auto"/>
            </w:tcBorders>
          </w:tcPr>
          <w:p w14:paraId="65B4A5B9"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43.0</w:t>
            </w:r>
          </w:p>
        </w:tc>
        <w:tc>
          <w:tcPr>
            <w:tcW w:w="794" w:type="dxa"/>
            <w:tcBorders>
              <w:bottom w:val="single" w:sz="6" w:space="0" w:color="auto"/>
            </w:tcBorders>
          </w:tcPr>
          <w:p w14:paraId="5E469760"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43.2</w:t>
            </w:r>
          </w:p>
        </w:tc>
        <w:tc>
          <w:tcPr>
            <w:tcW w:w="794" w:type="dxa"/>
            <w:tcBorders>
              <w:bottom w:val="single" w:sz="6" w:space="0" w:color="auto"/>
            </w:tcBorders>
          </w:tcPr>
          <w:p w14:paraId="552A30AA"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42.0</w:t>
            </w:r>
          </w:p>
        </w:tc>
        <w:tc>
          <w:tcPr>
            <w:tcW w:w="794" w:type="dxa"/>
            <w:tcBorders>
              <w:bottom w:val="single" w:sz="6" w:space="0" w:color="auto"/>
            </w:tcBorders>
          </w:tcPr>
          <w:p w14:paraId="4E99CE16"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42.2</w:t>
            </w:r>
          </w:p>
        </w:tc>
        <w:tc>
          <w:tcPr>
            <w:tcW w:w="794" w:type="dxa"/>
            <w:tcBorders>
              <w:bottom w:val="single" w:sz="6" w:space="0" w:color="auto"/>
            </w:tcBorders>
          </w:tcPr>
          <w:p w14:paraId="7D840425"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41.2</w:t>
            </w:r>
          </w:p>
        </w:tc>
        <w:tc>
          <w:tcPr>
            <w:tcW w:w="794" w:type="dxa"/>
            <w:tcBorders>
              <w:bottom w:val="single" w:sz="6" w:space="0" w:color="auto"/>
            </w:tcBorders>
          </w:tcPr>
          <w:p w14:paraId="4C9FFDB2"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40.1</w:t>
            </w:r>
          </w:p>
        </w:tc>
      </w:tr>
      <w:tr w:rsidR="00732BC0" w:rsidRPr="001213F7" w14:paraId="00E941AF" w14:textId="77777777">
        <w:tc>
          <w:tcPr>
            <w:cnfStyle w:val="001000000000" w:firstRow="0" w:lastRow="0" w:firstColumn="1" w:lastColumn="0" w:oddVBand="0" w:evenVBand="0" w:oddHBand="0" w:evenHBand="0" w:firstRowFirstColumn="0" w:firstRowLastColumn="0" w:lastRowFirstColumn="0" w:lastRowLastColumn="0"/>
            <w:tcW w:w="2946" w:type="dxa"/>
            <w:tcBorders>
              <w:top w:val="single" w:sz="6" w:space="0" w:color="auto"/>
              <w:bottom w:val="single" w:sz="12" w:space="0" w:color="auto"/>
            </w:tcBorders>
          </w:tcPr>
          <w:p w14:paraId="61283523" w14:textId="77777777" w:rsidR="00732BC0" w:rsidRPr="001213F7" w:rsidRDefault="00732BC0">
            <w:r w:rsidRPr="001213F7">
              <w:rPr>
                <w:b/>
              </w:rPr>
              <w:t>Net financial liabilities</w:t>
            </w:r>
            <w:r w:rsidRPr="001213F7">
              <w:rPr>
                <w:b/>
                <w:vertAlign w:val="superscript"/>
              </w:rPr>
              <w:t xml:space="preserve"> (c)</w:t>
            </w:r>
          </w:p>
        </w:tc>
        <w:tc>
          <w:tcPr>
            <w:tcW w:w="794" w:type="dxa"/>
            <w:tcBorders>
              <w:top w:val="single" w:sz="6" w:space="0" w:color="auto"/>
              <w:bottom w:val="single" w:sz="12" w:space="0" w:color="auto"/>
            </w:tcBorders>
          </w:tcPr>
          <w:p w14:paraId="5E8B6671"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rPr>
                <w:b/>
              </w:rPr>
              <w:t>236.5</w:t>
            </w:r>
          </w:p>
        </w:tc>
        <w:tc>
          <w:tcPr>
            <w:tcW w:w="794" w:type="dxa"/>
            <w:tcBorders>
              <w:top w:val="single" w:sz="6" w:space="0" w:color="auto"/>
              <w:bottom w:val="single" w:sz="12" w:space="0" w:color="auto"/>
            </w:tcBorders>
          </w:tcPr>
          <w:p w14:paraId="24E5D804"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rPr>
                <w:b/>
              </w:rPr>
              <w:t>253.8</w:t>
            </w:r>
          </w:p>
        </w:tc>
        <w:tc>
          <w:tcPr>
            <w:tcW w:w="794" w:type="dxa"/>
            <w:tcBorders>
              <w:top w:val="single" w:sz="6" w:space="0" w:color="auto"/>
              <w:bottom w:val="single" w:sz="12" w:space="0" w:color="auto"/>
            </w:tcBorders>
          </w:tcPr>
          <w:p w14:paraId="209CD890"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rPr>
                <w:b/>
              </w:rPr>
              <w:t>270.8</w:t>
            </w:r>
          </w:p>
        </w:tc>
        <w:tc>
          <w:tcPr>
            <w:tcW w:w="794" w:type="dxa"/>
            <w:tcBorders>
              <w:top w:val="single" w:sz="6" w:space="0" w:color="auto"/>
              <w:bottom w:val="single" w:sz="12" w:space="0" w:color="auto"/>
            </w:tcBorders>
          </w:tcPr>
          <w:p w14:paraId="3C2CCE40"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rPr>
                <w:b/>
              </w:rPr>
              <w:t>281.2</w:t>
            </w:r>
          </w:p>
        </w:tc>
        <w:tc>
          <w:tcPr>
            <w:tcW w:w="794" w:type="dxa"/>
            <w:tcBorders>
              <w:top w:val="single" w:sz="6" w:space="0" w:color="auto"/>
              <w:bottom w:val="single" w:sz="12" w:space="0" w:color="auto"/>
            </w:tcBorders>
          </w:tcPr>
          <w:p w14:paraId="1DF14119"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rPr>
                <w:b/>
              </w:rPr>
              <w:t>291.4</w:t>
            </w:r>
          </w:p>
        </w:tc>
        <w:tc>
          <w:tcPr>
            <w:tcW w:w="794" w:type="dxa"/>
            <w:tcBorders>
              <w:top w:val="single" w:sz="6" w:space="0" w:color="auto"/>
              <w:bottom w:val="single" w:sz="12" w:space="0" w:color="auto"/>
            </w:tcBorders>
          </w:tcPr>
          <w:p w14:paraId="4B5B195F"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rPr>
                <w:b/>
              </w:rPr>
              <w:t>301.1</w:t>
            </w:r>
          </w:p>
        </w:tc>
      </w:tr>
      <w:tr w:rsidR="00732BC0" w:rsidRPr="001213F7" w14:paraId="2A064BF5" w14:textId="77777777">
        <w:tc>
          <w:tcPr>
            <w:cnfStyle w:val="001000000000" w:firstRow="0" w:lastRow="0" w:firstColumn="1" w:lastColumn="0" w:oddVBand="0" w:evenVBand="0" w:oddHBand="0" w:evenHBand="0" w:firstRowFirstColumn="0" w:firstRowLastColumn="0" w:lastRowFirstColumn="0" w:lastRowLastColumn="0"/>
            <w:tcW w:w="7710" w:type="dxa"/>
            <w:gridSpan w:val="7"/>
            <w:tcBorders>
              <w:top w:val="single" w:sz="6" w:space="0" w:color="auto"/>
            </w:tcBorders>
          </w:tcPr>
          <w:p w14:paraId="0F8986D5" w14:textId="77777777" w:rsidR="00732BC0" w:rsidRPr="001213F7" w:rsidRDefault="00732BC0">
            <w:pPr>
              <w:pStyle w:val="TableHeading"/>
              <w:spacing w:before="20"/>
              <w:ind w:left="1022" w:hanging="1022"/>
              <w:jc w:val="right"/>
            </w:pPr>
            <w:r w:rsidRPr="001213F7">
              <w:t>(per cent)</w:t>
            </w:r>
          </w:p>
        </w:tc>
      </w:tr>
      <w:tr w:rsidR="00732BC0" w:rsidRPr="001213F7" w14:paraId="1589F041" w14:textId="77777777">
        <w:tc>
          <w:tcPr>
            <w:cnfStyle w:val="001000000000" w:firstRow="0" w:lastRow="0" w:firstColumn="1" w:lastColumn="0" w:oddVBand="0" w:evenVBand="0" w:oddHBand="0" w:evenHBand="0" w:firstRowFirstColumn="0" w:firstRowLastColumn="0" w:lastRowFirstColumn="0" w:lastRowLastColumn="0"/>
            <w:tcW w:w="2946" w:type="dxa"/>
          </w:tcPr>
          <w:p w14:paraId="4E9CCC49" w14:textId="77777777" w:rsidR="00732BC0" w:rsidRPr="001213F7" w:rsidRDefault="00732BC0">
            <w:r w:rsidRPr="001213F7">
              <w:rPr>
                <w:b/>
              </w:rPr>
              <w:t>Net debt to GSP</w:t>
            </w:r>
            <w:r w:rsidRPr="001213F7">
              <w:rPr>
                <w:b/>
                <w:vertAlign w:val="superscript"/>
              </w:rPr>
              <w:t xml:space="preserve"> (d)</w:t>
            </w:r>
          </w:p>
        </w:tc>
        <w:tc>
          <w:tcPr>
            <w:tcW w:w="794" w:type="dxa"/>
          </w:tcPr>
          <w:p w14:paraId="7055D948"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rPr>
                <w:b/>
              </w:rPr>
              <w:t>27.5</w:t>
            </w:r>
          </w:p>
        </w:tc>
        <w:tc>
          <w:tcPr>
            <w:tcW w:w="794" w:type="dxa"/>
          </w:tcPr>
          <w:p w14:paraId="287D8FB3"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rPr>
                <w:b/>
              </w:rPr>
              <w:t>29.0</w:t>
            </w:r>
          </w:p>
        </w:tc>
        <w:tc>
          <w:tcPr>
            <w:tcW w:w="794" w:type="dxa"/>
          </w:tcPr>
          <w:p w14:paraId="73FE9945"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rPr>
                <w:b/>
              </w:rPr>
              <w:t>30.2</w:t>
            </w:r>
          </w:p>
        </w:tc>
        <w:tc>
          <w:tcPr>
            <w:tcW w:w="794" w:type="dxa"/>
          </w:tcPr>
          <w:p w14:paraId="094AE4B4"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rPr>
                <w:b/>
              </w:rPr>
              <w:t>30.4</w:t>
            </w:r>
          </w:p>
        </w:tc>
        <w:tc>
          <w:tcPr>
            <w:tcW w:w="794" w:type="dxa"/>
          </w:tcPr>
          <w:p w14:paraId="193491F4"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rPr>
                <w:b/>
              </w:rPr>
              <w:t>30.4</w:t>
            </w:r>
          </w:p>
        </w:tc>
        <w:tc>
          <w:tcPr>
            <w:tcW w:w="794" w:type="dxa"/>
          </w:tcPr>
          <w:p w14:paraId="10CFF8D6"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rPr>
                <w:b/>
              </w:rPr>
              <w:t>30.4</w:t>
            </w:r>
          </w:p>
        </w:tc>
      </w:tr>
      <w:tr w:rsidR="00732BC0" w:rsidRPr="001213F7" w14:paraId="290D053D" w14:textId="77777777">
        <w:tc>
          <w:tcPr>
            <w:cnfStyle w:val="001000000000" w:firstRow="0" w:lastRow="0" w:firstColumn="1" w:lastColumn="0" w:oddVBand="0" w:evenVBand="0" w:oddHBand="0" w:evenHBand="0" w:firstRowFirstColumn="0" w:firstRowLastColumn="0" w:lastRowFirstColumn="0" w:lastRowLastColumn="0"/>
            <w:tcW w:w="2946" w:type="dxa"/>
          </w:tcPr>
          <w:p w14:paraId="67D29E2A" w14:textId="77777777" w:rsidR="00732BC0" w:rsidRPr="001213F7" w:rsidRDefault="00732BC0">
            <w:r w:rsidRPr="001213F7">
              <w:rPr>
                <w:b/>
              </w:rPr>
              <w:t>Net debt plus superannuation liability to GSP</w:t>
            </w:r>
            <w:r w:rsidRPr="001213F7">
              <w:rPr>
                <w:b/>
                <w:vertAlign w:val="superscript"/>
              </w:rPr>
              <w:t xml:space="preserve"> (d)</w:t>
            </w:r>
          </w:p>
        </w:tc>
        <w:tc>
          <w:tcPr>
            <w:tcW w:w="794" w:type="dxa"/>
          </w:tcPr>
          <w:p w14:paraId="160AA613"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rPr>
                <w:b/>
              </w:rPr>
              <w:t>30.4</w:t>
            </w:r>
          </w:p>
        </w:tc>
        <w:tc>
          <w:tcPr>
            <w:tcW w:w="794" w:type="dxa"/>
          </w:tcPr>
          <w:p w14:paraId="3191E133"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rPr>
                <w:b/>
              </w:rPr>
              <w:t>31.4</w:t>
            </w:r>
          </w:p>
        </w:tc>
        <w:tc>
          <w:tcPr>
            <w:tcW w:w="794" w:type="dxa"/>
          </w:tcPr>
          <w:p w14:paraId="44792124"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rPr>
                <w:b/>
              </w:rPr>
              <w:t>32.5</w:t>
            </w:r>
          </w:p>
        </w:tc>
        <w:tc>
          <w:tcPr>
            <w:tcW w:w="794" w:type="dxa"/>
          </w:tcPr>
          <w:p w14:paraId="75F94415"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rPr>
                <w:b/>
              </w:rPr>
              <w:t>32.4</w:t>
            </w:r>
          </w:p>
        </w:tc>
        <w:tc>
          <w:tcPr>
            <w:tcW w:w="794" w:type="dxa"/>
          </w:tcPr>
          <w:p w14:paraId="76B5C9F2"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rPr>
                <w:b/>
              </w:rPr>
              <w:t>32.2</w:t>
            </w:r>
          </w:p>
        </w:tc>
        <w:tc>
          <w:tcPr>
            <w:tcW w:w="794" w:type="dxa"/>
          </w:tcPr>
          <w:p w14:paraId="37112D8B"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rPr>
                <w:b/>
              </w:rPr>
              <w:t>32.0</w:t>
            </w:r>
          </w:p>
        </w:tc>
      </w:tr>
      <w:tr w:rsidR="00732BC0" w:rsidRPr="001213F7" w14:paraId="52901214" w14:textId="77777777">
        <w:tc>
          <w:tcPr>
            <w:cnfStyle w:val="001000000000" w:firstRow="0" w:lastRow="0" w:firstColumn="1" w:lastColumn="0" w:oddVBand="0" w:evenVBand="0" w:oddHBand="0" w:evenHBand="0" w:firstRowFirstColumn="0" w:firstRowLastColumn="0" w:lastRowFirstColumn="0" w:lastRowLastColumn="0"/>
            <w:tcW w:w="2946" w:type="dxa"/>
          </w:tcPr>
          <w:p w14:paraId="738EC388" w14:textId="77777777" w:rsidR="00732BC0" w:rsidRPr="001213F7" w:rsidRDefault="00732BC0">
            <w:r w:rsidRPr="001213F7">
              <w:rPr>
                <w:b/>
              </w:rPr>
              <w:t>Net financial liabilities to GSP</w:t>
            </w:r>
            <w:r w:rsidRPr="001213F7">
              <w:rPr>
                <w:b/>
                <w:vertAlign w:val="superscript"/>
              </w:rPr>
              <w:t xml:space="preserve"> (d)</w:t>
            </w:r>
          </w:p>
        </w:tc>
        <w:tc>
          <w:tcPr>
            <w:tcW w:w="794" w:type="dxa"/>
          </w:tcPr>
          <w:p w14:paraId="46F03875"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rPr>
                <w:b/>
              </w:rPr>
              <w:t>37.1</w:t>
            </w:r>
          </w:p>
        </w:tc>
        <w:tc>
          <w:tcPr>
            <w:tcW w:w="794" w:type="dxa"/>
          </w:tcPr>
          <w:p w14:paraId="08B2CAAE"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rPr>
                <w:b/>
              </w:rPr>
              <w:t>37.8</w:t>
            </w:r>
          </w:p>
        </w:tc>
        <w:tc>
          <w:tcPr>
            <w:tcW w:w="794" w:type="dxa"/>
          </w:tcPr>
          <w:p w14:paraId="4E163772"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rPr>
                <w:b/>
              </w:rPr>
              <w:t>38.5</w:t>
            </w:r>
          </w:p>
        </w:tc>
        <w:tc>
          <w:tcPr>
            <w:tcW w:w="794" w:type="dxa"/>
          </w:tcPr>
          <w:p w14:paraId="455A0022"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rPr>
                <w:b/>
              </w:rPr>
              <w:t>38.1</w:t>
            </w:r>
          </w:p>
        </w:tc>
        <w:tc>
          <w:tcPr>
            <w:tcW w:w="794" w:type="dxa"/>
          </w:tcPr>
          <w:p w14:paraId="28C3EB86"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rPr>
                <w:b/>
              </w:rPr>
              <w:t>37.6</w:t>
            </w:r>
          </w:p>
        </w:tc>
        <w:tc>
          <w:tcPr>
            <w:tcW w:w="794" w:type="dxa"/>
          </w:tcPr>
          <w:p w14:paraId="7F2F3EFB"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rPr>
                <w:b/>
              </w:rPr>
              <w:t>36.9</w:t>
            </w:r>
          </w:p>
        </w:tc>
      </w:tr>
      <w:tr w:rsidR="00732BC0" w:rsidRPr="001213F7" w14:paraId="46372217" w14:textId="77777777">
        <w:tc>
          <w:tcPr>
            <w:cnfStyle w:val="001000000000" w:firstRow="0" w:lastRow="0" w:firstColumn="1" w:lastColumn="0" w:oddVBand="0" w:evenVBand="0" w:oddHBand="0" w:evenHBand="0" w:firstRowFirstColumn="0" w:firstRowLastColumn="0" w:lastRowFirstColumn="0" w:lastRowLastColumn="0"/>
            <w:tcW w:w="2946" w:type="dxa"/>
          </w:tcPr>
          <w:p w14:paraId="7C125C82" w14:textId="77777777" w:rsidR="00732BC0" w:rsidRPr="001213F7" w:rsidRDefault="00732BC0">
            <w:r w:rsidRPr="001213F7">
              <w:rPr>
                <w:b/>
              </w:rPr>
              <w:t>Net debt plus superannuation liability to revenue</w:t>
            </w:r>
            <w:r w:rsidRPr="001213F7">
              <w:rPr>
                <w:b/>
                <w:vertAlign w:val="superscript"/>
              </w:rPr>
              <w:t xml:space="preserve"> (e)</w:t>
            </w:r>
          </w:p>
        </w:tc>
        <w:tc>
          <w:tcPr>
            <w:tcW w:w="794" w:type="dxa"/>
          </w:tcPr>
          <w:p w14:paraId="6773DFDC"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rPr>
                <w:b/>
              </w:rPr>
              <w:t>178.1</w:t>
            </w:r>
          </w:p>
        </w:tc>
        <w:tc>
          <w:tcPr>
            <w:tcW w:w="794" w:type="dxa"/>
          </w:tcPr>
          <w:p w14:paraId="635FE5D8"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rPr>
                <w:b/>
              </w:rPr>
              <w:t>175.8</w:t>
            </w:r>
          </w:p>
        </w:tc>
        <w:tc>
          <w:tcPr>
            <w:tcW w:w="794" w:type="dxa"/>
          </w:tcPr>
          <w:p w14:paraId="71017106"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rPr>
                <w:b/>
              </w:rPr>
              <w:t>184.6</w:t>
            </w:r>
          </w:p>
        </w:tc>
        <w:tc>
          <w:tcPr>
            <w:tcW w:w="794" w:type="dxa"/>
          </w:tcPr>
          <w:p w14:paraId="5F59E00D"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rPr>
                <w:b/>
              </w:rPr>
              <w:t>189.8</w:t>
            </w:r>
          </w:p>
        </w:tc>
        <w:tc>
          <w:tcPr>
            <w:tcW w:w="794" w:type="dxa"/>
          </w:tcPr>
          <w:p w14:paraId="15F529B8"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rPr>
                <w:b/>
              </w:rPr>
              <w:t>191.4</w:t>
            </w:r>
          </w:p>
        </w:tc>
        <w:tc>
          <w:tcPr>
            <w:tcW w:w="794" w:type="dxa"/>
          </w:tcPr>
          <w:p w14:paraId="794E26E5"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rPr>
                <w:b/>
              </w:rPr>
              <w:t>192.0</w:t>
            </w:r>
          </w:p>
        </w:tc>
      </w:tr>
    </w:tbl>
    <w:p w14:paraId="4C23B2C8" w14:textId="77777777" w:rsidR="00732BC0" w:rsidRPr="001213F7" w:rsidRDefault="00732BC0">
      <w:pPr>
        <w:pStyle w:val="Note"/>
        <w:ind w:left="0" w:firstLine="0"/>
      </w:pPr>
      <w:r w:rsidRPr="001213F7">
        <w:t>Notes:</w:t>
      </w:r>
    </w:p>
    <w:p w14:paraId="108E881D" w14:textId="77777777" w:rsidR="00732BC0" w:rsidRPr="001213F7" w:rsidRDefault="00732BC0">
      <w:pPr>
        <w:pStyle w:val="Note"/>
      </w:pPr>
      <w:r w:rsidRPr="001213F7">
        <w:t>(a)</w:t>
      </w:r>
      <w:r w:rsidRPr="001213F7">
        <w:tab/>
        <w:t>Net debt is the sum of borrowings, deposits held and advances received less the sum of cash and deposits, advances paid, and investments, loans and placements.</w:t>
      </w:r>
    </w:p>
    <w:p w14:paraId="470871C3" w14:textId="77777777" w:rsidR="00732BC0" w:rsidRPr="001213F7" w:rsidRDefault="00732BC0">
      <w:pPr>
        <w:pStyle w:val="Note"/>
      </w:pPr>
      <w:r w:rsidRPr="001213F7">
        <w:t>(b)</w:t>
      </w:r>
      <w:r w:rsidRPr="001213F7">
        <w:tab/>
        <w:t>Other liabilities (net) include other employee entitlements and provisions and other non</w:t>
      </w:r>
      <w:r w:rsidRPr="001213F7">
        <w:noBreakHyphen/>
        <w:t>equity liabilities, less other non</w:t>
      </w:r>
      <w:r w:rsidRPr="001213F7">
        <w:noBreakHyphen/>
        <w:t>equity financial assets.</w:t>
      </w:r>
    </w:p>
    <w:p w14:paraId="2A012CA5" w14:textId="77777777" w:rsidR="00732BC0" w:rsidRPr="001213F7" w:rsidRDefault="00732BC0">
      <w:pPr>
        <w:pStyle w:val="Note"/>
      </w:pPr>
      <w:r w:rsidRPr="001213F7">
        <w:t>(c)</w:t>
      </w:r>
      <w:r w:rsidRPr="001213F7">
        <w:tab/>
        <w:t>Net financial liabilities is total liabilities less financial assets (excluding investments in other sector entities).</w:t>
      </w:r>
    </w:p>
    <w:p w14:paraId="0A1A7183" w14:textId="77777777" w:rsidR="00732BC0" w:rsidRPr="001213F7" w:rsidRDefault="00732BC0">
      <w:pPr>
        <w:pStyle w:val="Note"/>
      </w:pPr>
      <w:r w:rsidRPr="001213F7">
        <w:t>(d)</w:t>
      </w:r>
      <w:r w:rsidRPr="001213F7">
        <w:tab/>
        <w:t>The GSP-based ratios may vary between publications due to revisions to the Australian Bureau of Statistics GSP data.</w:t>
      </w:r>
    </w:p>
    <w:p w14:paraId="33817194" w14:textId="77777777" w:rsidR="00732BC0" w:rsidRPr="001213F7" w:rsidRDefault="00732BC0">
      <w:pPr>
        <w:pStyle w:val="Note"/>
      </w:pPr>
      <w:r w:rsidRPr="001213F7">
        <w:t>(e)</w:t>
      </w:r>
      <w:r w:rsidRPr="001213F7">
        <w:tab/>
        <w:t>This is the sum of the NFPS net debt and the superannuation liability as a proportion of NFPS total operating revenue.</w:t>
      </w:r>
    </w:p>
    <w:p w14:paraId="07EEFD15" w14:textId="77777777" w:rsidR="00732BC0" w:rsidRPr="001213F7" w:rsidRDefault="00732BC0">
      <w:pPr>
        <w:pStyle w:val="Note"/>
      </w:pPr>
    </w:p>
    <w:p w14:paraId="766FB896" w14:textId="77777777" w:rsidR="00732BC0" w:rsidRPr="001213F7" w:rsidRDefault="00732BC0">
      <w:r w:rsidRPr="001213F7">
        <w:t xml:space="preserve">Table 5.6 shows several indicators of financial sustainability for the NFPS over the budget and forward estimates. </w:t>
      </w:r>
    </w:p>
    <w:p w14:paraId="370947E8" w14:textId="77777777" w:rsidR="00732BC0" w:rsidRPr="001213F7" w:rsidRDefault="00732BC0">
      <w:r w:rsidRPr="001213F7">
        <w:t>The operating cash flow surplus to revenue ratio is an indication of the extent to which the cash generated from operations can be used to fund infrastructure. This ratio increases from 6.1 </w:t>
      </w:r>
      <w:r w:rsidRPr="001213F7">
        <w:rPr>
          <w:rFonts w:hint="eastAsia"/>
        </w:rPr>
        <w:t>per</w:t>
      </w:r>
      <w:r w:rsidRPr="001213F7">
        <w:t> </w:t>
      </w:r>
      <w:r w:rsidRPr="001213F7">
        <w:rPr>
          <w:rFonts w:hint="eastAsia"/>
        </w:rPr>
        <w:t>cent</w:t>
      </w:r>
      <w:r w:rsidRPr="001213F7">
        <w:t xml:space="preserve"> in 2026-27 to 6.5 in 2027-28, before decreasing to 5</w:t>
      </w:r>
      <w:r w:rsidRPr="001213F7" w:rsidDel="003B7833">
        <w:t>.</w:t>
      </w:r>
      <w:r w:rsidRPr="001213F7">
        <w:t>9 </w:t>
      </w:r>
      <w:r w:rsidRPr="001213F7">
        <w:rPr>
          <w:rFonts w:hint="eastAsia"/>
        </w:rPr>
        <w:t>per</w:t>
      </w:r>
      <w:r w:rsidRPr="001213F7">
        <w:t> </w:t>
      </w:r>
      <w:r w:rsidRPr="001213F7">
        <w:rPr>
          <w:rFonts w:hint="eastAsia"/>
        </w:rPr>
        <w:t>cent</w:t>
      </w:r>
      <w:r w:rsidRPr="001213F7">
        <w:t xml:space="preserve"> in 2029</w:t>
      </w:r>
      <w:r w:rsidRPr="001213F7">
        <w:noBreakHyphen/>
        <w:t xml:space="preserve">30. These annual changes are predominately driven by the general government sector operating cash position which is explained in Chapter 4 </w:t>
      </w:r>
      <w:r w:rsidRPr="001213F7">
        <w:rPr>
          <w:i/>
        </w:rPr>
        <w:t>Budget position and outlook</w:t>
      </w:r>
      <w:r w:rsidRPr="001213F7">
        <w:t>.</w:t>
      </w:r>
    </w:p>
    <w:p w14:paraId="7A185B08" w14:textId="77777777" w:rsidR="00732BC0" w:rsidRPr="001213F7" w:rsidRDefault="00732BC0">
      <w:pPr>
        <w:ind w:right="61"/>
      </w:pPr>
      <w:r w:rsidRPr="001213F7">
        <w:t>The ratio of gross debt to revenue, which indicates the overall debt burden, is estimated to be 201.5 </w:t>
      </w:r>
      <w:r w:rsidRPr="001213F7">
        <w:rPr>
          <w:rFonts w:hint="eastAsia"/>
        </w:rPr>
        <w:t>per</w:t>
      </w:r>
      <w:r w:rsidRPr="001213F7">
        <w:t> </w:t>
      </w:r>
      <w:r w:rsidRPr="001213F7">
        <w:rPr>
          <w:rFonts w:hint="eastAsia"/>
        </w:rPr>
        <w:t>cent</w:t>
      </w:r>
      <w:r w:rsidRPr="001213F7">
        <w:t xml:space="preserve"> in 2026-27 and increase to 213.9 </w:t>
      </w:r>
      <w:r w:rsidRPr="001213F7">
        <w:rPr>
          <w:rFonts w:hint="eastAsia"/>
        </w:rPr>
        <w:t>per</w:t>
      </w:r>
      <w:r w:rsidRPr="001213F7">
        <w:t> </w:t>
      </w:r>
      <w:r w:rsidRPr="001213F7">
        <w:rPr>
          <w:rFonts w:hint="eastAsia"/>
        </w:rPr>
        <w:t>cent</w:t>
      </w:r>
      <w:r w:rsidRPr="001213F7">
        <w:t xml:space="preserve"> in 2029-30. The NFPS interest expense to revenue ratio, which is a measure of the State’s debt service burden, is also expected to increase over the budget and forward estimates period. This increase is driven by increases in debt and the existing debt being refinanced at the prevailing market interest rate.</w:t>
      </w:r>
    </w:p>
    <w:p w14:paraId="13693440" w14:textId="77777777" w:rsidR="00732BC0" w:rsidRPr="001213F7" w:rsidRDefault="00732BC0">
      <w:pPr>
        <w:pStyle w:val="TableHeading"/>
      </w:pPr>
      <w:r w:rsidRPr="001213F7">
        <w:lastRenderedPageBreak/>
        <w:t xml:space="preserve">Table 5.6: </w:t>
      </w:r>
      <w:r w:rsidRPr="001213F7">
        <w:tab/>
        <w:t>Indicators of financial sustainability for the non-financial public sector</w:t>
      </w:r>
      <w:r w:rsidRPr="001213F7">
        <w:tab/>
        <w:t>(per cent)</w:t>
      </w:r>
    </w:p>
    <w:tbl>
      <w:tblPr>
        <w:tblStyle w:val="DTFTableNumeric"/>
        <w:tblW w:w="7710" w:type="dxa"/>
        <w:tblLayout w:type="fixed"/>
        <w:tblLook w:val="06A0" w:firstRow="1" w:lastRow="0" w:firstColumn="1" w:lastColumn="0" w:noHBand="1" w:noVBand="1"/>
        <w:tblDescription w:val="Type:DtfTable|Workbook:https://vicgov.sharepoint.com/sites/VG002735/BP2/Spreadsheets/Chapter%205%20-%20CRA_FAL/SRIMS_BP2_Chap5_NFPS.xlsx|Table:NFPS_Indicators|TableGroup:Chapter 5"/>
      </w:tblPr>
      <w:tblGrid>
        <w:gridCol w:w="2946"/>
        <w:gridCol w:w="794"/>
        <w:gridCol w:w="794"/>
        <w:gridCol w:w="794"/>
        <w:gridCol w:w="794"/>
        <w:gridCol w:w="794"/>
        <w:gridCol w:w="794"/>
      </w:tblGrid>
      <w:tr w:rsidR="00732BC0" w:rsidRPr="001213F7" w14:paraId="5616E4DD"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946" w:type="dxa"/>
            <w:tcBorders>
              <w:top w:val="single" w:sz="6" w:space="0" w:color="auto"/>
            </w:tcBorders>
          </w:tcPr>
          <w:p w14:paraId="460635EB" w14:textId="77777777" w:rsidR="00732BC0" w:rsidRPr="001213F7" w:rsidRDefault="00732BC0">
            <w:pPr>
              <w:keepNext/>
            </w:pPr>
          </w:p>
        </w:tc>
        <w:tc>
          <w:tcPr>
            <w:tcW w:w="794" w:type="dxa"/>
            <w:tcBorders>
              <w:top w:val="single" w:sz="6" w:space="0" w:color="auto"/>
            </w:tcBorders>
          </w:tcPr>
          <w:p w14:paraId="774F5AD3" w14:textId="77777777" w:rsidR="00732BC0" w:rsidRPr="001213F7" w:rsidRDefault="00732BC0">
            <w:pPr>
              <w:keepNext/>
              <w:cnfStyle w:val="100000000000" w:firstRow="1" w:lastRow="0" w:firstColumn="0" w:lastColumn="0" w:oddVBand="0" w:evenVBand="0" w:oddHBand="0" w:evenHBand="0" w:firstRowFirstColumn="0" w:firstRowLastColumn="0" w:lastRowFirstColumn="0" w:lastRowLastColumn="0"/>
            </w:pPr>
            <w:r w:rsidRPr="001213F7">
              <w:t>2024</w:t>
            </w:r>
            <w:r w:rsidRPr="001213F7">
              <w:noBreakHyphen/>
              <w:t>25</w:t>
            </w:r>
          </w:p>
        </w:tc>
        <w:tc>
          <w:tcPr>
            <w:tcW w:w="794" w:type="dxa"/>
            <w:tcBorders>
              <w:top w:val="single" w:sz="6" w:space="0" w:color="auto"/>
            </w:tcBorders>
          </w:tcPr>
          <w:p w14:paraId="3A5C446B" w14:textId="77777777" w:rsidR="00732BC0" w:rsidRPr="001213F7" w:rsidRDefault="00732BC0">
            <w:pPr>
              <w:keepNext/>
              <w:cnfStyle w:val="100000000000" w:firstRow="1" w:lastRow="0" w:firstColumn="0" w:lastColumn="0" w:oddVBand="0" w:evenVBand="0" w:oddHBand="0" w:evenHBand="0" w:firstRowFirstColumn="0" w:firstRowLastColumn="0" w:lastRowFirstColumn="0" w:lastRowLastColumn="0"/>
            </w:pPr>
            <w:r w:rsidRPr="001213F7">
              <w:t>2025</w:t>
            </w:r>
            <w:r w:rsidRPr="001213F7">
              <w:noBreakHyphen/>
              <w:t>26</w:t>
            </w:r>
          </w:p>
        </w:tc>
        <w:tc>
          <w:tcPr>
            <w:tcW w:w="794" w:type="dxa"/>
            <w:tcBorders>
              <w:top w:val="single" w:sz="6" w:space="0" w:color="auto"/>
            </w:tcBorders>
          </w:tcPr>
          <w:p w14:paraId="00B988C7" w14:textId="77777777" w:rsidR="00732BC0" w:rsidRPr="001213F7" w:rsidRDefault="00732BC0">
            <w:pPr>
              <w:keepNext/>
              <w:cnfStyle w:val="100000000000" w:firstRow="1" w:lastRow="0" w:firstColumn="0" w:lastColumn="0" w:oddVBand="0" w:evenVBand="0" w:oddHBand="0" w:evenHBand="0" w:firstRowFirstColumn="0" w:firstRowLastColumn="0" w:lastRowFirstColumn="0" w:lastRowLastColumn="0"/>
            </w:pPr>
            <w:r w:rsidRPr="001213F7">
              <w:t>2026</w:t>
            </w:r>
            <w:r w:rsidRPr="001213F7">
              <w:noBreakHyphen/>
              <w:t>27</w:t>
            </w:r>
          </w:p>
        </w:tc>
        <w:tc>
          <w:tcPr>
            <w:tcW w:w="794" w:type="dxa"/>
            <w:tcBorders>
              <w:top w:val="single" w:sz="6" w:space="0" w:color="auto"/>
            </w:tcBorders>
          </w:tcPr>
          <w:p w14:paraId="68C0EDD7" w14:textId="77777777" w:rsidR="00732BC0" w:rsidRPr="001213F7" w:rsidRDefault="00732BC0">
            <w:pPr>
              <w:keepNext/>
              <w:cnfStyle w:val="100000000000" w:firstRow="1" w:lastRow="0" w:firstColumn="0" w:lastColumn="0" w:oddVBand="0" w:evenVBand="0" w:oddHBand="0" w:evenHBand="0" w:firstRowFirstColumn="0" w:firstRowLastColumn="0" w:lastRowFirstColumn="0" w:lastRowLastColumn="0"/>
            </w:pPr>
            <w:r w:rsidRPr="001213F7">
              <w:t>2027</w:t>
            </w:r>
            <w:r w:rsidRPr="001213F7">
              <w:noBreakHyphen/>
              <w:t>28</w:t>
            </w:r>
          </w:p>
        </w:tc>
        <w:tc>
          <w:tcPr>
            <w:tcW w:w="794" w:type="dxa"/>
            <w:tcBorders>
              <w:top w:val="single" w:sz="6" w:space="0" w:color="auto"/>
            </w:tcBorders>
          </w:tcPr>
          <w:p w14:paraId="4C71501C" w14:textId="77777777" w:rsidR="00732BC0" w:rsidRPr="001213F7" w:rsidRDefault="00732BC0">
            <w:pPr>
              <w:keepNext/>
              <w:cnfStyle w:val="100000000000" w:firstRow="1" w:lastRow="0" w:firstColumn="0" w:lastColumn="0" w:oddVBand="0" w:evenVBand="0" w:oddHBand="0" w:evenHBand="0" w:firstRowFirstColumn="0" w:firstRowLastColumn="0" w:lastRowFirstColumn="0" w:lastRowLastColumn="0"/>
            </w:pPr>
            <w:r w:rsidRPr="001213F7">
              <w:t>2028</w:t>
            </w:r>
            <w:r w:rsidRPr="001213F7">
              <w:noBreakHyphen/>
              <w:t>29</w:t>
            </w:r>
          </w:p>
        </w:tc>
        <w:tc>
          <w:tcPr>
            <w:tcW w:w="794" w:type="dxa"/>
            <w:tcBorders>
              <w:top w:val="single" w:sz="6" w:space="0" w:color="auto"/>
            </w:tcBorders>
          </w:tcPr>
          <w:p w14:paraId="321B22E8" w14:textId="77777777" w:rsidR="00732BC0" w:rsidRPr="001213F7" w:rsidRDefault="00732BC0">
            <w:pPr>
              <w:keepNext/>
              <w:cnfStyle w:val="100000000000" w:firstRow="1" w:lastRow="0" w:firstColumn="0" w:lastColumn="0" w:oddVBand="0" w:evenVBand="0" w:oddHBand="0" w:evenHBand="0" w:firstRowFirstColumn="0" w:firstRowLastColumn="0" w:lastRowFirstColumn="0" w:lastRowLastColumn="0"/>
            </w:pPr>
            <w:r w:rsidRPr="001213F7">
              <w:t>2029</w:t>
            </w:r>
            <w:r w:rsidRPr="001213F7">
              <w:noBreakHyphen/>
              <w:t>30</w:t>
            </w:r>
          </w:p>
        </w:tc>
      </w:tr>
      <w:tr w:rsidR="00732BC0" w:rsidRPr="001213F7" w14:paraId="70A1AFC4"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946" w:type="dxa"/>
            <w:tcBorders>
              <w:bottom w:val="single" w:sz="6" w:space="0" w:color="auto"/>
            </w:tcBorders>
          </w:tcPr>
          <w:p w14:paraId="4756D02C" w14:textId="77777777" w:rsidR="00732BC0" w:rsidRPr="001213F7" w:rsidRDefault="00732BC0">
            <w:pPr>
              <w:keepNext/>
            </w:pPr>
          </w:p>
        </w:tc>
        <w:tc>
          <w:tcPr>
            <w:tcW w:w="794" w:type="dxa"/>
            <w:tcBorders>
              <w:bottom w:val="single" w:sz="6" w:space="0" w:color="auto"/>
            </w:tcBorders>
          </w:tcPr>
          <w:p w14:paraId="687CF250" w14:textId="77777777" w:rsidR="00732BC0" w:rsidRPr="001213F7" w:rsidRDefault="00732BC0">
            <w:pPr>
              <w:keepNext/>
              <w:cnfStyle w:val="100000000000" w:firstRow="1" w:lastRow="0" w:firstColumn="0" w:lastColumn="0" w:oddVBand="0" w:evenVBand="0" w:oddHBand="0" w:evenHBand="0" w:firstRowFirstColumn="0" w:firstRowLastColumn="0" w:lastRowFirstColumn="0" w:lastRowLastColumn="0"/>
            </w:pPr>
            <w:r w:rsidRPr="001213F7">
              <w:t>actual</w:t>
            </w:r>
          </w:p>
        </w:tc>
        <w:tc>
          <w:tcPr>
            <w:tcW w:w="794" w:type="dxa"/>
            <w:tcBorders>
              <w:bottom w:val="single" w:sz="6" w:space="0" w:color="auto"/>
            </w:tcBorders>
          </w:tcPr>
          <w:p w14:paraId="1C68C819" w14:textId="77777777" w:rsidR="00732BC0" w:rsidRPr="001213F7" w:rsidRDefault="00732BC0">
            <w:pPr>
              <w:keepNext/>
              <w:cnfStyle w:val="100000000000" w:firstRow="1" w:lastRow="0" w:firstColumn="0" w:lastColumn="0" w:oddVBand="0" w:evenVBand="0" w:oddHBand="0" w:evenHBand="0" w:firstRowFirstColumn="0" w:firstRowLastColumn="0" w:lastRowFirstColumn="0" w:lastRowLastColumn="0"/>
            </w:pPr>
            <w:r w:rsidRPr="001213F7">
              <w:t>revised</w:t>
            </w:r>
          </w:p>
        </w:tc>
        <w:tc>
          <w:tcPr>
            <w:tcW w:w="794" w:type="dxa"/>
            <w:tcBorders>
              <w:bottom w:val="single" w:sz="6" w:space="0" w:color="auto"/>
            </w:tcBorders>
          </w:tcPr>
          <w:p w14:paraId="7AD1232C" w14:textId="77777777" w:rsidR="00732BC0" w:rsidRPr="001213F7" w:rsidRDefault="00732BC0">
            <w:pPr>
              <w:keepNext/>
              <w:cnfStyle w:val="100000000000" w:firstRow="1" w:lastRow="0" w:firstColumn="0" w:lastColumn="0" w:oddVBand="0" w:evenVBand="0" w:oddHBand="0" w:evenHBand="0" w:firstRowFirstColumn="0" w:firstRowLastColumn="0" w:lastRowFirstColumn="0" w:lastRowLastColumn="0"/>
            </w:pPr>
            <w:r w:rsidRPr="001213F7">
              <w:t>budget</w:t>
            </w:r>
          </w:p>
        </w:tc>
        <w:tc>
          <w:tcPr>
            <w:tcW w:w="794" w:type="dxa"/>
            <w:tcBorders>
              <w:bottom w:val="single" w:sz="6" w:space="0" w:color="auto"/>
            </w:tcBorders>
          </w:tcPr>
          <w:p w14:paraId="443F42C0" w14:textId="77777777" w:rsidR="00732BC0" w:rsidRPr="001213F7" w:rsidRDefault="00732BC0">
            <w:pPr>
              <w:keepNext/>
              <w:cnfStyle w:val="100000000000" w:firstRow="1" w:lastRow="0" w:firstColumn="0" w:lastColumn="0" w:oddVBand="0" w:evenVBand="0" w:oddHBand="0" w:evenHBand="0" w:firstRowFirstColumn="0" w:firstRowLastColumn="0" w:lastRowFirstColumn="0" w:lastRowLastColumn="0"/>
            </w:pPr>
            <w:r w:rsidRPr="001213F7">
              <w:t>estimate</w:t>
            </w:r>
          </w:p>
        </w:tc>
        <w:tc>
          <w:tcPr>
            <w:tcW w:w="794" w:type="dxa"/>
            <w:tcBorders>
              <w:bottom w:val="single" w:sz="6" w:space="0" w:color="auto"/>
            </w:tcBorders>
          </w:tcPr>
          <w:p w14:paraId="49F08BA7" w14:textId="77777777" w:rsidR="00732BC0" w:rsidRPr="001213F7" w:rsidRDefault="00732BC0">
            <w:pPr>
              <w:keepNext/>
              <w:cnfStyle w:val="100000000000" w:firstRow="1" w:lastRow="0" w:firstColumn="0" w:lastColumn="0" w:oddVBand="0" w:evenVBand="0" w:oddHBand="0" w:evenHBand="0" w:firstRowFirstColumn="0" w:firstRowLastColumn="0" w:lastRowFirstColumn="0" w:lastRowLastColumn="0"/>
            </w:pPr>
            <w:r w:rsidRPr="001213F7">
              <w:t>estimate</w:t>
            </w:r>
          </w:p>
        </w:tc>
        <w:tc>
          <w:tcPr>
            <w:tcW w:w="794" w:type="dxa"/>
            <w:tcBorders>
              <w:bottom w:val="single" w:sz="6" w:space="0" w:color="auto"/>
            </w:tcBorders>
          </w:tcPr>
          <w:p w14:paraId="2C2A5F95" w14:textId="77777777" w:rsidR="00732BC0" w:rsidRPr="001213F7" w:rsidRDefault="00732BC0">
            <w:pPr>
              <w:keepNext/>
              <w:cnfStyle w:val="100000000000" w:firstRow="1" w:lastRow="0" w:firstColumn="0" w:lastColumn="0" w:oddVBand="0" w:evenVBand="0" w:oddHBand="0" w:evenHBand="0" w:firstRowFirstColumn="0" w:firstRowLastColumn="0" w:lastRowFirstColumn="0" w:lastRowLastColumn="0"/>
            </w:pPr>
            <w:r w:rsidRPr="001213F7">
              <w:t>estimate</w:t>
            </w:r>
          </w:p>
        </w:tc>
      </w:tr>
      <w:tr w:rsidR="00732BC0" w:rsidRPr="001213F7" w14:paraId="2F9F7416" w14:textId="77777777">
        <w:tc>
          <w:tcPr>
            <w:cnfStyle w:val="001000000000" w:firstRow="0" w:lastRow="0" w:firstColumn="1" w:lastColumn="0" w:oddVBand="0" w:evenVBand="0" w:oddHBand="0" w:evenHBand="0" w:firstRowFirstColumn="0" w:firstRowLastColumn="0" w:lastRowFirstColumn="0" w:lastRowLastColumn="0"/>
            <w:tcW w:w="2946" w:type="dxa"/>
            <w:tcBorders>
              <w:top w:val="single" w:sz="6" w:space="0" w:color="auto"/>
            </w:tcBorders>
          </w:tcPr>
          <w:p w14:paraId="05E0EDD7" w14:textId="77777777" w:rsidR="00732BC0" w:rsidRPr="001213F7" w:rsidRDefault="00732BC0">
            <w:r w:rsidRPr="001213F7">
              <w:t>Operating cash flow surplus to revenue</w:t>
            </w:r>
          </w:p>
        </w:tc>
        <w:tc>
          <w:tcPr>
            <w:tcW w:w="794" w:type="dxa"/>
            <w:tcBorders>
              <w:top w:val="single" w:sz="6" w:space="0" w:color="auto"/>
            </w:tcBorders>
          </w:tcPr>
          <w:p w14:paraId="2110F97E"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4.3</w:t>
            </w:r>
          </w:p>
        </w:tc>
        <w:tc>
          <w:tcPr>
            <w:tcW w:w="794" w:type="dxa"/>
            <w:tcBorders>
              <w:top w:val="single" w:sz="6" w:space="0" w:color="auto"/>
            </w:tcBorders>
          </w:tcPr>
          <w:p w14:paraId="23402CF1"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6.1</w:t>
            </w:r>
          </w:p>
        </w:tc>
        <w:tc>
          <w:tcPr>
            <w:tcW w:w="794" w:type="dxa"/>
            <w:tcBorders>
              <w:top w:val="single" w:sz="6" w:space="0" w:color="auto"/>
            </w:tcBorders>
          </w:tcPr>
          <w:p w14:paraId="7008EF0B"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6.1</w:t>
            </w:r>
          </w:p>
        </w:tc>
        <w:tc>
          <w:tcPr>
            <w:tcW w:w="794" w:type="dxa"/>
            <w:tcBorders>
              <w:top w:val="single" w:sz="6" w:space="0" w:color="auto"/>
            </w:tcBorders>
          </w:tcPr>
          <w:p w14:paraId="21C75C81"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6.5</w:t>
            </w:r>
          </w:p>
        </w:tc>
        <w:tc>
          <w:tcPr>
            <w:tcW w:w="794" w:type="dxa"/>
            <w:tcBorders>
              <w:top w:val="single" w:sz="6" w:space="0" w:color="auto"/>
            </w:tcBorders>
          </w:tcPr>
          <w:p w14:paraId="78347CBA"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6.0</w:t>
            </w:r>
          </w:p>
        </w:tc>
        <w:tc>
          <w:tcPr>
            <w:tcW w:w="794" w:type="dxa"/>
            <w:tcBorders>
              <w:top w:val="single" w:sz="6" w:space="0" w:color="auto"/>
            </w:tcBorders>
          </w:tcPr>
          <w:p w14:paraId="10A1F0CC"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5.9</w:t>
            </w:r>
          </w:p>
        </w:tc>
      </w:tr>
      <w:tr w:rsidR="00732BC0" w:rsidRPr="001213F7" w14:paraId="106E53CF" w14:textId="77777777">
        <w:trPr>
          <w:trHeight w:hRule="exact" w:val="113"/>
        </w:trPr>
        <w:tc>
          <w:tcPr>
            <w:cnfStyle w:val="001000000000" w:firstRow="0" w:lastRow="0" w:firstColumn="1" w:lastColumn="0" w:oddVBand="0" w:evenVBand="0" w:oddHBand="0" w:evenHBand="0" w:firstRowFirstColumn="0" w:firstRowLastColumn="0" w:lastRowFirstColumn="0" w:lastRowLastColumn="0"/>
            <w:tcW w:w="2946" w:type="dxa"/>
          </w:tcPr>
          <w:p w14:paraId="13354FC1" w14:textId="77777777" w:rsidR="00732BC0" w:rsidRPr="001213F7" w:rsidRDefault="00732BC0"/>
        </w:tc>
        <w:tc>
          <w:tcPr>
            <w:tcW w:w="794" w:type="dxa"/>
          </w:tcPr>
          <w:p w14:paraId="7F4157D5"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p>
        </w:tc>
        <w:tc>
          <w:tcPr>
            <w:tcW w:w="794" w:type="dxa"/>
          </w:tcPr>
          <w:p w14:paraId="08D3737A"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p>
        </w:tc>
        <w:tc>
          <w:tcPr>
            <w:tcW w:w="794" w:type="dxa"/>
          </w:tcPr>
          <w:p w14:paraId="3301D4C8"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p>
        </w:tc>
        <w:tc>
          <w:tcPr>
            <w:tcW w:w="794" w:type="dxa"/>
          </w:tcPr>
          <w:p w14:paraId="684CBEBE"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p>
        </w:tc>
        <w:tc>
          <w:tcPr>
            <w:tcW w:w="794" w:type="dxa"/>
          </w:tcPr>
          <w:p w14:paraId="633E60CE"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p>
        </w:tc>
        <w:tc>
          <w:tcPr>
            <w:tcW w:w="794" w:type="dxa"/>
          </w:tcPr>
          <w:p w14:paraId="6B149A3F"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p>
        </w:tc>
      </w:tr>
      <w:tr w:rsidR="00732BC0" w:rsidRPr="001213F7" w14:paraId="1B7F3247" w14:textId="77777777">
        <w:tc>
          <w:tcPr>
            <w:cnfStyle w:val="001000000000" w:firstRow="0" w:lastRow="0" w:firstColumn="1" w:lastColumn="0" w:oddVBand="0" w:evenVBand="0" w:oddHBand="0" w:evenHBand="0" w:firstRowFirstColumn="0" w:firstRowLastColumn="0" w:lastRowFirstColumn="0" w:lastRowLastColumn="0"/>
            <w:tcW w:w="2946" w:type="dxa"/>
          </w:tcPr>
          <w:p w14:paraId="7391D57B" w14:textId="77777777" w:rsidR="00732BC0" w:rsidRPr="001213F7" w:rsidRDefault="00732BC0">
            <w:r w:rsidRPr="001213F7">
              <w:t>Gross debt to revenue</w:t>
            </w:r>
            <w:r w:rsidRPr="001213F7">
              <w:rPr>
                <w:vertAlign w:val="superscript"/>
              </w:rPr>
              <w:t xml:space="preserve"> (a)</w:t>
            </w:r>
          </w:p>
        </w:tc>
        <w:tc>
          <w:tcPr>
            <w:tcW w:w="794" w:type="dxa"/>
          </w:tcPr>
          <w:p w14:paraId="3CB7D31C"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193.6</w:t>
            </w:r>
          </w:p>
        </w:tc>
        <w:tc>
          <w:tcPr>
            <w:tcW w:w="794" w:type="dxa"/>
          </w:tcPr>
          <w:p w14:paraId="732AA3B9"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193.3</w:t>
            </w:r>
          </w:p>
        </w:tc>
        <w:tc>
          <w:tcPr>
            <w:tcW w:w="794" w:type="dxa"/>
          </w:tcPr>
          <w:p w14:paraId="45D7E625"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201.5</w:t>
            </w:r>
          </w:p>
        </w:tc>
        <w:tc>
          <w:tcPr>
            <w:tcW w:w="794" w:type="dxa"/>
          </w:tcPr>
          <w:p w14:paraId="06A4EFB0"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208.4</w:t>
            </w:r>
          </w:p>
        </w:tc>
        <w:tc>
          <w:tcPr>
            <w:tcW w:w="794" w:type="dxa"/>
          </w:tcPr>
          <w:p w14:paraId="008BE90A"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211.7</w:t>
            </w:r>
          </w:p>
        </w:tc>
        <w:tc>
          <w:tcPr>
            <w:tcW w:w="794" w:type="dxa"/>
          </w:tcPr>
          <w:p w14:paraId="1277DDA8"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213.9</w:t>
            </w:r>
          </w:p>
        </w:tc>
      </w:tr>
      <w:tr w:rsidR="00732BC0" w:rsidRPr="001213F7" w14:paraId="38C9E6AE" w14:textId="77777777">
        <w:trPr>
          <w:trHeight w:hRule="exact" w:val="113"/>
        </w:trPr>
        <w:tc>
          <w:tcPr>
            <w:cnfStyle w:val="001000000000" w:firstRow="0" w:lastRow="0" w:firstColumn="1" w:lastColumn="0" w:oddVBand="0" w:evenVBand="0" w:oddHBand="0" w:evenHBand="0" w:firstRowFirstColumn="0" w:firstRowLastColumn="0" w:lastRowFirstColumn="0" w:lastRowLastColumn="0"/>
            <w:tcW w:w="2946" w:type="dxa"/>
          </w:tcPr>
          <w:p w14:paraId="79B88E44" w14:textId="77777777" w:rsidR="00732BC0" w:rsidRPr="001213F7" w:rsidRDefault="00732BC0"/>
        </w:tc>
        <w:tc>
          <w:tcPr>
            <w:tcW w:w="794" w:type="dxa"/>
          </w:tcPr>
          <w:p w14:paraId="3836BF4D"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p>
        </w:tc>
        <w:tc>
          <w:tcPr>
            <w:tcW w:w="794" w:type="dxa"/>
          </w:tcPr>
          <w:p w14:paraId="2755C11E"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p>
        </w:tc>
        <w:tc>
          <w:tcPr>
            <w:tcW w:w="794" w:type="dxa"/>
          </w:tcPr>
          <w:p w14:paraId="1FDE7511"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p>
        </w:tc>
        <w:tc>
          <w:tcPr>
            <w:tcW w:w="794" w:type="dxa"/>
          </w:tcPr>
          <w:p w14:paraId="343DC67F"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p>
        </w:tc>
        <w:tc>
          <w:tcPr>
            <w:tcW w:w="794" w:type="dxa"/>
          </w:tcPr>
          <w:p w14:paraId="40F4CE41"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p>
        </w:tc>
        <w:tc>
          <w:tcPr>
            <w:tcW w:w="794" w:type="dxa"/>
          </w:tcPr>
          <w:p w14:paraId="0A995E78"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p>
        </w:tc>
      </w:tr>
      <w:tr w:rsidR="00732BC0" w:rsidRPr="001213F7" w14:paraId="15EAD59C" w14:textId="77777777">
        <w:tc>
          <w:tcPr>
            <w:cnfStyle w:val="001000000000" w:firstRow="0" w:lastRow="0" w:firstColumn="1" w:lastColumn="0" w:oddVBand="0" w:evenVBand="0" w:oddHBand="0" w:evenHBand="0" w:firstRowFirstColumn="0" w:firstRowLastColumn="0" w:lastRowFirstColumn="0" w:lastRowLastColumn="0"/>
            <w:tcW w:w="2946" w:type="dxa"/>
          </w:tcPr>
          <w:p w14:paraId="34A366D2" w14:textId="77777777" w:rsidR="00732BC0" w:rsidRPr="001213F7" w:rsidRDefault="00732BC0">
            <w:r w:rsidRPr="001213F7">
              <w:t>Interest expense to revenue</w:t>
            </w:r>
          </w:p>
        </w:tc>
        <w:tc>
          <w:tcPr>
            <w:tcW w:w="794" w:type="dxa"/>
          </w:tcPr>
          <w:p w14:paraId="7BAC564F"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6.7</w:t>
            </w:r>
          </w:p>
        </w:tc>
        <w:tc>
          <w:tcPr>
            <w:tcW w:w="794" w:type="dxa"/>
          </w:tcPr>
          <w:p w14:paraId="1D78149B"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7.2</w:t>
            </w:r>
          </w:p>
        </w:tc>
        <w:tc>
          <w:tcPr>
            <w:tcW w:w="794" w:type="dxa"/>
          </w:tcPr>
          <w:p w14:paraId="22BB342F"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8.0</w:t>
            </w:r>
          </w:p>
        </w:tc>
        <w:tc>
          <w:tcPr>
            <w:tcW w:w="794" w:type="dxa"/>
          </w:tcPr>
          <w:p w14:paraId="02CDB98F"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8.6</w:t>
            </w:r>
          </w:p>
        </w:tc>
        <w:tc>
          <w:tcPr>
            <w:tcW w:w="794" w:type="dxa"/>
          </w:tcPr>
          <w:p w14:paraId="29544531"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9.3</w:t>
            </w:r>
          </w:p>
        </w:tc>
        <w:tc>
          <w:tcPr>
            <w:tcW w:w="794" w:type="dxa"/>
          </w:tcPr>
          <w:p w14:paraId="20EF4305"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10.1</w:t>
            </w:r>
          </w:p>
        </w:tc>
      </w:tr>
    </w:tbl>
    <w:p w14:paraId="6D117D63" w14:textId="77777777" w:rsidR="00732BC0" w:rsidRPr="001213F7" w:rsidRDefault="00732BC0">
      <w:pPr>
        <w:pStyle w:val="Note"/>
        <w:ind w:left="0" w:firstLine="0"/>
      </w:pPr>
      <w:r w:rsidRPr="001213F7">
        <w:t>Note:</w:t>
      </w:r>
    </w:p>
    <w:p w14:paraId="53043640" w14:textId="77777777" w:rsidR="00732BC0" w:rsidRPr="001213F7" w:rsidRDefault="00732BC0">
      <w:pPr>
        <w:pStyle w:val="Note"/>
      </w:pPr>
      <w:r w:rsidRPr="001213F7">
        <w:t>(a)</w:t>
      </w:r>
      <w:r w:rsidRPr="001213F7">
        <w:tab/>
        <w:t xml:space="preserve">Gross debt includes borrowings, deposits held and advances received. </w:t>
      </w:r>
    </w:p>
    <w:p w14:paraId="63A215AE" w14:textId="77777777" w:rsidR="00732BC0" w:rsidRPr="001213F7" w:rsidRDefault="00732BC0">
      <w:pPr>
        <w:pStyle w:val="Heading1"/>
      </w:pPr>
      <w:bookmarkStart w:id="65" w:name="_Toc197955076"/>
      <w:bookmarkStart w:id="66" w:name="_Toc228545308"/>
      <w:r w:rsidRPr="001213F7">
        <w:t>Public financial corporations sector</w:t>
      </w:r>
      <w:bookmarkEnd w:id="65"/>
      <w:bookmarkEnd w:id="66"/>
    </w:p>
    <w:p w14:paraId="5C26ABA5" w14:textId="77777777" w:rsidR="00732BC0" w:rsidRPr="001213F7" w:rsidRDefault="00732BC0">
      <w:r w:rsidRPr="001213F7">
        <w:t xml:space="preserve">Tables 5.7 and 5.8 summarise the operating statement and financial position for the PFC   sector. A comprehensive operating statement and balance sheet are presented in Budget Paper No. 5, Chapter 2 </w:t>
      </w:r>
      <w:r w:rsidRPr="001213F7">
        <w:rPr>
          <w:i/>
        </w:rPr>
        <w:t>Supplementary uniform presentation framework tables.</w:t>
      </w:r>
      <w:r w:rsidRPr="001213F7">
        <w:t xml:space="preserve"> </w:t>
      </w:r>
    </w:p>
    <w:p w14:paraId="5293C74F" w14:textId="77777777" w:rsidR="00732BC0" w:rsidRPr="001213F7" w:rsidRDefault="00732BC0">
      <w:pPr>
        <w:pStyle w:val="TableHeading"/>
      </w:pPr>
      <w:r w:rsidRPr="001213F7">
        <w:t xml:space="preserve">Table 5.7: </w:t>
      </w:r>
      <w:r w:rsidRPr="001213F7">
        <w:tab/>
        <w:t xml:space="preserve">Summary operating statement for the PFC sector </w:t>
      </w:r>
      <w:r w:rsidRPr="001213F7">
        <w:rPr>
          <w:vertAlign w:val="superscript"/>
        </w:rPr>
        <w:t>(a)</w:t>
      </w:r>
      <w:r w:rsidRPr="001213F7">
        <w:rPr>
          <w:vertAlign w:val="superscript"/>
        </w:rPr>
        <w:tab/>
      </w:r>
      <w:r w:rsidRPr="001213F7">
        <w:t>($ million)</w:t>
      </w:r>
    </w:p>
    <w:tbl>
      <w:tblPr>
        <w:tblStyle w:val="DTFTableNumeric"/>
        <w:tblW w:w="7710" w:type="dxa"/>
        <w:tblLayout w:type="fixed"/>
        <w:tblLook w:val="06A0" w:firstRow="1" w:lastRow="0" w:firstColumn="1" w:lastColumn="0" w:noHBand="1" w:noVBand="1"/>
        <w:tblDescription w:val="Type:DtfTable|Workbook:https://vicgov.sharepoint.com/sites/VG002735/BP2/Spreadsheets/Chapter%205%20-%20CRA_FAL/SRIMS_BP2_Chap5_PNFC_PFC_SoV.xlsx|Table:Summary_OS_PFC|TableGroup:Chapter 5"/>
      </w:tblPr>
      <w:tblGrid>
        <w:gridCol w:w="2946"/>
        <w:gridCol w:w="794"/>
        <w:gridCol w:w="794"/>
        <w:gridCol w:w="794"/>
        <w:gridCol w:w="794"/>
        <w:gridCol w:w="794"/>
        <w:gridCol w:w="794"/>
      </w:tblGrid>
      <w:tr w:rsidR="00732BC0" w:rsidRPr="001213F7" w14:paraId="6EBCE8CF"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946" w:type="dxa"/>
          </w:tcPr>
          <w:p w14:paraId="0A5210E5" w14:textId="77777777" w:rsidR="00732BC0" w:rsidRPr="001213F7" w:rsidRDefault="00732BC0">
            <w:pPr>
              <w:keepNext/>
            </w:pPr>
          </w:p>
        </w:tc>
        <w:tc>
          <w:tcPr>
            <w:tcW w:w="794" w:type="dxa"/>
          </w:tcPr>
          <w:p w14:paraId="095EE9F3" w14:textId="77777777" w:rsidR="00732BC0" w:rsidRPr="001213F7" w:rsidRDefault="00732BC0">
            <w:pPr>
              <w:keepNext/>
              <w:cnfStyle w:val="100000000000" w:firstRow="1" w:lastRow="0" w:firstColumn="0" w:lastColumn="0" w:oddVBand="0" w:evenVBand="0" w:oddHBand="0" w:evenHBand="0" w:firstRowFirstColumn="0" w:firstRowLastColumn="0" w:lastRowFirstColumn="0" w:lastRowLastColumn="0"/>
            </w:pPr>
            <w:r w:rsidRPr="001213F7">
              <w:t>2024</w:t>
            </w:r>
            <w:r w:rsidRPr="001213F7">
              <w:noBreakHyphen/>
              <w:t>25</w:t>
            </w:r>
          </w:p>
        </w:tc>
        <w:tc>
          <w:tcPr>
            <w:tcW w:w="794" w:type="dxa"/>
          </w:tcPr>
          <w:p w14:paraId="1941D111" w14:textId="77777777" w:rsidR="00732BC0" w:rsidRPr="001213F7" w:rsidRDefault="00732BC0">
            <w:pPr>
              <w:keepNext/>
              <w:cnfStyle w:val="100000000000" w:firstRow="1" w:lastRow="0" w:firstColumn="0" w:lastColumn="0" w:oddVBand="0" w:evenVBand="0" w:oddHBand="0" w:evenHBand="0" w:firstRowFirstColumn="0" w:firstRowLastColumn="0" w:lastRowFirstColumn="0" w:lastRowLastColumn="0"/>
            </w:pPr>
            <w:r w:rsidRPr="001213F7">
              <w:t>2025</w:t>
            </w:r>
            <w:r w:rsidRPr="001213F7">
              <w:noBreakHyphen/>
              <w:t>26</w:t>
            </w:r>
          </w:p>
        </w:tc>
        <w:tc>
          <w:tcPr>
            <w:tcW w:w="794" w:type="dxa"/>
          </w:tcPr>
          <w:p w14:paraId="0CFE3F16" w14:textId="77777777" w:rsidR="00732BC0" w:rsidRPr="001213F7" w:rsidRDefault="00732BC0">
            <w:pPr>
              <w:keepNext/>
              <w:cnfStyle w:val="100000000000" w:firstRow="1" w:lastRow="0" w:firstColumn="0" w:lastColumn="0" w:oddVBand="0" w:evenVBand="0" w:oddHBand="0" w:evenHBand="0" w:firstRowFirstColumn="0" w:firstRowLastColumn="0" w:lastRowFirstColumn="0" w:lastRowLastColumn="0"/>
            </w:pPr>
            <w:r w:rsidRPr="001213F7">
              <w:t>2026</w:t>
            </w:r>
            <w:r w:rsidRPr="001213F7">
              <w:noBreakHyphen/>
              <w:t>27</w:t>
            </w:r>
          </w:p>
        </w:tc>
        <w:tc>
          <w:tcPr>
            <w:tcW w:w="794" w:type="dxa"/>
          </w:tcPr>
          <w:p w14:paraId="10C6F487" w14:textId="77777777" w:rsidR="00732BC0" w:rsidRPr="001213F7" w:rsidRDefault="00732BC0">
            <w:pPr>
              <w:keepNext/>
              <w:cnfStyle w:val="100000000000" w:firstRow="1" w:lastRow="0" w:firstColumn="0" w:lastColumn="0" w:oddVBand="0" w:evenVBand="0" w:oddHBand="0" w:evenHBand="0" w:firstRowFirstColumn="0" w:firstRowLastColumn="0" w:lastRowFirstColumn="0" w:lastRowLastColumn="0"/>
            </w:pPr>
            <w:r w:rsidRPr="001213F7">
              <w:t>2027</w:t>
            </w:r>
            <w:r w:rsidRPr="001213F7">
              <w:noBreakHyphen/>
              <w:t>28</w:t>
            </w:r>
          </w:p>
        </w:tc>
        <w:tc>
          <w:tcPr>
            <w:tcW w:w="794" w:type="dxa"/>
          </w:tcPr>
          <w:p w14:paraId="3B9FA819" w14:textId="77777777" w:rsidR="00732BC0" w:rsidRPr="001213F7" w:rsidRDefault="00732BC0">
            <w:pPr>
              <w:keepNext/>
              <w:cnfStyle w:val="100000000000" w:firstRow="1" w:lastRow="0" w:firstColumn="0" w:lastColumn="0" w:oddVBand="0" w:evenVBand="0" w:oddHBand="0" w:evenHBand="0" w:firstRowFirstColumn="0" w:firstRowLastColumn="0" w:lastRowFirstColumn="0" w:lastRowLastColumn="0"/>
            </w:pPr>
            <w:r w:rsidRPr="001213F7">
              <w:t>2028</w:t>
            </w:r>
            <w:r w:rsidRPr="001213F7">
              <w:noBreakHyphen/>
              <w:t>29</w:t>
            </w:r>
          </w:p>
        </w:tc>
        <w:tc>
          <w:tcPr>
            <w:tcW w:w="794" w:type="dxa"/>
          </w:tcPr>
          <w:p w14:paraId="7700A4BD" w14:textId="77777777" w:rsidR="00732BC0" w:rsidRPr="001213F7" w:rsidRDefault="00732BC0">
            <w:pPr>
              <w:keepNext/>
              <w:cnfStyle w:val="100000000000" w:firstRow="1" w:lastRow="0" w:firstColumn="0" w:lastColumn="0" w:oddVBand="0" w:evenVBand="0" w:oddHBand="0" w:evenHBand="0" w:firstRowFirstColumn="0" w:firstRowLastColumn="0" w:lastRowFirstColumn="0" w:lastRowLastColumn="0"/>
            </w:pPr>
            <w:r w:rsidRPr="001213F7">
              <w:t>2029</w:t>
            </w:r>
            <w:r w:rsidRPr="001213F7">
              <w:noBreakHyphen/>
              <w:t>30</w:t>
            </w:r>
          </w:p>
        </w:tc>
      </w:tr>
      <w:tr w:rsidR="00732BC0" w:rsidRPr="001213F7" w14:paraId="3A3FC0AA"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946" w:type="dxa"/>
          </w:tcPr>
          <w:p w14:paraId="603C3AAB" w14:textId="77777777" w:rsidR="00732BC0" w:rsidRPr="001213F7" w:rsidRDefault="00732BC0">
            <w:pPr>
              <w:keepNext/>
            </w:pPr>
          </w:p>
        </w:tc>
        <w:tc>
          <w:tcPr>
            <w:tcW w:w="794" w:type="dxa"/>
          </w:tcPr>
          <w:p w14:paraId="01A39A80" w14:textId="77777777" w:rsidR="00732BC0" w:rsidRPr="001213F7" w:rsidRDefault="00732BC0">
            <w:pPr>
              <w:keepNext/>
              <w:cnfStyle w:val="100000000000" w:firstRow="1" w:lastRow="0" w:firstColumn="0" w:lastColumn="0" w:oddVBand="0" w:evenVBand="0" w:oddHBand="0" w:evenHBand="0" w:firstRowFirstColumn="0" w:firstRowLastColumn="0" w:lastRowFirstColumn="0" w:lastRowLastColumn="0"/>
            </w:pPr>
            <w:r w:rsidRPr="001213F7">
              <w:t>actual</w:t>
            </w:r>
          </w:p>
        </w:tc>
        <w:tc>
          <w:tcPr>
            <w:tcW w:w="794" w:type="dxa"/>
          </w:tcPr>
          <w:p w14:paraId="7C6AD4F2" w14:textId="77777777" w:rsidR="00732BC0" w:rsidRPr="001213F7" w:rsidRDefault="00732BC0">
            <w:pPr>
              <w:keepNext/>
              <w:cnfStyle w:val="100000000000" w:firstRow="1" w:lastRow="0" w:firstColumn="0" w:lastColumn="0" w:oddVBand="0" w:evenVBand="0" w:oddHBand="0" w:evenHBand="0" w:firstRowFirstColumn="0" w:firstRowLastColumn="0" w:lastRowFirstColumn="0" w:lastRowLastColumn="0"/>
            </w:pPr>
            <w:r w:rsidRPr="001213F7">
              <w:t>revised</w:t>
            </w:r>
          </w:p>
        </w:tc>
        <w:tc>
          <w:tcPr>
            <w:tcW w:w="794" w:type="dxa"/>
          </w:tcPr>
          <w:p w14:paraId="29784DD0" w14:textId="77777777" w:rsidR="00732BC0" w:rsidRPr="001213F7" w:rsidRDefault="00732BC0">
            <w:pPr>
              <w:keepNext/>
              <w:cnfStyle w:val="100000000000" w:firstRow="1" w:lastRow="0" w:firstColumn="0" w:lastColumn="0" w:oddVBand="0" w:evenVBand="0" w:oddHBand="0" w:evenHBand="0" w:firstRowFirstColumn="0" w:firstRowLastColumn="0" w:lastRowFirstColumn="0" w:lastRowLastColumn="0"/>
            </w:pPr>
            <w:r w:rsidRPr="001213F7">
              <w:t>budget</w:t>
            </w:r>
          </w:p>
        </w:tc>
        <w:tc>
          <w:tcPr>
            <w:tcW w:w="794" w:type="dxa"/>
          </w:tcPr>
          <w:p w14:paraId="074DFA5C" w14:textId="77777777" w:rsidR="00732BC0" w:rsidRPr="001213F7" w:rsidRDefault="00732BC0">
            <w:pPr>
              <w:keepNext/>
              <w:cnfStyle w:val="100000000000" w:firstRow="1" w:lastRow="0" w:firstColumn="0" w:lastColumn="0" w:oddVBand="0" w:evenVBand="0" w:oddHBand="0" w:evenHBand="0" w:firstRowFirstColumn="0" w:firstRowLastColumn="0" w:lastRowFirstColumn="0" w:lastRowLastColumn="0"/>
            </w:pPr>
            <w:r w:rsidRPr="001213F7">
              <w:t>estimate</w:t>
            </w:r>
          </w:p>
        </w:tc>
        <w:tc>
          <w:tcPr>
            <w:tcW w:w="794" w:type="dxa"/>
          </w:tcPr>
          <w:p w14:paraId="558A4E13" w14:textId="77777777" w:rsidR="00732BC0" w:rsidRPr="001213F7" w:rsidRDefault="00732BC0">
            <w:pPr>
              <w:keepNext/>
              <w:cnfStyle w:val="100000000000" w:firstRow="1" w:lastRow="0" w:firstColumn="0" w:lastColumn="0" w:oddVBand="0" w:evenVBand="0" w:oddHBand="0" w:evenHBand="0" w:firstRowFirstColumn="0" w:firstRowLastColumn="0" w:lastRowFirstColumn="0" w:lastRowLastColumn="0"/>
            </w:pPr>
            <w:r w:rsidRPr="001213F7">
              <w:t>estimate</w:t>
            </w:r>
          </w:p>
        </w:tc>
        <w:tc>
          <w:tcPr>
            <w:tcW w:w="794" w:type="dxa"/>
          </w:tcPr>
          <w:p w14:paraId="35E200A6" w14:textId="77777777" w:rsidR="00732BC0" w:rsidRPr="001213F7" w:rsidRDefault="00732BC0">
            <w:pPr>
              <w:keepNext/>
              <w:cnfStyle w:val="100000000000" w:firstRow="1" w:lastRow="0" w:firstColumn="0" w:lastColumn="0" w:oddVBand="0" w:evenVBand="0" w:oddHBand="0" w:evenHBand="0" w:firstRowFirstColumn="0" w:firstRowLastColumn="0" w:lastRowFirstColumn="0" w:lastRowLastColumn="0"/>
            </w:pPr>
            <w:r w:rsidRPr="001213F7">
              <w:t>estimate</w:t>
            </w:r>
          </w:p>
        </w:tc>
      </w:tr>
      <w:tr w:rsidR="00732BC0" w:rsidRPr="001213F7" w14:paraId="4E9D261B" w14:textId="77777777">
        <w:tc>
          <w:tcPr>
            <w:cnfStyle w:val="001000000000" w:firstRow="0" w:lastRow="0" w:firstColumn="1" w:lastColumn="0" w:oddVBand="0" w:evenVBand="0" w:oddHBand="0" w:evenHBand="0" w:firstRowFirstColumn="0" w:firstRowLastColumn="0" w:lastRowFirstColumn="0" w:lastRowLastColumn="0"/>
            <w:tcW w:w="2946" w:type="dxa"/>
          </w:tcPr>
          <w:p w14:paraId="3ACF03DD" w14:textId="77777777" w:rsidR="00732BC0" w:rsidRPr="001213F7" w:rsidRDefault="00732BC0">
            <w:r w:rsidRPr="001213F7">
              <w:rPr>
                <w:b/>
              </w:rPr>
              <w:t>Revenue and income from transactions</w:t>
            </w:r>
          </w:p>
        </w:tc>
        <w:tc>
          <w:tcPr>
            <w:tcW w:w="794" w:type="dxa"/>
          </w:tcPr>
          <w:p w14:paraId="32D4016A"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p>
        </w:tc>
        <w:tc>
          <w:tcPr>
            <w:tcW w:w="794" w:type="dxa"/>
          </w:tcPr>
          <w:p w14:paraId="0A4707F8"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p>
        </w:tc>
        <w:tc>
          <w:tcPr>
            <w:tcW w:w="794" w:type="dxa"/>
          </w:tcPr>
          <w:p w14:paraId="62095B01"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p>
        </w:tc>
        <w:tc>
          <w:tcPr>
            <w:tcW w:w="794" w:type="dxa"/>
          </w:tcPr>
          <w:p w14:paraId="1BF5321F"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p>
        </w:tc>
        <w:tc>
          <w:tcPr>
            <w:tcW w:w="794" w:type="dxa"/>
          </w:tcPr>
          <w:p w14:paraId="2890934C"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p>
        </w:tc>
        <w:tc>
          <w:tcPr>
            <w:tcW w:w="794" w:type="dxa"/>
          </w:tcPr>
          <w:p w14:paraId="4D6FA1C0"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p>
        </w:tc>
      </w:tr>
      <w:tr w:rsidR="00732BC0" w:rsidRPr="001213F7" w14:paraId="3E8E27B7" w14:textId="77777777">
        <w:tc>
          <w:tcPr>
            <w:cnfStyle w:val="001000000000" w:firstRow="0" w:lastRow="0" w:firstColumn="1" w:lastColumn="0" w:oddVBand="0" w:evenVBand="0" w:oddHBand="0" w:evenHBand="0" w:firstRowFirstColumn="0" w:firstRowLastColumn="0" w:lastRowFirstColumn="0" w:lastRowLastColumn="0"/>
            <w:tcW w:w="2946" w:type="dxa"/>
          </w:tcPr>
          <w:p w14:paraId="7DCBAE19" w14:textId="77777777" w:rsidR="00732BC0" w:rsidRPr="001213F7" w:rsidRDefault="00732BC0">
            <w:r w:rsidRPr="001213F7">
              <w:t>Interest income</w:t>
            </w:r>
          </w:p>
        </w:tc>
        <w:tc>
          <w:tcPr>
            <w:tcW w:w="794" w:type="dxa"/>
          </w:tcPr>
          <w:p w14:paraId="09E3028D"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6 724</w:t>
            </w:r>
          </w:p>
        </w:tc>
        <w:tc>
          <w:tcPr>
            <w:tcW w:w="794" w:type="dxa"/>
          </w:tcPr>
          <w:p w14:paraId="64E58C4C"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7 758</w:t>
            </w:r>
          </w:p>
        </w:tc>
        <w:tc>
          <w:tcPr>
            <w:tcW w:w="794" w:type="dxa"/>
          </w:tcPr>
          <w:p w14:paraId="55443ED6"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9 029</w:t>
            </w:r>
          </w:p>
        </w:tc>
        <w:tc>
          <w:tcPr>
            <w:tcW w:w="794" w:type="dxa"/>
          </w:tcPr>
          <w:p w14:paraId="362B81EB"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10 050</w:t>
            </w:r>
          </w:p>
        </w:tc>
        <w:tc>
          <w:tcPr>
            <w:tcW w:w="794" w:type="dxa"/>
          </w:tcPr>
          <w:p w14:paraId="3E23D69C"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11 322</w:t>
            </w:r>
          </w:p>
        </w:tc>
        <w:tc>
          <w:tcPr>
            <w:tcW w:w="794" w:type="dxa"/>
          </w:tcPr>
          <w:p w14:paraId="7FECE806"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12 764</w:t>
            </w:r>
          </w:p>
        </w:tc>
      </w:tr>
      <w:tr w:rsidR="00732BC0" w:rsidRPr="001213F7" w14:paraId="694A9BB5" w14:textId="77777777">
        <w:tc>
          <w:tcPr>
            <w:cnfStyle w:val="001000000000" w:firstRow="0" w:lastRow="0" w:firstColumn="1" w:lastColumn="0" w:oddVBand="0" w:evenVBand="0" w:oddHBand="0" w:evenHBand="0" w:firstRowFirstColumn="0" w:firstRowLastColumn="0" w:lastRowFirstColumn="0" w:lastRowLastColumn="0"/>
            <w:tcW w:w="2946" w:type="dxa"/>
          </w:tcPr>
          <w:p w14:paraId="6E9662EE" w14:textId="77777777" w:rsidR="00732BC0" w:rsidRPr="001213F7" w:rsidRDefault="00732BC0">
            <w:r w:rsidRPr="001213F7">
              <w:t>Dividend income</w:t>
            </w:r>
          </w:p>
        </w:tc>
        <w:tc>
          <w:tcPr>
            <w:tcW w:w="794" w:type="dxa"/>
          </w:tcPr>
          <w:p w14:paraId="1A5E414B"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3 214</w:t>
            </w:r>
          </w:p>
        </w:tc>
        <w:tc>
          <w:tcPr>
            <w:tcW w:w="794" w:type="dxa"/>
          </w:tcPr>
          <w:p w14:paraId="2CFBA567"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2 877</w:t>
            </w:r>
          </w:p>
        </w:tc>
        <w:tc>
          <w:tcPr>
            <w:tcW w:w="794" w:type="dxa"/>
          </w:tcPr>
          <w:p w14:paraId="4D051B03"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3 165</w:t>
            </w:r>
          </w:p>
        </w:tc>
        <w:tc>
          <w:tcPr>
            <w:tcW w:w="794" w:type="dxa"/>
          </w:tcPr>
          <w:p w14:paraId="57EA1D93"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3 479</w:t>
            </w:r>
          </w:p>
        </w:tc>
        <w:tc>
          <w:tcPr>
            <w:tcW w:w="794" w:type="dxa"/>
          </w:tcPr>
          <w:p w14:paraId="4B7D884A"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3 709</w:t>
            </w:r>
          </w:p>
        </w:tc>
        <w:tc>
          <w:tcPr>
            <w:tcW w:w="794" w:type="dxa"/>
          </w:tcPr>
          <w:p w14:paraId="29E24A56"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3 954</w:t>
            </w:r>
          </w:p>
        </w:tc>
      </w:tr>
      <w:tr w:rsidR="00732BC0" w:rsidRPr="001213F7" w14:paraId="2D2B23BB" w14:textId="77777777">
        <w:tc>
          <w:tcPr>
            <w:cnfStyle w:val="001000000000" w:firstRow="0" w:lastRow="0" w:firstColumn="1" w:lastColumn="0" w:oddVBand="0" w:evenVBand="0" w:oddHBand="0" w:evenHBand="0" w:firstRowFirstColumn="0" w:firstRowLastColumn="0" w:lastRowFirstColumn="0" w:lastRowLastColumn="0"/>
            <w:tcW w:w="2946" w:type="dxa"/>
          </w:tcPr>
          <w:p w14:paraId="6E44601E" w14:textId="77777777" w:rsidR="00732BC0" w:rsidRPr="001213F7" w:rsidRDefault="00732BC0">
            <w:r w:rsidRPr="001213F7">
              <w:t>Sales of goods and services</w:t>
            </w:r>
          </w:p>
        </w:tc>
        <w:tc>
          <w:tcPr>
            <w:tcW w:w="794" w:type="dxa"/>
          </w:tcPr>
          <w:p w14:paraId="50285848"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8 456</w:t>
            </w:r>
          </w:p>
        </w:tc>
        <w:tc>
          <w:tcPr>
            <w:tcW w:w="794" w:type="dxa"/>
          </w:tcPr>
          <w:p w14:paraId="36CFA5E3"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8 919</w:t>
            </w:r>
          </w:p>
        </w:tc>
        <w:tc>
          <w:tcPr>
            <w:tcW w:w="794" w:type="dxa"/>
          </w:tcPr>
          <w:p w14:paraId="571BC63D"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9 304</w:t>
            </w:r>
          </w:p>
        </w:tc>
        <w:tc>
          <w:tcPr>
            <w:tcW w:w="794" w:type="dxa"/>
          </w:tcPr>
          <w:p w14:paraId="5F90E4A8"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9 823</w:t>
            </w:r>
          </w:p>
        </w:tc>
        <w:tc>
          <w:tcPr>
            <w:tcW w:w="794" w:type="dxa"/>
          </w:tcPr>
          <w:p w14:paraId="54A0DA58"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10 366</w:t>
            </w:r>
          </w:p>
        </w:tc>
        <w:tc>
          <w:tcPr>
            <w:tcW w:w="794" w:type="dxa"/>
          </w:tcPr>
          <w:p w14:paraId="39E54F97"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10 902</w:t>
            </w:r>
          </w:p>
        </w:tc>
      </w:tr>
      <w:tr w:rsidR="00732BC0" w:rsidRPr="001213F7" w14:paraId="140025A1" w14:textId="77777777">
        <w:tc>
          <w:tcPr>
            <w:cnfStyle w:val="001000000000" w:firstRow="0" w:lastRow="0" w:firstColumn="1" w:lastColumn="0" w:oddVBand="0" w:evenVBand="0" w:oddHBand="0" w:evenHBand="0" w:firstRowFirstColumn="0" w:firstRowLastColumn="0" w:lastRowFirstColumn="0" w:lastRowLastColumn="0"/>
            <w:tcW w:w="2946" w:type="dxa"/>
          </w:tcPr>
          <w:p w14:paraId="6B068889" w14:textId="77777777" w:rsidR="00732BC0" w:rsidRPr="001213F7" w:rsidRDefault="00732BC0">
            <w:r w:rsidRPr="001213F7">
              <w:t>Grants</w:t>
            </w:r>
          </w:p>
        </w:tc>
        <w:tc>
          <w:tcPr>
            <w:tcW w:w="794" w:type="dxa"/>
          </w:tcPr>
          <w:p w14:paraId="74B0D42C"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w:t>
            </w:r>
          </w:p>
        </w:tc>
        <w:tc>
          <w:tcPr>
            <w:tcW w:w="794" w:type="dxa"/>
          </w:tcPr>
          <w:p w14:paraId="3EC8851C"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2</w:t>
            </w:r>
          </w:p>
        </w:tc>
        <w:tc>
          <w:tcPr>
            <w:tcW w:w="794" w:type="dxa"/>
          </w:tcPr>
          <w:p w14:paraId="2DA75705"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10</w:t>
            </w:r>
          </w:p>
        </w:tc>
        <w:tc>
          <w:tcPr>
            <w:tcW w:w="794" w:type="dxa"/>
          </w:tcPr>
          <w:p w14:paraId="07C2181D"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10</w:t>
            </w:r>
          </w:p>
        </w:tc>
        <w:tc>
          <w:tcPr>
            <w:tcW w:w="794" w:type="dxa"/>
          </w:tcPr>
          <w:p w14:paraId="3C23B3FA"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w:t>
            </w:r>
          </w:p>
        </w:tc>
        <w:tc>
          <w:tcPr>
            <w:tcW w:w="794" w:type="dxa"/>
          </w:tcPr>
          <w:p w14:paraId="40BC5470"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50</w:t>
            </w:r>
          </w:p>
        </w:tc>
      </w:tr>
      <w:tr w:rsidR="00732BC0" w:rsidRPr="001213F7" w14:paraId="18C5F589" w14:textId="77777777">
        <w:tc>
          <w:tcPr>
            <w:cnfStyle w:val="001000000000" w:firstRow="0" w:lastRow="0" w:firstColumn="1" w:lastColumn="0" w:oddVBand="0" w:evenVBand="0" w:oddHBand="0" w:evenHBand="0" w:firstRowFirstColumn="0" w:firstRowLastColumn="0" w:lastRowFirstColumn="0" w:lastRowLastColumn="0"/>
            <w:tcW w:w="2946" w:type="dxa"/>
            <w:tcBorders>
              <w:bottom w:val="single" w:sz="6" w:space="0" w:color="auto"/>
            </w:tcBorders>
          </w:tcPr>
          <w:p w14:paraId="64B05C44" w14:textId="77777777" w:rsidR="00732BC0" w:rsidRPr="001213F7" w:rsidRDefault="00732BC0">
            <w:r w:rsidRPr="001213F7">
              <w:t>Other revenue and income</w:t>
            </w:r>
          </w:p>
        </w:tc>
        <w:tc>
          <w:tcPr>
            <w:tcW w:w="794" w:type="dxa"/>
            <w:tcBorders>
              <w:bottom w:val="single" w:sz="6" w:space="0" w:color="auto"/>
            </w:tcBorders>
          </w:tcPr>
          <w:p w14:paraId="5CD0812E"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37</w:t>
            </w:r>
          </w:p>
        </w:tc>
        <w:tc>
          <w:tcPr>
            <w:tcW w:w="794" w:type="dxa"/>
            <w:tcBorders>
              <w:bottom w:val="single" w:sz="6" w:space="0" w:color="auto"/>
            </w:tcBorders>
          </w:tcPr>
          <w:p w14:paraId="45F8B1CE"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33</w:t>
            </w:r>
          </w:p>
        </w:tc>
        <w:tc>
          <w:tcPr>
            <w:tcW w:w="794" w:type="dxa"/>
            <w:tcBorders>
              <w:bottom w:val="single" w:sz="6" w:space="0" w:color="auto"/>
            </w:tcBorders>
          </w:tcPr>
          <w:p w14:paraId="70C9FB7B"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32</w:t>
            </w:r>
          </w:p>
        </w:tc>
        <w:tc>
          <w:tcPr>
            <w:tcW w:w="794" w:type="dxa"/>
            <w:tcBorders>
              <w:bottom w:val="single" w:sz="6" w:space="0" w:color="auto"/>
            </w:tcBorders>
          </w:tcPr>
          <w:p w14:paraId="0FC1A11C"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33</w:t>
            </w:r>
          </w:p>
        </w:tc>
        <w:tc>
          <w:tcPr>
            <w:tcW w:w="794" w:type="dxa"/>
            <w:tcBorders>
              <w:bottom w:val="single" w:sz="6" w:space="0" w:color="auto"/>
            </w:tcBorders>
          </w:tcPr>
          <w:p w14:paraId="124E79BB"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35</w:t>
            </w:r>
          </w:p>
        </w:tc>
        <w:tc>
          <w:tcPr>
            <w:tcW w:w="794" w:type="dxa"/>
            <w:tcBorders>
              <w:bottom w:val="single" w:sz="6" w:space="0" w:color="auto"/>
            </w:tcBorders>
          </w:tcPr>
          <w:p w14:paraId="67A0A424"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37</w:t>
            </w:r>
          </w:p>
        </w:tc>
      </w:tr>
      <w:tr w:rsidR="00732BC0" w:rsidRPr="001213F7" w14:paraId="752AABB8" w14:textId="77777777">
        <w:tc>
          <w:tcPr>
            <w:cnfStyle w:val="001000000000" w:firstRow="0" w:lastRow="0" w:firstColumn="1" w:lastColumn="0" w:oddVBand="0" w:evenVBand="0" w:oddHBand="0" w:evenHBand="0" w:firstRowFirstColumn="0" w:firstRowLastColumn="0" w:lastRowFirstColumn="0" w:lastRowLastColumn="0"/>
            <w:tcW w:w="2946" w:type="dxa"/>
            <w:tcBorders>
              <w:top w:val="single" w:sz="6" w:space="0" w:color="auto"/>
            </w:tcBorders>
          </w:tcPr>
          <w:p w14:paraId="7D69574A" w14:textId="77777777" w:rsidR="00732BC0" w:rsidRPr="001213F7" w:rsidRDefault="00732BC0">
            <w:r w:rsidRPr="001213F7">
              <w:rPr>
                <w:b/>
              </w:rPr>
              <w:t>Total revenue and income from transactions</w:t>
            </w:r>
          </w:p>
        </w:tc>
        <w:tc>
          <w:tcPr>
            <w:tcW w:w="794" w:type="dxa"/>
            <w:tcBorders>
              <w:top w:val="single" w:sz="6" w:space="0" w:color="auto"/>
            </w:tcBorders>
          </w:tcPr>
          <w:p w14:paraId="4D46BFDF"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rPr>
                <w:b/>
              </w:rPr>
              <w:t>18 431</w:t>
            </w:r>
          </w:p>
        </w:tc>
        <w:tc>
          <w:tcPr>
            <w:tcW w:w="794" w:type="dxa"/>
            <w:tcBorders>
              <w:top w:val="single" w:sz="6" w:space="0" w:color="auto"/>
            </w:tcBorders>
          </w:tcPr>
          <w:p w14:paraId="2E3BAFF2"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rPr>
                <w:b/>
              </w:rPr>
              <w:t>19 589</w:t>
            </w:r>
          </w:p>
        </w:tc>
        <w:tc>
          <w:tcPr>
            <w:tcW w:w="794" w:type="dxa"/>
            <w:tcBorders>
              <w:top w:val="single" w:sz="6" w:space="0" w:color="auto"/>
            </w:tcBorders>
          </w:tcPr>
          <w:p w14:paraId="42D999E6"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rPr>
                <w:b/>
              </w:rPr>
              <w:t>21 539</w:t>
            </w:r>
          </w:p>
        </w:tc>
        <w:tc>
          <w:tcPr>
            <w:tcW w:w="794" w:type="dxa"/>
            <w:tcBorders>
              <w:top w:val="single" w:sz="6" w:space="0" w:color="auto"/>
            </w:tcBorders>
          </w:tcPr>
          <w:p w14:paraId="30F1F53B"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rPr>
                <w:b/>
              </w:rPr>
              <w:t>23 396</w:t>
            </w:r>
          </w:p>
        </w:tc>
        <w:tc>
          <w:tcPr>
            <w:tcW w:w="794" w:type="dxa"/>
            <w:tcBorders>
              <w:top w:val="single" w:sz="6" w:space="0" w:color="auto"/>
            </w:tcBorders>
          </w:tcPr>
          <w:p w14:paraId="4D59A8C2"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rPr>
                <w:b/>
              </w:rPr>
              <w:t>25 432</w:t>
            </w:r>
          </w:p>
        </w:tc>
        <w:tc>
          <w:tcPr>
            <w:tcW w:w="794" w:type="dxa"/>
            <w:tcBorders>
              <w:top w:val="single" w:sz="6" w:space="0" w:color="auto"/>
            </w:tcBorders>
          </w:tcPr>
          <w:p w14:paraId="03ABE988"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rPr>
                <w:b/>
              </w:rPr>
              <w:t>27 708</w:t>
            </w:r>
          </w:p>
        </w:tc>
      </w:tr>
      <w:tr w:rsidR="00732BC0" w:rsidRPr="001213F7" w14:paraId="61E8CAA0" w14:textId="77777777">
        <w:tc>
          <w:tcPr>
            <w:cnfStyle w:val="001000000000" w:firstRow="0" w:lastRow="0" w:firstColumn="1" w:lastColumn="0" w:oddVBand="0" w:evenVBand="0" w:oddHBand="0" w:evenHBand="0" w:firstRowFirstColumn="0" w:firstRowLastColumn="0" w:lastRowFirstColumn="0" w:lastRowLastColumn="0"/>
            <w:tcW w:w="2946" w:type="dxa"/>
          </w:tcPr>
          <w:p w14:paraId="010A9D38" w14:textId="77777777" w:rsidR="00732BC0" w:rsidRPr="001213F7" w:rsidRDefault="00732BC0">
            <w:r w:rsidRPr="001213F7">
              <w:rPr>
                <w:i/>
              </w:rPr>
              <w:t>per cent change</w:t>
            </w:r>
          </w:p>
        </w:tc>
        <w:tc>
          <w:tcPr>
            <w:tcW w:w="794" w:type="dxa"/>
          </w:tcPr>
          <w:p w14:paraId="0F3E2C10"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rPr>
                <w:i/>
              </w:rPr>
              <w:t>17.0</w:t>
            </w:r>
          </w:p>
        </w:tc>
        <w:tc>
          <w:tcPr>
            <w:tcW w:w="794" w:type="dxa"/>
          </w:tcPr>
          <w:p w14:paraId="5F2D1690"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rPr>
                <w:i/>
              </w:rPr>
              <w:t>6.3</w:t>
            </w:r>
          </w:p>
        </w:tc>
        <w:tc>
          <w:tcPr>
            <w:tcW w:w="794" w:type="dxa"/>
          </w:tcPr>
          <w:p w14:paraId="5FC772DB"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rPr>
                <w:i/>
              </w:rPr>
              <w:t>10.0</w:t>
            </w:r>
          </w:p>
        </w:tc>
        <w:tc>
          <w:tcPr>
            <w:tcW w:w="794" w:type="dxa"/>
          </w:tcPr>
          <w:p w14:paraId="018E2A4F"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rPr>
                <w:i/>
              </w:rPr>
              <w:t>8.6</w:t>
            </w:r>
          </w:p>
        </w:tc>
        <w:tc>
          <w:tcPr>
            <w:tcW w:w="794" w:type="dxa"/>
          </w:tcPr>
          <w:p w14:paraId="45F9B7A5"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rPr>
                <w:i/>
              </w:rPr>
              <w:t>8.7</w:t>
            </w:r>
          </w:p>
        </w:tc>
        <w:tc>
          <w:tcPr>
            <w:tcW w:w="794" w:type="dxa"/>
          </w:tcPr>
          <w:p w14:paraId="18070F75"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rPr>
                <w:i/>
              </w:rPr>
              <w:t>8.9</w:t>
            </w:r>
          </w:p>
        </w:tc>
      </w:tr>
      <w:tr w:rsidR="00732BC0" w:rsidRPr="001213F7" w14:paraId="2D2ED3AE" w14:textId="77777777">
        <w:trPr>
          <w:trHeight w:hRule="exact" w:val="113"/>
        </w:trPr>
        <w:tc>
          <w:tcPr>
            <w:cnfStyle w:val="001000000000" w:firstRow="0" w:lastRow="0" w:firstColumn="1" w:lastColumn="0" w:oddVBand="0" w:evenVBand="0" w:oddHBand="0" w:evenHBand="0" w:firstRowFirstColumn="0" w:firstRowLastColumn="0" w:lastRowFirstColumn="0" w:lastRowLastColumn="0"/>
            <w:tcW w:w="2946" w:type="dxa"/>
          </w:tcPr>
          <w:p w14:paraId="3AB25523" w14:textId="77777777" w:rsidR="00732BC0" w:rsidRPr="001213F7" w:rsidRDefault="00732BC0"/>
        </w:tc>
        <w:tc>
          <w:tcPr>
            <w:tcW w:w="794" w:type="dxa"/>
          </w:tcPr>
          <w:p w14:paraId="6678E09A"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p>
        </w:tc>
        <w:tc>
          <w:tcPr>
            <w:tcW w:w="794" w:type="dxa"/>
          </w:tcPr>
          <w:p w14:paraId="464D5953"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p>
        </w:tc>
        <w:tc>
          <w:tcPr>
            <w:tcW w:w="794" w:type="dxa"/>
          </w:tcPr>
          <w:p w14:paraId="206895C7"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p>
        </w:tc>
        <w:tc>
          <w:tcPr>
            <w:tcW w:w="794" w:type="dxa"/>
          </w:tcPr>
          <w:p w14:paraId="6746B7DA"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p>
        </w:tc>
        <w:tc>
          <w:tcPr>
            <w:tcW w:w="794" w:type="dxa"/>
          </w:tcPr>
          <w:p w14:paraId="1F0807C1"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p>
        </w:tc>
        <w:tc>
          <w:tcPr>
            <w:tcW w:w="794" w:type="dxa"/>
          </w:tcPr>
          <w:p w14:paraId="121E3DA0"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p>
        </w:tc>
      </w:tr>
      <w:tr w:rsidR="00732BC0" w:rsidRPr="001213F7" w14:paraId="79C12EF8" w14:textId="77777777">
        <w:tc>
          <w:tcPr>
            <w:cnfStyle w:val="001000000000" w:firstRow="0" w:lastRow="0" w:firstColumn="1" w:lastColumn="0" w:oddVBand="0" w:evenVBand="0" w:oddHBand="0" w:evenHBand="0" w:firstRowFirstColumn="0" w:firstRowLastColumn="0" w:lastRowFirstColumn="0" w:lastRowLastColumn="0"/>
            <w:tcW w:w="2946" w:type="dxa"/>
          </w:tcPr>
          <w:p w14:paraId="787B88A8" w14:textId="77777777" w:rsidR="00732BC0" w:rsidRPr="001213F7" w:rsidRDefault="00732BC0">
            <w:r w:rsidRPr="001213F7">
              <w:rPr>
                <w:b/>
              </w:rPr>
              <w:t>Expenses from transactions</w:t>
            </w:r>
          </w:p>
        </w:tc>
        <w:tc>
          <w:tcPr>
            <w:tcW w:w="794" w:type="dxa"/>
          </w:tcPr>
          <w:p w14:paraId="36369C0E"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p>
        </w:tc>
        <w:tc>
          <w:tcPr>
            <w:tcW w:w="794" w:type="dxa"/>
          </w:tcPr>
          <w:p w14:paraId="680D84D9"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p>
        </w:tc>
        <w:tc>
          <w:tcPr>
            <w:tcW w:w="794" w:type="dxa"/>
          </w:tcPr>
          <w:p w14:paraId="69AE68C6"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p>
        </w:tc>
        <w:tc>
          <w:tcPr>
            <w:tcW w:w="794" w:type="dxa"/>
          </w:tcPr>
          <w:p w14:paraId="62F65C01"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p>
        </w:tc>
        <w:tc>
          <w:tcPr>
            <w:tcW w:w="794" w:type="dxa"/>
          </w:tcPr>
          <w:p w14:paraId="203477AB"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p>
        </w:tc>
        <w:tc>
          <w:tcPr>
            <w:tcW w:w="794" w:type="dxa"/>
          </w:tcPr>
          <w:p w14:paraId="17DFA4C7"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p>
        </w:tc>
      </w:tr>
      <w:tr w:rsidR="00732BC0" w:rsidRPr="001213F7" w14:paraId="2203F7C8" w14:textId="77777777">
        <w:tc>
          <w:tcPr>
            <w:cnfStyle w:val="001000000000" w:firstRow="0" w:lastRow="0" w:firstColumn="1" w:lastColumn="0" w:oddVBand="0" w:evenVBand="0" w:oddHBand="0" w:evenHBand="0" w:firstRowFirstColumn="0" w:firstRowLastColumn="0" w:lastRowFirstColumn="0" w:lastRowLastColumn="0"/>
            <w:tcW w:w="2946" w:type="dxa"/>
          </w:tcPr>
          <w:p w14:paraId="0333E7A5" w14:textId="77777777" w:rsidR="00732BC0" w:rsidRPr="001213F7" w:rsidRDefault="00732BC0">
            <w:r w:rsidRPr="001213F7">
              <w:t>Employee expenses</w:t>
            </w:r>
          </w:p>
        </w:tc>
        <w:tc>
          <w:tcPr>
            <w:tcW w:w="794" w:type="dxa"/>
          </w:tcPr>
          <w:p w14:paraId="794A48AE"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598</w:t>
            </w:r>
          </w:p>
        </w:tc>
        <w:tc>
          <w:tcPr>
            <w:tcW w:w="794" w:type="dxa"/>
          </w:tcPr>
          <w:p w14:paraId="31D32DB4"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611</w:t>
            </w:r>
          </w:p>
        </w:tc>
        <w:tc>
          <w:tcPr>
            <w:tcW w:w="794" w:type="dxa"/>
          </w:tcPr>
          <w:p w14:paraId="0D8D31ED"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612</w:t>
            </w:r>
          </w:p>
        </w:tc>
        <w:tc>
          <w:tcPr>
            <w:tcW w:w="794" w:type="dxa"/>
          </w:tcPr>
          <w:p w14:paraId="7CC11B46"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629</w:t>
            </w:r>
          </w:p>
        </w:tc>
        <w:tc>
          <w:tcPr>
            <w:tcW w:w="794" w:type="dxa"/>
          </w:tcPr>
          <w:p w14:paraId="174045E4"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642</w:t>
            </w:r>
          </w:p>
        </w:tc>
        <w:tc>
          <w:tcPr>
            <w:tcW w:w="794" w:type="dxa"/>
          </w:tcPr>
          <w:p w14:paraId="17C6003E"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660</w:t>
            </w:r>
          </w:p>
        </w:tc>
      </w:tr>
      <w:tr w:rsidR="00732BC0" w:rsidRPr="001213F7" w14:paraId="18C4C0F3" w14:textId="77777777">
        <w:tc>
          <w:tcPr>
            <w:cnfStyle w:val="001000000000" w:firstRow="0" w:lastRow="0" w:firstColumn="1" w:lastColumn="0" w:oddVBand="0" w:evenVBand="0" w:oddHBand="0" w:evenHBand="0" w:firstRowFirstColumn="0" w:firstRowLastColumn="0" w:lastRowFirstColumn="0" w:lastRowLastColumn="0"/>
            <w:tcW w:w="2946" w:type="dxa"/>
          </w:tcPr>
          <w:p w14:paraId="0D458269" w14:textId="77777777" w:rsidR="00732BC0" w:rsidRPr="001213F7" w:rsidRDefault="00732BC0">
            <w:r w:rsidRPr="001213F7">
              <w:t>Other superannuation</w:t>
            </w:r>
          </w:p>
        </w:tc>
        <w:tc>
          <w:tcPr>
            <w:tcW w:w="794" w:type="dxa"/>
          </w:tcPr>
          <w:p w14:paraId="3EA8A5F3"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63</w:t>
            </w:r>
          </w:p>
        </w:tc>
        <w:tc>
          <w:tcPr>
            <w:tcW w:w="794" w:type="dxa"/>
          </w:tcPr>
          <w:p w14:paraId="66F330C5"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64</w:t>
            </w:r>
          </w:p>
        </w:tc>
        <w:tc>
          <w:tcPr>
            <w:tcW w:w="794" w:type="dxa"/>
          </w:tcPr>
          <w:p w14:paraId="1AA2D913"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67</w:t>
            </w:r>
          </w:p>
        </w:tc>
        <w:tc>
          <w:tcPr>
            <w:tcW w:w="794" w:type="dxa"/>
          </w:tcPr>
          <w:p w14:paraId="746E69C4"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69</w:t>
            </w:r>
          </w:p>
        </w:tc>
        <w:tc>
          <w:tcPr>
            <w:tcW w:w="794" w:type="dxa"/>
          </w:tcPr>
          <w:p w14:paraId="4ADC896D"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71</w:t>
            </w:r>
          </w:p>
        </w:tc>
        <w:tc>
          <w:tcPr>
            <w:tcW w:w="794" w:type="dxa"/>
          </w:tcPr>
          <w:p w14:paraId="0990F2F1"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73</w:t>
            </w:r>
          </w:p>
        </w:tc>
      </w:tr>
      <w:tr w:rsidR="00732BC0" w:rsidRPr="001213F7" w14:paraId="62AC4CDB" w14:textId="77777777">
        <w:tc>
          <w:tcPr>
            <w:cnfStyle w:val="001000000000" w:firstRow="0" w:lastRow="0" w:firstColumn="1" w:lastColumn="0" w:oddVBand="0" w:evenVBand="0" w:oddHBand="0" w:evenHBand="0" w:firstRowFirstColumn="0" w:firstRowLastColumn="0" w:lastRowFirstColumn="0" w:lastRowLastColumn="0"/>
            <w:tcW w:w="2946" w:type="dxa"/>
          </w:tcPr>
          <w:p w14:paraId="4F2AE2FF" w14:textId="77777777" w:rsidR="00732BC0" w:rsidRPr="001213F7" w:rsidRDefault="00732BC0">
            <w:r w:rsidRPr="001213F7">
              <w:t>Depreciation</w:t>
            </w:r>
          </w:p>
        </w:tc>
        <w:tc>
          <w:tcPr>
            <w:tcW w:w="794" w:type="dxa"/>
          </w:tcPr>
          <w:p w14:paraId="3B533DBC"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85</w:t>
            </w:r>
          </w:p>
        </w:tc>
        <w:tc>
          <w:tcPr>
            <w:tcW w:w="794" w:type="dxa"/>
          </w:tcPr>
          <w:p w14:paraId="03741AC2"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76</w:t>
            </w:r>
          </w:p>
        </w:tc>
        <w:tc>
          <w:tcPr>
            <w:tcW w:w="794" w:type="dxa"/>
          </w:tcPr>
          <w:p w14:paraId="18334691"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72</w:t>
            </w:r>
          </w:p>
        </w:tc>
        <w:tc>
          <w:tcPr>
            <w:tcW w:w="794" w:type="dxa"/>
          </w:tcPr>
          <w:p w14:paraId="0226E419"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67</w:t>
            </w:r>
          </w:p>
        </w:tc>
        <w:tc>
          <w:tcPr>
            <w:tcW w:w="794" w:type="dxa"/>
          </w:tcPr>
          <w:p w14:paraId="29094822"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64</w:t>
            </w:r>
          </w:p>
        </w:tc>
        <w:tc>
          <w:tcPr>
            <w:tcW w:w="794" w:type="dxa"/>
          </w:tcPr>
          <w:p w14:paraId="64210AE8"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56</w:t>
            </w:r>
          </w:p>
        </w:tc>
      </w:tr>
      <w:tr w:rsidR="00732BC0" w:rsidRPr="001213F7" w14:paraId="0BF0D98F" w14:textId="77777777">
        <w:tc>
          <w:tcPr>
            <w:cnfStyle w:val="001000000000" w:firstRow="0" w:lastRow="0" w:firstColumn="1" w:lastColumn="0" w:oddVBand="0" w:evenVBand="0" w:oddHBand="0" w:evenHBand="0" w:firstRowFirstColumn="0" w:firstRowLastColumn="0" w:lastRowFirstColumn="0" w:lastRowLastColumn="0"/>
            <w:tcW w:w="2946" w:type="dxa"/>
          </w:tcPr>
          <w:p w14:paraId="070D60F4" w14:textId="77777777" w:rsidR="00732BC0" w:rsidRPr="001213F7" w:rsidRDefault="00732BC0">
            <w:r w:rsidRPr="001213F7">
              <w:t>Interest expense</w:t>
            </w:r>
          </w:p>
        </w:tc>
        <w:tc>
          <w:tcPr>
            <w:tcW w:w="794" w:type="dxa"/>
          </w:tcPr>
          <w:p w14:paraId="274D19A1"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6 636</w:t>
            </w:r>
          </w:p>
        </w:tc>
        <w:tc>
          <w:tcPr>
            <w:tcW w:w="794" w:type="dxa"/>
          </w:tcPr>
          <w:p w14:paraId="53DCF6AD"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7 099</w:t>
            </w:r>
          </w:p>
        </w:tc>
        <w:tc>
          <w:tcPr>
            <w:tcW w:w="794" w:type="dxa"/>
          </w:tcPr>
          <w:p w14:paraId="5EF025BC"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8 466</w:t>
            </w:r>
          </w:p>
        </w:tc>
        <w:tc>
          <w:tcPr>
            <w:tcW w:w="794" w:type="dxa"/>
          </w:tcPr>
          <w:p w14:paraId="3DE483CD"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9 464</w:t>
            </w:r>
          </w:p>
        </w:tc>
        <w:tc>
          <w:tcPr>
            <w:tcW w:w="794" w:type="dxa"/>
          </w:tcPr>
          <w:p w14:paraId="02A11589"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10 712</w:t>
            </w:r>
          </w:p>
        </w:tc>
        <w:tc>
          <w:tcPr>
            <w:tcW w:w="794" w:type="dxa"/>
          </w:tcPr>
          <w:p w14:paraId="78C3D5E0"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12 116</w:t>
            </w:r>
          </w:p>
        </w:tc>
      </w:tr>
      <w:tr w:rsidR="00732BC0" w:rsidRPr="001213F7" w14:paraId="394CC26C" w14:textId="77777777">
        <w:tc>
          <w:tcPr>
            <w:cnfStyle w:val="001000000000" w:firstRow="0" w:lastRow="0" w:firstColumn="1" w:lastColumn="0" w:oddVBand="0" w:evenVBand="0" w:oddHBand="0" w:evenHBand="0" w:firstRowFirstColumn="0" w:firstRowLastColumn="0" w:lastRowFirstColumn="0" w:lastRowLastColumn="0"/>
            <w:tcW w:w="2946" w:type="dxa"/>
          </w:tcPr>
          <w:p w14:paraId="31D6EBA3" w14:textId="77777777" w:rsidR="00732BC0" w:rsidRPr="001213F7" w:rsidRDefault="00732BC0">
            <w:r w:rsidRPr="001213F7">
              <w:t>Grant expense</w:t>
            </w:r>
          </w:p>
        </w:tc>
        <w:tc>
          <w:tcPr>
            <w:tcW w:w="794" w:type="dxa"/>
          </w:tcPr>
          <w:p w14:paraId="1D1A97E5"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136</w:t>
            </w:r>
          </w:p>
        </w:tc>
        <w:tc>
          <w:tcPr>
            <w:tcW w:w="794" w:type="dxa"/>
          </w:tcPr>
          <w:p w14:paraId="2041F134"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227</w:t>
            </w:r>
          </w:p>
        </w:tc>
        <w:tc>
          <w:tcPr>
            <w:tcW w:w="794" w:type="dxa"/>
          </w:tcPr>
          <w:p w14:paraId="1CCF1688"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360</w:t>
            </w:r>
          </w:p>
        </w:tc>
        <w:tc>
          <w:tcPr>
            <w:tcW w:w="794" w:type="dxa"/>
          </w:tcPr>
          <w:p w14:paraId="4FA0338D"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355</w:t>
            </w:r>
          </w:p>
        </w:tc>
        <w:tc>
          <w:tcPr>
            <w:tcW w:w="794" w:type="dxa"/>
          </w:tcPr>
          <w:p w14:paraId="4FE68163"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211</w:t>
            </w:r>
          </w:p>
        </w:tc>
        <w:tc>
          <w:tcPr>
            <w:tcW w:w="794" w:type="dxa"/>
          </w:tcPr>
          <w:p w14:paraId="58FE92A6"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64</w:t>
            </w:r>
          </w:p>
        </w:tc>
      </w:tr>
      <w:tr w:rsidR="00732BC0" w:rsidRPr="001213F7" w14:paraId="385B7229" w14:textId="77777777">
        <w:tc>
          <w:tcPr>
            <w:cnfStyle w:val="001000000000" w:firstRow="0" w:lastRow="0" w:firstColumn="1" w:lastColumn="0" w:oddVBand="0" w:evenVBand="0" w:oddHBand="0" w:evenHBand="0" w:firstRowFirstColumn="0" w:firstRowLastColumn="0" w:lastRowFirstColumn="0" w:lastRowLastColumn="0"/>
            <w:tcW w:w="2946" w:type="dxa"/>
          </w:tcPr>
          <w:p w14:paraId="50CB7416" w14:textId="77777777" w:rsidR="00732BC0" w:rsidRPr="001213F7" w:rsidRDefault="00732BC0">
            <w:r w:rsidRPr="001213F7">
              <w:t>Other operating expenses</w:t>
            </w:r>
          </w:p>
        </w:tc>
        <w:tc>
          <w:tcPr>
            <w:tcW w:w="794" w:type="dxa"/>
          </w:tcPr>
          <w:p w14:paraId="28315B71"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11 569</w:t>
            </w:r>
          </w:p>
        </w:tc>
        <w:tc>
          <w:tcPr>
            <w:tcW w:w="794" w:type="dxa"/>
          </w:tcPr>
          <w:p w14:paraId="088DC3AA"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12 417</w:t>
            </w:r>
          </w:p>
        </w:tc>
        <w:tc>
          <w:tcPr>
            <w:tcW w:w="794" w:type="dxa"/>
          </w:tcPr>
          <w:p w14:paraId="4197FA6B"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13 601</w:t>
            </w:r>
          </w:p>
        </w:tc>
        <w:tc>
          <w:tcPr>
            <w:tcW w:w="794" w:type="dxa"/>
          </w:tcPr>
          <w:p w14:paraId="7E6EB468"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14 574</w:t>
            </w:r>
          </w:p>
        </w:tc>
        <w:tc>
          <w:tcPr>
            <w:tcW w:w="794" w:type="dxa"/>
          </w:tcPr>
          <w:p w14:paraId="780BFC4E"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15 659</w:t>
            </w:r>
          </w:p>
        </w:tc>
        <w:tc>
          <w:tcPr>
            <w:tcW w:w="794" w:type="dxa"/>
          </w:tcPr>
          <w:p w14:paraId="7EDB265B"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16 829</w:t>
            </w:r>
          </w:p>
        </w:tc>
      </w:tr>
      <w:tr w:rsidR="00732BC0" w:rsidRPr="001213F7" w14:paraId="73D2FA0E" w14:textId="77777777">
        <w:tc>
          <w:tcPr>
            <w:cnfStyle w:val="001000000000" w:firstRow="0" w:lastRow="0" w:firstColumn="1" w:lastColumn="0" w:oddVBand="0" w:evenVBand="0" w:oddHBand="0" w:evenHBand="0" w:firstRowFirstColumn="0" w:firstRowLastColumn="0" w:lastRowFirstColumn="0" w:lastRowLastColumn="0"/>
            <w:tcW w:w="2946" w:type="dxa"/>
            <w:tcBorders>
              <w:bottom w:val="single" w:sz="6" w:space="0" w:color="auto"/>
            </w:tcBorders>
          </w:tcPr>
          <w:p w14:paraId="27376789" w14:textId="77777777" w:rsidR="00732BC0" w:rsidRPr="001213F7" w:rsidRDefault="00732BC0">
            <w:r w:rsidRPr="001213F7">
              <w:t>Other property expenses</w:t>
            </w:r>
          </w:p>
        </w:tc>
        <w:tc>
          <w:tcPr>
            <w:tcW w:w="794" w:type="dxa"/>
            <w:tcBorders>
              <w:bottom w:val="single" w:sz="6" w:space="0" w:color="auto"/>
            </w:tcBorders>
          </w:tcPr>
          <w:p w14:paraId="138BC80A"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758</w:t>
            </w:r>
          </w:p>
        </w:tc>
        <w:tc>
          <w:tcPr>
            <w:tcW w:w="794" w:type="dxa"/>
            <w:tcBorders>
              <w:bottom w:val="single" w:sz="6" w:space="0" w:color="auto"/>
            </w:tcBorders>
          </w:tcPr>
          <w:p w14:paraId="7485F63B"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634</w:t>
            </w:r>
          </w:p>
        </w:tc>
        <w:tc>
          <w:tcPr>
            <w:tcW w:w="794" w:type="dxa"/>
            <w:tcBorders>
              <w:bottom w:val="single" w:sz="6" w:space="0" w:color="auto"/>
            </w:tcBorders>
          </w:tcPr>
          <w:p w14:paraId="52442407"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167</w:t>
            </w:r>
          </w:p>
        </w:tc>
        <w:tc>
          <w:tcPr>
            <w:tcW w:w="794" w:type="dxa"/>
            <w:tcBorders>
              <w:bottom w:val="single" w:sz="6" w:space="0" w:color="auto"/>
            </w:tcBorders>
          </w:tcPr>
          <w:p w14:paraId="1B26FE48"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88</w:t>
            </w:r>
          </w:p>
        </w:tc>
        <w:tc>
          <w:tcPr>
            <w:tcW w:w="794" w:type="dxa"/>
            <w:tcBorders>
              <w:bottom w:val="single" w:sz="6" w:space="0" w:color="auto"/>
            </w:tcBorders>
          </w:tcPr>
          <w:p w14:paraId="41F5CC8C"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46</w:t>
            </w:r>
          </w:p>
        </w:tc>
        <w:tc>
          <w:tcPr>
            <w:tcW w:w="794" w:type="dxa"/>
            <w:tcBorders>
              <w:bottom w:val="single" w:sz="6" w:space="0" w:color="auto"/>
            </w:tcBorders>
          </w:tcPr>
          <w:p w14:paraId="0DB50023"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37</w:t>
            </w:r>
          </w:p>
        </w:tc>
      </w:tr>
      <w:tr w:rsidR="00732BC0" w:rsidRPr="001213F7" w14:paraId="25ACB113" w14:textId="77777777">
        <w:tc>
          <w:tcPr>
            <w:cnfStyle w:val="001000000000" w:firstRow="0" w:lastRow="0" w:firstColumn="1" w:lastColumn="0" w:oddVBand="0" w:evenVBand="0" w:oddHBand="0" w:evenHBand="0" w:firstRowFirstColumn="0" w:firstRowLastColumn="0" w:lastRowFirstColumn="0" w:lastRowLastColumn="0"/>
            <w:tcW w:w="2946" w:type="dxa"/>
            <w:tcBorders>
              <w:top w:val="single" w:sz="6" w:space="0" w:color="auto"/>
            </w:tcBorders>
          </w:tcPr>
          <w:p w14:paraId="7FCFE5E4" w14:textId="77777777" w:rsidR="00732BC0" w:rsidRPr="001213F7" w:rsidRDefault="00732BC0">
            <w:r w:rsidRPr="001213F7">
              <w:rPr>
                <w:b/>
              </w:rPr>
              <w:t>Total expenses from transactions</w:t>
            </w:r>
          </w:p>
        </w:tc>
        <w:tc>
          <w:tcPr>
            <w:tcW w:w="794" w:type="dxa"/>
            <w:tcBorders>
              <w:top w:val="single" w:sz="6" w:space="0" w:color="auto"/>
            </w:tcBorders>
          </w:tcPr>
          <w:p w14:paraId="65B350F0"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rPr>
                <w:b/>
              </w:rPr>
              <w:t>19 846</w:t>
            </w:r>
          </w:p>
        </w:tc>
        <w:tc>
          <w:tcPr>
            <w:tcW w:w="794" w:type="dxa"/>
            <w:tcBorders>
              <w:top w:val="single" w:sz="6" w:space="0" w:color="auto"/>
            </w:tcBorders>
          </w:tcPr>
          <w:p w14:paraId="2B3503CB"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rPr>
                <w:b/>
              </w:rPr>
              <w:t>21 128</w:t>
            </w:r>
          </w:p>
        </w:tc>
        <w:tc>
          <w:tcPr>
            <w:tcW w:w="794" w:type="dxa"/>
            <w:tcBorders>
              <w:top w:val="single" w:sz="6" w:space="0" w:color="auto"/>
            </w:tcBorders>
          </w:tcPr>
          <w:p w14:paraId="2BDF5F36"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rPr>
                <w:b/>
              </w:rPr>
              <w:t>23 346</w:t>
            </w:r>
          </w:p>
        </w:tc>
        <w:tc>
          <w:tcPr>
            <w:tcW w:w="794" w:type="dxa"/>
            <w:tcBorders>
              <w:top w:val="single" w:sz="6" w:space="0" w:color="auto"/>
            </w:tcBorders>
          </w:tcPr>
          <w:p w14:paraId="335453A4"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rPr>
                <w:b/>
              </w:rPr>
              <w:t>25 246</w:t>
            </w:r>
          </w:p>
        </w:tc>
        <w:tc>
          <w:tcPr>
            <w:tcW w:w="794" w:type="dxa"/>
            <w:tcBorders>
              <w:top w:val="single" w:sz="6" w:space="0" w:color="auto"/>
            </w:tcBorders>
          </w:tcPr>
          <w:p w14:paraId="451976D2"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rPr>
                <w:b/>
              </w:rPr>
              <w:t>27 406</w:t>
            </w:r>
          </w:p>
        </w:tc>
        <w:tc>
          <w:tcPr>
            <w:tcW w:w="794" w:type="dxa"/>
            <w:tcBorders>
              <w:top w:val="single" w:sz="6" w:space="0" w:color="auto"/>
            </w:tcBorders>
          </w:tcPr>
          <w:p w14:paraId="7CF031A0"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rPr>
                <w:b/>
              </w:rPr>
              <w:t>29 834</w:t>
            </w:r>
          </w:p>
        </w:tc>
      </w:tr>
      <w:tr w:rsidR="00732BC0" w:rsidRPr="001213F7" w14:paraId="433C45F5" w14:textId="77777777">
        <w:tc>
          <w:tcPr>
            <w:cnfStyle w:val="001000000000" w:firstRow="0" w:lastRow="0" w:firstColumn="1" w:lastColumn="0" w:oddVBand="0" w:evenVBand="0" w:oddHBand="0" w:evenHBand="0" w:firstRowFirstColumn="0" w:firstRowLastColumn="0" w:lastRowFirstColumn="0" w:lastRowLastColumn="0"/>
            <w:tcW w:w="2946" w:type="dxa"/>
          </w:tcPr>
          <w:p w14:paraId="6D11F9BF" w14:textId="77777777" w:rsidR="00732BC0" w:rsidRPr="001213F7" w:rsidRDefault="00732BC0">
            <w:r w:rsidRPr="001213F7">
              <w:rPr>
                <w:i/>
              </w:rPr>
              <w:t>per cent change</w:t>
            </w:r>
          </w:p>
        </w:tc>
        <w:tc>
          <w:tcPr>
            <w:tcW w:w="794" w:type="dxa"/>
          </w:tcPr>
          <w:p w14:paraId="65A6F80A"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rPr>
                <w:i/>
              </w:rPr>
              <w:t>12.2</w:t>
            </w:r>
          </w:p>
        </w:tc>
        <w:tc>
          <w:tcPr>
            <w:tcW w:w="794" w:type="dxa"/>
          </w:tcPr>
          <w:p w14:paraId="518687F3"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rPr>
                <w:i/>
              </w:rPr>
              <w:t>6.5</w:t>
            </w:r>
          </w:p>
        </w:tc>
        <w:tc>
          <w:tcPr>
            <w:tcW w:w="794" w:type="dxa"/>
          </w:tcPr>
          <w:p w14:paraId="311A59D5"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rPr>
                <w:i/>
              </w:rPr>
              <w:t>10.5</w:t>
            </w:r>
          </w:p>
        </w:tc>
        <w:tc>
          <w:tcPr>
            <w:tcW w:w="794" w:type="dxa"/>
          </w:tcPr>
          <w:p w14:paraId="5AF51113"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rPr>
                <w:i/>
              </w:rPr>
              <w:t>8.1</w:t>
            </w:r>
          </w:p>
        </w:tc>
        <w:tc>
          <w:tcPr>
            <w:tcW w:w="794" w:type="dxa"/>
          </w:tcPr>
          <w:p w14:paraId="069CF7CC"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rPr>
                <w:i/>
              </w:rPr>
              <w:t>8.6</w:t>
            </w:r>
          </w:p>
        </w:tc>
        <w:tc>
          <w:tcPr>
            <w:tcW w:w="794" w:type="dxa"/>
          </w:tcPr>
          <w:p w14:paraId="4EDB042E"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rPr>
                <w:i/>
              </w:rPr>
              <w:t>8.9</w:t>
            </w:r>
          </w:p>
        </w:tc>
      </w:tr>
      <w:tr w:rsidR="00732BC0" w:rsidRPr="001213F7" w14:paraId="4D8F04BD" w14:textId="77777777">
        <w:trPr>
          <w:trHeight w:hRule="exact" w:val="113"/>
        </w:trPr>
        <w:tc>
          <w:tcPr>
            <w:cnfStyle w:val="001000000000" w:firstRow="0" w:lastRow="0" w:firstColumn="1" w:lastColumn="0" w:oddVBand="0" w:evenVBand="0" w:oddHBand="0" w:evenHBand="0" w:firstRowFirstColumn="0" w:firstRowLastColumn="0" w:lastRowFirstColumn="0" w:lastRowLastColumn="0"/>
            <w:tcW w:w="2946" w:type="dxa"/>
            <w:tcBorders>
              <w:bottom w:val="single" w:sz="6" w:space="0" w:color="auto"/>
            </w:tcBorders>
          </w:tcPr>
          <w:p w14:paraId="7A549B65" w14:textId="77777777" w:rsidR="00732BC0" w:rsidRPr="001213F7" w:rsidRDefault="00732BC0"/>
        </w:tc>
        <w:tc>
          <w:tcPr>
            <w:tcW w:w="794" w:type="dxa"/>
            <w:tcBorders>
              <w:bottom w:val="single" w:sz="6" w:space="0" w:color="auto"/>
            </w:tcBorders>
          </w:tcPr>
          <w:p w14:paraId="1ADA7844"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p>
        </w:tc>
        <w:tc>
          <w:tcPr>
            <w:tcW w:w="794" w:type="dxa"/>
            <w:tcBorders>
              <w:bottom w:val="single" w:sz="6" w:space="0" w:color="auto"/>
            </w:tcBorders>
          </w:tcPr>
          <w:p w14:paraId="4A4484DF"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p>
        </w:tc>
        <w:tc>
          <w:tcPr>
            <w:tcW w:w="794" w:type="dxa"/>
            <w:tcBorders>
              <w:bottom w:val="single" w:sz="6" w:space="0" w:color="auto"/>
            </w:tcBorders>
          </w:tcPr>
          <w:p w14:paraId="41AA3362"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p>
        </w:tc>
        <w:tc>
          <w:tcPr>
            <w:tcW w:w="794" w:type="dxa"/>
            <w:tcBorders>
              <w:bottom w:val="single" w:sz="6" w:space="0" w:color="auto"/>
            </w:tcBorders>
          </w:tcPr>
          <w:p w14:paraId="3981FE4F"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p>
        </w:tc>
        <w:tc>
          <w:tcPr>
            <w:tcW w:w="794" w:type="dxa"/>
            <w:tcBorders>
              <w:bottom w:val="single" w:sz="6" w:space="0" w:color="auto"/>
            </w:tcBorders>
          </w:tcPr>
          <w:p w14:paraId="4B05F005"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p>
        </w:tc>
        <w:tc>
          <w:tcPr>
            <w:tcW w:w="794" w:type="dxa"/>
            <w:tcBorders>
              <w:bottom w:val="single" w:sz="6" w:space="0" w:color="auto"/>
            </w:tcBorders>
          </w:tcPr>
          <w:p w14:paraId="3DD5C90E"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p>
        </w:tc>
      </w:tr>
      <w:tr w:rsidR="00732BC0" w:rsidRPr="001213F7" w14:paraId="630D6D81" w14:textId="77777777">
        <w:tc>
          <w:tcPr>
            <w:cnfStyle w:val="001000000000" w:firstRow="0" w:lastRow="0" w:firstColumn="1" w:lastColumn="0" w:oddVBand="0" w:evenVBand="0" w:oddHBand="0" w:evenHBand="0" w:firstRowFirstColumn="0" w:firstRowLastColumn="0" w:lastRowFirstColumn="0" w:lastRowLastColumn="0"/>
            <w:tcW w:w="2946" w:type="dxa"/>
            <w:tcBorders>
              <w:top w:val="single" w:sz="6" w:space="0" w:color="auto"/>
              <w:bottom w:val="single" w:sz="12" w:space="0" w:color="auto"/>
            </w:tcBorders>
          </w:tcPr>
          <w:p w14:paraId="02B59AA9" w14:textId="77777777" w:rsidR="00732BC0" w:rsidRPr="001213F7" w:rsidRDefault="00732BC0">
            <w:r w:rsidRPr="001213F7">
              <w:rPr>
                <w:b/>
              </w:rPr>
              <w:t>Net result from transactions – net operating balance</w:t>
            </w:r>
          </w:p>
        </w:tc>
        <w:tc>
          <w:tcPr>
            <w:tcW w:w="794" w:type="dxa"/>
            <w:tcBorders>
              <w:top w:val="single" w:sz="6" w:space="0" w:color="auto"/>
              <w:bottom w:val="single" w:sz="12" w:space="0" w:color="auto"/>
            </w:tcBorders>
          </w:tcPr>
          <w:p w14:paraId="0BFAEA43"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rPr>
                <w:b/>
              </w:rPr>
              <w:t>(1 415)</w:t>
            </w:r>
          </w:p>
        </w:tc>
        <w:tc>
          <w:tcPr>
            <w:tcW w:w="794" w:type="dxa"/>
            <w:tcBorders>
              <w:top w:val="single" w:sz="6" w:space="0" w:color="auto"/>
              <w:bottom w:val="single" w:sz="12" w:space="0" w:color="auto"/>
            </w:tcBorders>
          </w:tcPr>
          <w:p w14:paraId="33F9CDE8"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rPr>
                <w:b/>
              </w:rPr>
              <w:t>(1 539)</w:t>
            </w:r>
          </w:p>
        </w:tc>
        <w:tc>
          <w:tcPr>
            <w:tcW w:w="794" w:type="dxa"/>
            <w:tcBorders>
              <w:top w:val="single" w:sz="6" w:space="0" w:color="auto"/>
              <w:bottom w:val="single" w:sz="12" w:space="0" w:color="auto"/>
            </w:tcBorders>
          </w:tcPr>
          <w:p w14:paraId="115D0548"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rPr>
                <w:b/>
              </w:rPr>
              <w:t>(1 806)</w:t>
            </w:r>
          </w:p>
        </w:tc>
        <w:tc>
          <w:tcPr>
            <w:tcW w:w="794" w:type="dxa"/>
            <w:tcBorders>
              <w:top w:val="single" w:sz="6" w:space="0" w:color="auto"/>
              <w:bottom w:val="single" w:sz="12" w:space="0" w:color="auto"/>
            </w:tcBorders>
          </w:tcPr>
          <w:p w14:paraId="38A054BD"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rPr>
                <w:b/>
              </w:rPr>
              <w:t>(1 851)</w:t>
            </w:r>
          </w:p>
        </w:tc>
        <w:tc>
          <w:tcPr>
            <w:tcW w:w="794" w:type="dxa"/>
            <w:tcBorders>
              <w:top w:val="single" w:sz="6" w:space="0" w:color="auto"/>
              <w:bottom w:val="single" w:sz="12" w:space="0" w:color="auto"/>
            </w:tcBorders>
          </w:tcPr>
          <w:p w14:paraId="79DFB3FB"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rPr>
                <w:b/>
              </w:rPr>
              <w:t>(1 974)</w:t>
            </w:r>
          </w:p>
        </w:tc>
        <w:tc>
          <w:tcPr>
            <w:tcW w:w="794" w:type="dxa"/>
            <w:tcBorders>
              <w:top w:val="single" w:sz="6" w:space="0" w:color="auto"/>
              <w:bottom w:val="single" w:sz="12" w:space="0" w:color="auto"/>
            </w:tcBorders>
          </w:tcPr>
          <w:p w14:paraId="16089A20"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rPr>
                <w:b/>
              </w:rPr>
              <w:t>(2 126)</w:t>
            </w:r>
          </w:p>
        </w:tc>
      </w:tr>
      <w:tr w:rsidR="00732BC0" w:rsidRPr="001213F7" w14:paraId="778BBF7A" w14:textId="77777777">
        <w:tc>
          <w:tcPr>
            <w:cnfStyle w:val="001000000000" w:firstRow="0" w:lastRow="0" w:firstColumn="1" w:lastColumn="0" w:oddVBand="0" w:evenVBand="0" w:oddHBand="0" w:evenHBand="0" w:firstRowFirstColumn="0" w:firstRowLastColumn="0" w:lastRowFirstColumn="0" w:lastRowLastColumn="0"/>
            <w:tcW w:w="2946" w:type="dxa"/>
            <w:tcBorders>
              <w:top w:val="single" w:sz="6" w:space="0" w:color="auto"/>
              <w:bottom w:val="single" w:sz="6" w:space="0" w:color="auto"/>
            </w:tcBorders>
          </w:tcPr>
          <w:p w14:paraId="152ECA54" w14:textId="77777777" w:rsidR="00732BC0" w:rsidRPr="001213F7" w:rsidRDefault="00732BC0">
            <w:r w:rsidRPr="001213F7">
              <w:t>Total other economic flows included in net result</w:t>
            </w:r>
          </w:p>
        </w:tc>
        <w:tc>
          <w:tcPr>
            <w:tcW w:w="794" w:type="dxa"/>
            <w:tcBorders>
              <w:top w:val="single" w:sz="6" w:space="0" w:color="auto"/>
              <w:bottom w:val="single" w:sz="6" w:space="0" w:color="auto"/>
            </w:tcBorders>
          </w:tcPr>
          <w:p w14:paraId="3F14B189"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(2 109)</w:t>
            </w:r>
          </w:p>
        </w:tc>
        <w:tc>
          <w:tcPr>
            <w:tcW w:w="794" w:type="dxa"/>
            <w:tcBorders>
              <w:top w:val="single" w:sz="6" w:space="0" w:color="auto"/>
              <w:bottom w:val="single" w:sz="6" w:space="0" w:color="auto"/>
            </w:tcBorders>
          </w:tcPr>
          <w:p w14:paraId="17EBB761"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10 801</w:t>
            </w:r>
          </w:p>
        </w:tc>
        <w:tc>
          <w:tcPr>
            <w:tcW w:w="794" w:type="dxa"/>
            <w:tcBorders>
              <w:top w:val="single" w:sz="6" w:space="0" w:color="auto"/>
              <w:bottom w:val="single" w:sz="6" w:space="0" w:color="auto"/>
            </w:tcBorders>
          </w:tcPr>
          <w:p w14:paraId="48E6B936"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2 311</w:t>
            </w:r>
          </w:p>
        </w:tc>
        <w:tc>
          <w:tcPr>
            <w:tcW w:w="794" w:type="dxa"/>
            <w:tcBorders>
              <w:top w:val="single" w:sz="6" w:space="0" w:color="auto"/>
              <w:bottom w:val="single" w:sz="6" w:space="0" w:color="auto"/>
            </w:tcBorders>
          </w:tcPr>
          <w:p w14:paraId="565C3691"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2 508</w:t>
            </w:r>
          </w:p>
        </w:tc>
        <w:tc>
          <w:tcPr>
            <w:tcW w:w="794" w:type="dxa"/>
            <w:tcBorders>
              <w:top w:val="single" w:sz="6" w:space="0" w:color="auto"/>
              <w:bottom w:val="single" w:sz="6" w:space="0" w:color="auto"/>
            </w:tcBorders>
          </w:tcPr>
          <w:p w14:paraId="2AA62C5F"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2 713</w:t>
            </w:r>
          </w:p>
        </w:tc>
        <w:tc>
          <w:tcPr>
            <w:tcW w:w="794" w:type="dxa"/>
            <w:tcBorders>
              <w:top w:val="single" w:sz="6" w:space="0" w:color="auto"/>
              <w:bottom w:val="single" w:sz="6" w:space="0" w:color="auto"/>
            </w:tcBorders>
          </w:tcPr>
          <w:p w14:paraId="44010E3B"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3 188</w:t>
            </w:r>
          </w:p>
        </w:tc>
      </w:tr>
      <w:tr w:rsidR="00732BC0" w:rsidRPr="001213F7" w14:paraId="5ED84CC8" w14:textId="77777777">
        <w:tc>
          <w:tcPr>
            <w:cnfStyle w:val="001000000000" w:firstRow="0" w:lastRow="0" w:firstColumn="1" w:lastColumn="0" w:oddVBand="0" w:evenVBand="0" w:oddHBand="0" w:evenHBand="0" w:firstRowFirstColumn="0" w:firstRowLastColumn="0" w:lastRowFirstColumn="0" w:lastRowLastColumn="0"/>
            <w:tcW w:w="2946" w:type="dxa"/>
            <w:tcBorders>
              <w:top w:val="single" w:sz="6" w:space="0" w:color="auto"/>
              <w:bottom w:val="single" w:sz="12" w:space="0" w:color="auto"/>
            </w:tcBorders>
          </w:tcPr>
          <w:p w14:paraId="473DA78D" w14:textId="77777777" w:rsidR="00732BC0" w:rsidRPr="001213F7" w:rsidRDefault="00732BC0">
            <w:r w:rsidRPr="001213F7">
              <w:rPr>
                <w:b/>
              </w:rPr>
              <w:t>Net result</w:t>
            </w:r>
          </w:p>
        </w:tc>
        <w:tc>
          <w:tcPr>
            <w:tcW w:w="794" w:type="dxa"/>
            <w:tcBorders>
              <w:top w:val="single" w:sz="6" w:space="0" w:color="auto"/>
              <w:bottom w:val="single" w:sz="12" w:space="0" w:color="auto"/>
            </w:tcBorders>
          </w:tcPr>
          <w:p w14:paraId="2351AC5C"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rPr>
                <w:b/>
              </w:rPr>
              <w:t>(3 523)</w:t>
            </w:r>
          </w:p>
        </w:tc>
        <w:tc>
          <w:tcPr>
            <w:tcW w:w="794" w:type="dxa"/>
            <w:tcBorders>
              <w:top w:val="single" w:sz="6" w:space="0" w:color="auto"/>
              <w:bottom w:val="single" w:sz="12" w:space="0" w:color="auto"/>
            </w:tcBorders>
          </w:tcPr>
          <w:p w14:paraId="0F4DFAA0"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rPr>
                <w:b/>
              </w:rPr>
              <w:t>9 262</w:t>
            </w:r>
          </w:p>
        </w:tc>
        <w:tc>
          <w:tcPr>
            <w:tcW w:w="794" w:type="dxa"/>
            <w:tcBorders>
              <w:top w:val="single" w:sz="6" w:space="0" w:color="auto"/>
              <w:bottom w:val="single" w:sz="12" w:space="0" w:color="auto"/>
            </w:tcBorders>
          </w:tcPr>
          <w:p w14:paraId="3D947E41"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rPr>
                <w:b/>
              </w:rPr>
              <w:t>504</w:t>
            </w:r>
          </w:p>
        </w:tc>
        <w:tc>
          <w:tcPr>
            <w:tcW w:w="794" w:type="dxa"/>
            <w:tcBorders>
              <w:top w:val="single" w:sz="6" w:space="0" w:color="auto"/>
              <w:bottom w:val="single" w:sz="12" w:space="0" w:color="auto"/>
            </w:tcBorders>
          </w:tcPr>
          <w:p w14:paraId="04BC4AF3"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rPr>
                <w:b/>
              </w:rPr>
              <w:t>657</w:t>
            </w:r>
          </w:p>
        </w:tc>
        <w:tc>
          <w:tcPr>
            <w:tcW w:w="794" w:type="dxa"/>
            <w:tcBorders>
              <w:top w:val="single" w:sz="6" w:space="0" w:color="auto"/>
              <w:bottom w:val="single" w:sz="12" w:space="0" w:color="auto"/>
            </w:tcBorders>
          </w:tcPr>
          <w:p w14:paraId="4693FCC2"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rPr>
                <w:b/>
              </w:rPr>
              <w:t>739</w:t>
            </w:r>
          </w:p>
        </w:tc>
        <w:tc>
          <w:tcPr>
            <w:tcW w:w="794" w:type="dxa"/>
            <w:tcBorders>
              <w:top w:val="single" w:sz="6" w:space="0" w:color="auto"/>
              <w:bottom w:val="single" w:sz="12" w:space="0" w:color="auto"/>
            </w:tcBorders>
          </w:tcPr>
          <w:p w14:paraId="365465F6"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rPr>
                <w:b/>
              </w:rPr>
              <w:t>1 062</w:t>
            </w:r>
          </w:p>
        </w:tc>
      </w:tr>
    </w:tbl>
    <w:p w14:paraId="2B067A43" w14:textId="77777777" w:rsidR="00732BC0" w:rsidRPr="001213F7" w:rsidRDefault="00732BC0">
      <w:pPr>
        <w:pStyle w:val="Note"/>
        <w:ind w:left="0" w:firstLine="0"/>
      </w:pPr>
      <w:r w:rsidRPr="001213F7">
        <w:t>Note:</w:t>
      </w:r>
    </w:p>
    <w:p w14:paraId="328D1B81" w14:textId="77777777" w:rsidR="00732BC0" w:rsidRPr="001213F7" w:rsidRDefault="00732BC0">
      <w:pPr>
        <w:pStyle w:val="Note"/>
      </w:pPr>
      <w:r w:rsidRPr="001213F7">
        <w:t>(a)</w:t>
      </w:r>
      <w:r w:rsidRPr="001213F7">
        <w:tab/>
        <w:t xml:space="preserve">This is a summary operating statement. The comprehensive operating statement is presented in Budget Paper No. 5, Chapter 2 </w:t>
      </w:r>
      <w:r w:rsidRPr="001213F7">
        <w:rPr>
          <w:i w:val="0"/>
        </w:rPr>
        <w:t>Supplementary uniform presentation framework tables</w:t>
      </w:r>
      <w:r w:rsidRPr="001213F7">
        <w:t xml:space="preserve">. </w:t>
      </w:r>
    </w:p>
    <w:p w14:paraId="6A65026C" w14:textId="77777777" w:rsidR="00732BC0" w:rsidRPr="001213F7" w:rsidRDefault="00732BC0">
      <w:pPr>
        <w:ind w:right="61"/>
      </w:pPr>
      <w:r w:rsidRPr="001213F7">
        <w:lastRenderedPageBreak/>
        <w:t>Total revenue and income from transactions in the PFC sector is projected to increase by 6.3 per cent in 2025-26, to $19.6 billion, before increasing by an average of 9.1 per cent a year over the budget and forward estimates to $27.7 billion in 2029-30. The increases over the budget and forward estimates are largely due to increasing premium revenue, dividend income, realised capital gains for the State’s insurance agencies, and interest income for TCV.</w:t>
      </w:r>
    </w:p>
    <w:p w14:paraId="401ACBEA" w14:textId="77777777" w:rsidR="00732BC0" w:rsidRPr="001213F7" w:rsidRDefault="00732BC0">
      <w:r w:rsidRPr="001213F7">
        <w:t>PFC sector total expenses from transactions are expected to increase by 6.5 per cent in 2025-26, to $21.1 billion, after which growth in expenses averages 9.0 per cent a year over the budget and forward estimates to $29.8 billion in 2029-30. This increase in expenditure is largely due to increased claims expenses of the State’s insurance agencies, which are shown as other operating expenses in Table 5.7, and higher interest expenses for TCV.</w:t>
      </w:r>
    </w:p>
    <w:p w14:paraId="5F0DB250" w14:textId="77777777" w:rsidR="00732BC0" w:rsidRPr="001213F7" w:rsidRDefault="00732BC0" w:rsidP="001213F7">
      <w:pPr>
        <w:ind w:right="-37"/>
      </w:pPr>
      <w:r w:rsidRPr="001213F7">
        <w:t>When combined, these impacts result in the PFC sector’s net result from transactions deteriorating from a deficit of $1.5 billion in 2025-26 to a deficit of $2.1 billion in 2029-30. However, this excludes some significant drivers of the PFC sector’s performance. The net result, which includes other economic flows such as capital gains on the investments held by the State’s insurance agencies, movements in deferred tax assets, risk margins and claims handling expenses, provides a more meaningful indication of the projected financial strength of the PFC sector. Other economic flows for the PFC sector are expected to decrease from $10.8 billion in 2025-26 to $2.3 billion in 2026-27 before increasing by an average of $292 million a year over the forward estimates. The significant other economic flows in 2025-26 are driven by an increase in the discount rates that are used to value TCV’s borrowings and the outstanding claims liabilities of the State’s insurance agencies in the first six months of the 2025-26 financial year. Allowing for these other economic flows, the net result for the PFC sector is expected to decline from a surplus of $9.3 billion in 2025</w:t>
      </w:r>
      <w:r w:rsidRPr="001213F7">
        <w:noBreakHyphen/>
        <w:t>26 to a surplus of $1.1 billion in 2029-30.</w:t>
      </w:r>
    </w:p>
    <w:p w14:paraId="2B7E8CE4" w14:textId="77777777" w:rsidR="00732BC0" w:rsidRPr="001213F7" w:rsidRDefault="00732BC0">
      <w:pPr>
        <w:ind w:right="61"/>
      </w:pPr>
      <w:r w:rsidRPr="001213F7">
        <w:t>In 2024-25 and 2025-26, other economic flows for the PFC sector include revaluations that reflect actual market movements for the financial year to date, such as the movement in discount rates noted above. The gain or loss that is ultimately reported for 2025-26, and in future financial years, will vary in accordance with actual market experience over the year.</w:t>
      </w:r>
    </w:p>
    <w:p w14:paraId="30EFDAE6" w14:textId="77777777" w:rsidR="00732BC0" w:rsidRPr="001213F7" w:rsidRDefault="00732BC0">
      <w:pPr>
        <w:pStyle w:val="TableHeading"/>
        <w:pageBreakBefore/>
        <w:ind w:left="1022" w:hanging="1022"/>
      </w:pPr>
      <w:r w:rsidRPr="001213F7">
        <w:lastRenderedPageBreak/>
        <w:t xml:space="preserve">Table 5.8: </w:t>
      </w:r>
      <w:r w:rsidRPr="001213F7">
        <w:tab/>
        <w:t xml:space="preserve">Financial position of the PFC sector </w:t>
      </w:r>
      <w:r w:rsidRPr="001213F7">
        <w:rPr>
          <w:vertAlign w:val="superscript"/>
        </w:rPr>
        <w:tab/>
      </w:r>
      <w:r w:rsidRPr="001213F7">
        <w:t>($ billion)</w:t>
      </w:r>
    </w:p>
    <w:tbl>
      <w:tblPr>
        <w:tblStyle w:val="DTFTableNumeric"/>
        <w:tblW w:w="7710" w:type="dxa"/>
        <w:tblLayout w:type="fixed"/>
        <w:tblLook w:val="06A0" w:firstRow="1" w:lastRow="0" w:firstColumn="1" w:lastColumn="0" w:noHBand="1" w:noVBand="1"/>
        <w:tblDescription w:val="Type:DtfTable|Workbook:https://vicgov.sharepoint.com/sites/VG002735/BP2/Spreadsheets/Chapter%205%20-%20CRA_FAL/SRIMS_BP2_Chap5_PNFC_PFC_SoV.xlsx|Table:Summary_BS_PFC|TableGroup:Chapter 5"/>
      </w:tblPr>
      <w:tblGrid>
        <w:gridCol w:w="2946"/>
        <w:gridCol w:w="794"/>
        <w:gridCol w:w="794"/>
        <w:gridCol w:w="794"/>
        <w:gridCol w:w="794"/>
        <w:gridCol w:w="794"/>
        <w:gridCol w:w="794"/>
      </w:tblGrid>
      <w:tr w:rsidR="00732BC0" w:rsidRPr="001213F7" w14:paraId="16F9398A"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946" w:type="dxa"/>
          </w:tcPr>
          <w:p w14:paraId="7CAD7BBF" w14:textId="77777777" w:rsidR="00732BC0" w:rsidRPr="001213F7" w:rsidRDefault="00732BC0">
            <w:pPr>
              <w:keepNext/>
            </w:pPr>
          </w:p>
        </w:tc>
        <w:tc>
          <w:tcPr>
            <w:tcW w:w="794" w:type="dxa"/>
          </w:tcPr>
          <w:p w14:paraId="2671588E" w14:textId="77777777" w:rsidR="00732BC0" w:rsidRPr="001213F7" w:rsidRDefault="00732BC0">
            <w:pPr>
              <w:keepNext/>
              <w:cnfStyle w:val="100000000000" w:firstRow="1" w:lastRow="0" w:firstColumn="0" w:lastColumn="0" w:oddVBand="0" w:evenVBand="0" w:oddHBand="0" w:evenHBand="0" w:firstRowFirstColumn="0" w:firstRowLastColumn="0" w:lastRowFirstColumn="0" w:lastRowLastColumn="0"/>
            </w:pPr>
            <w:r w:rsidRPr="001213F7">
              <w:t>2024</w:t>
            </w:r>
            <w:r w:rsidRPr="001213F7">
              <w:noBreakHyphen/>
              <w:t>25</w:t>
            </w:r>
          </w:p>
        </w:tc>
        <w:tc>
          <w:tcPr>
            <w:tcW w:w="794" w:type="dxa"/>
          </w:tcPr>
          <w:p w14:paraId="655F1753" w14:textId="77777777" w:rsidR="00732BC0" w:rsidRPr="001213F7" w:rsidRDefault="00732BC0">
            <w:pPr>
              <w:keepNext/>
              <w:cnfStyle w:val="100000000000" w:firstRow="1" w:lastRow="0" w:firstColumn="0" w:lastColumn="0" w:oddVBand="0" w:evenVBand="0" w:oddHBand="0" w:evenHBand="0" w:firstRowFirstColumn="0" w:firstRowLastColumn="0" w:lastRowFirstColumn="0" w:lastRowLastColumn="0"/>
            </w:pPr>
            <w:r w:rsidRPr="001213F7">
              <w:t>2025</w:t>
            </w:r>
            <w:r w:rsidRPr="001213F7">
              <w:noBreakHyphen/>
              <w:t>26</w:t>
            </w:r>
          </w:p>
        </w:tc>
        <w:tc>
          <w:tcPr>
            <w:tcW w:w="794" w:type="dxa"/>
          </w:tcPr>
          <w:p w14:paraId="0C0EBFE5" w14:textId="77777777" w:rsidR="00732BC0" w:rsidRPr="001213F7" w:rsidRDefault="00732BC0">
            <w:pPr>
              <w:keepNext/>
              <w:cnfStyle w:val="100000000000" w:firstRow="1" w:lastRow="0" w:firstColumn="0" w:lastColumn="0" w:oddVBand="0" w:evenVBand="0" w:oddHBand="0" w:evenHBand="0" w:firstRowFirstColumn="0" w:firstRowLastColumn="0" w:lastRowFirstColumn="0" w:lastRowLastColumn="0"/>
            </w:pPr>
            <w:r w:rsidRPr="001213F7">
              <w:t>2026</w:t>
            </w:r>
            <w:r w:rsidRPr="001213F7">
              <w:noBreakHyphen/>
              <w:t>27</w:t>
            </w:r>
          </w:p>
        </w:tc>
        <w:tc>
          <w:tcPr>
            <w:tcW w:w="794" w:type="dxa"/>
          </w:tcPr>
          <w:p w14:paraId="2CE46785" w14:textId="77777777" w:rsidR="00732BC0" w:rsidRPr="001213F7" w:rsidRDefault="00732BC0">
            <w:pPr>
              <w:keepNext/>
              <w:cnfStyle w:val="100000000000" w:firstRow="1" w:lastRow="0" w:firstColumn="0" w:lastColumn="0" w:oddVBand="0" w:evenVBand="0" w:oddHBand="0" w:evenHBand="0" w:firstRowFirstColumn="0" w:firstRowLastColumn="0" w:lastRowFirstColumn="0" w:lastRowLastColumn="0"/>
            </w:pPr>
            <w:r w:rsidRPr="001213F7">
              <w:t>2027</w:t>
            </w:r>
            <w:r w:rsidRPr="001213F7">
              <w:noBreakHyphen/>
              <w:t>28</w:t>
            </w:r>
          </w:p>
        </w:tc>
        <w:tc>
          <w:tcPr>
            <w:tcW w:w="794" w:type="dxa"/>
          </w:tcPr>
          <w:p w14:paraId="51641D0D" w14:textId="77777777" w:rsidR="00732BC0" w:rsidRPr="001213F7" w:rsidRDefault="00732BC0">
            <w:pPr>
              <w:keepNext/>
              <w:cnfStyle w:val="100000000000" w:firstRow="1" w:lastRow="0" w:firstColumn="0" w:lastColumn="0" w:oddVBand="0" w:evenVBand="0" w:oddHBand="0" w:evenHBand="0" w:firstRowFirstColumn="0" w:firstRowLastColumn="0" w:lastRowFirstColumn="0" w:lastRowLastColumn="0"/>
            </w:pPr>
            <w:r w:rsidRPr="001213F7">
              <w:t>2028</w:t>
            </w:r>
            <w:r w:rsidRPr="001213F7">
              <w:noBreakHyphen/>
              <w:t>29</w:t>
            </w:r>
          </w:p>
        </w:tc>
        <w:tc>
          <w:tcPr>
            <w:tcW w:w="794" w:type="dxa"/>
          </w:tcPr>
          <w:p w14:paraId="08BB5D5C" w14:textId="77777777" w:rsidR="00732BC0" w:rsidRPr="001213F7" w:rsidRDefault="00732BC0">
            <w:pPr>
              <w:keepNext/>
              <w:cnfStyle w:val="100000000000" w:firstRow="1" w:lastRow="0" w:firstColumn="0" w:lastColumn="0" w:oddVBand="0" w:evenVBand="0" w:oddHBand="0" w:evenHBand="0" w:firstRowFirstColumn="0" w:firstRowLastColumn="0" w:lastRowFirstColumn="0" w:lastRowLastColumn="0"/>
            </w:pPr>
            <w:r w:rsidRPr="001213F7">
              <w:t>2029</w:t>
            </w:r>
            <w:r w:rsidRPr="001213F7">
              <w:noBreakHyphen/>
              <w:t>30</w:t>
            </w:r>
          </w:p>
        </w:tc>
      </w:tr>
      <w:tr w:rsidR="00732BC0" w:rsidRPr="001213F7" w14:paraId="2D8364AC"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946" w:type="dxa"/>
          </w:tcPr>
          <w:p w14:paraId="72210F90" w14:textId="77777777" w:rsidR="00732BC0" w:rsidRPr="001213F7" w:rsidRDefault="00732BC0">
            <w:pPr>
              <w:keepNext/>
            </w:pPr>
          </w:p>
        </w:tc>
        <w:tc>
          <w:tcPr>
            <w:tcW w:w="794" w:type="dxa"/>
          </w:tcPr>
          <w:p w14:paraId="795EFC7F" w14:textId="77777777" w:rsidR="00732BC0" w:rsidRPr="001213F7" w:rsidRDefault="00732BC0">
            <w:pPr>
              <w:keepNext/>
              <w:cnfStyle w:val="100000000000" w:firstRow="1" w:lastRow="0" w:firstColumn="0" w:lastColumn="0" w:oddVBand="0" w:evenVBand="0" w:oddHBand="0" w:evenHBand="0" w:firstRowFirstColumn="0" w:firstRowLastColumn="0" w:lastRowFirstColumn="0" w:lastRowLastColumn="0"/>
            </w:pPr>
            <w:r w:rsidRPr="001213F7">
              <w:t>actual</w:t>
            </w:r>
          </w:p>
        </w:tc>
        <w:tc>
          <w:tcPr>
            <w:tcW w:w="794" w:type="dxa"/>
          </w:tcPr>
          <w:p w14:paraId="4C0997A3" w14:textId="77777777" w:rsidR="00732BC0" w:rsidRPr="001213F7" w:rsidRDefault="00732BC0">
            <w:pPr>
              <w:keepNext/>
              <w:cnfStyle w:val="100000000000" w:firstRow="1" w:lastRow="0" w:firstColumn="0" w:lastColumn="0" w:oddVBand="0" w:evenVBand="0" w:oddHBand="0" w:evenHBand="0" w:firstRowFirstColumn="0" w:firstRowLastColumn="0" w:lastRowFirstColumn="0" w:lastRowLastColumn="0"/>
            </w:pPr>
            <w:r w:rsidRPr="001213F7">
              <w:t>revised</w:t>
            </w:r>
          </w:p>
        </w:tc>
        <w:tc>
          <w:tcPr>
            <w:tcW w:w="794" w:type="dxa"/>
          </w:tcPr>
          <w:p w14:paraId="270B19AA" w14:textId="77777777" w:rsidR="00732BC0" w:rsidRPr="001213F7" w:rsidRDefault="00732BC0">
            <w:pPr>
              <w:keepNext/>
              <w:cnfStyle w:val="100000000000" w:firstRow="1" w:lastRow="0" w:firstColumn="0" w:lastColumn="0" w:oddVBand="0" w:evenVBand="0" w:oddHBand="0" w:evenHBand="0" w:firstRowFirstColumn="0" w:firstRowLastColumn="0" w:lastRowFirstColumn="0" w:lastRowLastColumn="0"/>
            </w:pPr>
            <w:r w:rsidRPr="001213F7">
              <w:t>budget</w:t>
            </w:r>
          </w:p>
        </w:tc>
        <w:tc>
          <w:tcPr>
            <w:tcW w:w="794" w:type="dxa"/>
          </w:tcPr>
          <w:p w14:paraId="6FE4533D" w14:textId="77777777" w:rsidR="00732BC0" w:rsidRPr="001213F7" w:rsidRDefault="00732BC0">
            <w:pPr>
              <w:keepNext/>
              <w:cnfStyle w:val="100000000000" w:firstRow="1" w:lastRow="0" w:firstColumn="0" w:lastColumn="0" w:oddVBand="0" w:evenVBand="0" w:oddHBand="0" w:evenHBand="0" w:firstRowFirstColumn="0" w:firstRowLastColumn="0" w:lastRowFirstColumn="0" w:lastRowLastColumn="0"/>
            </w:pPr>
            <w:r w:rsidRPr="001213F7">
              <w:t>estimate</w:t>
            </w:r>
          </w:p>
        </w:tc>
        <w:tc>
          <w:tcPr>
            <w:tcW w:w="794" w:type="dxa"/>
          </w:tcPr>
          <w:p w14:paraId="255A4C1D" w14:textId="77777777" w:rsidR="00732BC0" w:rsidRPr="001213F7" w:rsidRDefault="00732BC0">
            <w:pPr>
              <w:keepNext/>
              <w:cnfStyle w:val="100000000000" w:firstRow="1" w:lastRow="0" w:firstColumn="0" w:lastColumn="0" w:oddVBand="0" w:evenVBand="0" w:oddHBand="0" w:evenHBand="0" w:firstRowFirstColumn="0" w:firstRowLastColumn="0" w:lastRowFirstColumn="0" w:lastRowLastColumn="0"/>
            </w:pPr>
            <w:r w:rsidRPr="001213F7">
              <w:t>estimate</w:t>
            </w:r>
          </w:p>
        </w:tc>
        <w:tc>
          <w:tcPr>
            <w:tcW w:w="794" w:type="dxa"/>
          </w:tcPr>
          <w:p w14:paraId="1426BF3E" w14:textId="77777777" w:rsidR="00732BC0" w:rsidRPr="001213F7" w:rsidRDefault="00732BC0">
            <w:pPr>
              <w:keepNext/>
              <w:cnfStyle w:val="100000000000" w:firstRow="1" w:lastRow="0" w:firstColumn="0" w:lastColumn="0" w:oddVBand="0" w:evenVBand="0" w:oddHBand="0" w:evenHBand="0" w:firstRowFirstColumn="0" w:firstRowLastColumn="0" w:lastRowFirstColumn="0" w:lastRowLastColumn="0"/>
            </w:pPr>
            <w:r w:rsidRPr="001213F7">
              <w:t>estimate</w:t>
            </w:r>
          </w:p>
        </w:tc>
      </w:tr>
      <w:tr w:rsidR="00732BC0" w:rsidRPr="001213F7" w14:paraId="4A4AC185" w14:textId="77777777">
        <w:tc>
          <w:tcPr>
            <w:cnfStyle w:val="001000000000" w:firstRow="0" w:lastRow="0" w:firstColumn="1" w:lastColumn="0" w:oddVBand="0" w:evenVBand="0" w:oddHBand="0" w:evenHBand="0" w:firstRowFirstColumn="0" w:firstRowLastColumn="0" w:lastRowFirstColumn="0" w:lastRowLastColumn="0"/>
            <w:tcW w:w="2946" w:type="dxa"/>
          </w:tcPr>
          <w:p w14:paraId="24B9E856" w14:textId="77777777" w:rsidR="00732BC0" w:rsidRPr="001213F7" w:rsidRDefault="00732BC0">
            <w:r w:rsidRPr="001213F7">
              <w:rPr>
                <w:b/>
              </w:rPr>
              <w:t>Assets</w:t>
            </w:r>
          </w:p>
        </w:tc>
        <w:tc>
          <w:tcPr>
            <w:tcW w:w="794" w:type="dxa"/>
          </w:tcPr>
          <w:p w14:paraId="0B12FA85"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p>
        </w:tc>
        <w:tc>
          <w:tcPr>
            <w:tcW w:w="794" w:type="dxa"/>
          </w:tcPr>
          <w:p w14:paraId="72217A88"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p>
        </w:tc>
        <w:tc>
          <w:tcPr>
            <w:tcW w:w="794" w:type="dxa"/>
          </w:tcPr>
          <w:p w14:paraId="0966B8C8"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p>
        </w:tc>
        <w:tc>
          <w:tcPr>
            <w:tcW w:w="794" w:type="dxa"/>
          </w:tcPr>
          <w:p w14:paraId="44CB906C"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p>
        </w:tc>
        <w:tc>
          <w:tcPr>
            <w:tcW w:w="794" w:type="dxa"/>
          </w:tcPr>
          <w:p w14:paraId="507048D0"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p>
        </w:tc>
        <w:tc>
          <w:tcPr>
            <w:tcW w:w="794" w:type="dxa"/>
          </w:tcPr>
          <w:p w14:paraId="7EA63BA2"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p>
        </w:tc>
      </w:tr>
      <w:tr w:rsidR="00732BC0" w:rsidRPr="001213F7" w14:paraId="3D066A5F" w14:textId="77777777">
        <w:tc>
          <w:tcPr>
            <w:cnfStyle w:val="001000000000" w:firstRow="0" w:lastRow="0" w:firstColumn="1" w:lastColumn="0" w:oddVBand="0" w:evenVBand="0" w:oddHBand="0" w:evenHBand="0" w:firstRowFirstColumn="0" w:firstRowLastColumn="0" w:lastRowFirstColumn="0" w:lastRowLastColumn="0"/>
            <w:tcW w:w="2946" w:type="dxa"/>
          </w:tcPr>
          <w:p w14:paraId="30EED4F9" w14:textId="77777777" w:rsidR="00732BC0" w:rsidRPr="001213F7" w:rsidRDefault="00732BC0">
            <w:r w:rsidRPr="001213F7">
              <w:t>Total financial assets</w:t>
            </w:r>
            <w:r w:rsidRPr="001213F7">
              <w:rPr>
                <w:vertAlign w:val="superscript"/>
              </w:rPr>
              <w:t xml:space="preserve"> (a)</w:t>
            </w:r>
          </w:p>
        </w:tc>
        <w:tc>
          <w:tcPr>
            <w:tcW w:w="794" w:type="dxa"/>
          </w:tcPr>
          <w:p w14:paraId="556D1D23"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252.2</w:t>
            </w:r>
          </w:p>
        </w:tc>
        <w:tc>
          <w:tcPr>
            <w:tcW w:w="794" w:type="dxa"/>
          </w:tcPr>
          <w:p w14:paraId="5603A8E5"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276.7</w:t>
            </w:r>
          </w:p>
        </w:tc>
        <w:tc>
          <w:tcPr>
            <w:tcW w:w="794" w:type="dxa"/>
          </w:tcPr>
          <w:p w14:paraId="65734995"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302.8</w:t>
            </w:r>
          </w:p>
        </w:tc>
        <w:tc>
          <w:tcPr>
            <w:tcW w:w="794" w:type="dxa"/>
          </w:tcPr>
          <w:p w14:paraId="12DAC4A7"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321.8</w:t>
            </w:r>
          </w:p>
        </w:tc>
        <w:tc>
          <w:tcPr>
            <w:tcW w:w="794" w:type="dxa"/>
          </w:tcPr>
          <w:p w14:paraId="6DB7073E"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340.5</w:t>
            </w:r>
          </w:p>
        </w:tc>
        <w:tc>
          <w:tcPr>
            <w:tcW w:w="794" w:type="dxa"/>
          </w:tcPr>
          <w:p w14:paraId="219DC7CB"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360.3</w:t>
            </w:r>
          </w:p>
        </w:tc>
      </w:tr>
      <w:tr w:rsidR="00732BC0" w:rsidRPr="001213F7" w14:paraId="3E3E75DE" w14:textId="77777777">
        <w:tc>
          <w:tcPr>
            <w:cnfStyle w:val="001000000000" w:firstRow="0" w:lastRow="0" w:firstColumn="1" w:lastColumn="0" w:oddVBand="0" w:evenVBand="0" w:oddHBand="0" w:evenHBand="0" w:firstRowFirstColumn="0" w:firstRowLastColumn="0" w:lastRowFirstColumn="0" w:lastRowLastColumn="0"/>
            <w:tcW w:w="2946" w:type="dxa"/>
            <w:tcBorders>
              <w:bottom w:val="single" w:sz="6" w:space="0" w:color="auto"/>
            </w:tcBorders>
          </w:tcPr>
          <w:p w14:paraId="3A2B9E1F" w14:textId="77777777" w:rsidR="00732BC0" w:rsidRPr="001213F7" w:rsidRDefault="00732BC0">
            <w:r w:rsidRPr="001213F7">
              <w:t>Non</w:t>
            </w:r>
            <w:r w:rsidRPr="001213F7">
              <w:noBreakHyphen/>
              <w:t>financial assets</w:t>
            </w:r>
            <w:r w:rsidRPr="001213F7">
              <w:rPr>
                <w:vertAlign w:val="superscript"/>
              </w:rPr>
              <w:t xml:space="preserve"> (b)</w:t>
            </w:r>
          </w:p>
        </w:tc>
        <w:tc>
          <w:tcPr>
            <w:tcW w:w="794" w:type="dxa"/>
            <w:tcBorders>
              <w:bottom w:val="single" w:sz="6" w:space="0" w:color="auto"/>
            </w:tcBorders>
          </w:tcPr>
          <w:p w14:paraId="365DDC69"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3.3</w:t>
            </w:r>
          </w:p>
        </w:tc>
        <w:tc>
          <w:tcPr>
            <w:tcW w:w="794" w:type="dxa"/>
            <w:tcBorders>
              <w:bottom w:val="single" w:sz="6" w:space="0" w:color="auto"/>
            </w:tcBorders>
          </w:tcPr>
          <w:p w14:paraId="49DD771E"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2.4</w:t>
            </w:r>
          </w:p>
        </w:tc>
        <w:tc>
          <w:tcPr>
            <w:tcW w:w="794" w:type="dxa"/>
            <w:tcBorders>
              <w:bottom w:val="single" w:sz="6" w:space="0" w:color="auto"/>
            </w:tcBorders>
          </w:tcPr>
          <w:p w14:paraId="502FA4F8"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2.2</w:t>
            </w:r>
          </w:p>
        </w:tc>
        <w:tc>
          <w:tcPr>
            <w:tcW w:w="794" w:type="dxa"/>
            <w:tcBorders>
              <w:bottom w:val="single" w:sz="6" w:space="0" w:color="auto"/>
            </w:tcBorders>
          </w:tcPr>
          <w:p w14:paraId="4ED8AD96"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2.0</w:t>
            </w:r>
          </w:p>
        </w:tc>
        <w:tc>
          <w:tcPr>
            <w:tcW w:w="794" w:type="dxa"/>
            <w:tcBorders>
              <w:bottom w:val="single" w:sz="6" w:space="0" w:color="auto"/>
            </w:tcBorders>
          </w:tcPr>
          <w:p w14:paraId="6988381E"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1.9</w:t>
            </w:r>
          </w:p>
        </w:tc>
        <w:tc>
          <w:tcPr>
            <w:tcW w:w="794" w:type="dxa"/>
            <w:tcBorders>
              <w:bottom w:val="single" w:sz="6" w:space="0" w:color="auto"/>
            </w:tcBorders>
          </w:tcPr>
          <w:p w14:paraId="29DDD4EE"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1.9</w:t>
            </w:r>
          </w:p>
        </w:tc>
      </w:tr>
      <w:tr w:rsidR="00732BC0" w:rsidRPr="001213F7" w14:paraId="6B45E590" w14:textId="77777777">
        <w:tc>
          <w:tcPr>
            <w:cnfStyle w:val="001000000000" w:firstRow="0" w:lastRow="0" w:firstColumn="1" w:lastColumn="0" w:oddVBand="0" w:evenVBand="0" w:oddHBand="0" w:evenHBand="0" w:firstRowFirstColumn="0" w:firstRowLastColumn="0" w:lastRowFirstColumn="0" w:lastRowLastColumn="0"/>
            <w:tcW w:w="2946" w:type="dxa"/>
            <w:tcBorders>
              <w:top w:val="single" w:sz="6" w:space="0" w:color="auto"/>
            </w:tcBorders>
          </w:tcPr>
          <w:p w14:paraId="7D3CA375" w14:textId="77777777" w:rsidR="00732BC0" w:rsidRPr="001213F7" w:rsidRDefault="00732BC0">
            <w:r w:rsidRPr="001213F7">
              <w:rPr>
                <w:b/>
              </w:rPr>
              <w:t>Total assets</w:t>
            </w:r>
          </w:p>
        </w:tc>
        <w:tc>
          <w:tcPr>
            <w:tcW w:w="794" w:type="dxa"/>
            <w:tcBorders>
              <w:top w:val="single" w:sz="6" w:space="0" w:color="auto"/>
            </w:tcBorders>
          </w:tcPr>
          <w:p w14:paraId="1A57A93B"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rPr>
                <w:b/>
              </w:rPr>
              <w:t>255.5</w:t>
            </w:r>
          </w:p>
        </w:tc>
        <w:tc>
          <w:tcPr>
            <w:tcW w:w="794" w:type="dxa"/>
            <w:tcBorders>
              <w:top w:val="single" w:sz="6" w:space="0" w:color="auto"/>
            </w:tcBorders>
          </w:tcPr>
          <w:p w14:paraId="3003FB4D"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rPr>
                <w:b/>
              </w:rPr>
              <w:t>279.2</w:t>
            </w:r>
          </w:p>
        </w:tc>
        <w:tc>
          <w:tcPr>
            <w:tcW w:w="794" w:type="dxa"/>
            <w:tcBorders>
              <w:top w:val="single" w:sz="6" w:space="0" w:color="auto"/>
            </w:tcBorders>
          </w:tcPr>
          <w:p w14:paraId="23CC7BA9"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rPr>
                <w:b/>
              </w:rPr>
              <w:t>304.9</w:t>
            </w:r>
          </w:p>
        </w:tc>
        <w:tc>
          <w:tcPr>
            <w:tcW w:w="794" w:type="dxa"/>
            <w:tcBorders>
              <w:top w:val="single" w:sz="6" w:space="0" w:color="auto"/>
            </w:tcBorders>
          </w:tcPr>
          <w:p w14:paraId="76B0CF31"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rPr>
                <w:b/>
              </w:rPr>
              <w:t>323.8</w:t>
            </w:r>
          </w:p>
        </w:tc>
        <w:tc>
          <w:tcPr>
            <w:tcW w:w="794" w:type="dxa"/>
            <w:tcBorders>
              <w:top w:val="single" w:sz="6" w:space="0" w:color="auto"/>
            </w:tcBorders>
          </w:tcPr>
          <w:p w14:paraId="780991F8"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rPr>
                <w:b/>
              </w:rPr>
              <w:t>342.4</w:t>
            </w:r>
          </w:p>
        </w:tc>
        <w:tc>
          <w:tcPr>
            <w:tcW w:w="794" w:type="dxa"/>
            <w:tcBorders>
              <w:top w:val="single" w:sz="6" w:space="0" w:color="auto"/>
            </w:tcBorders>
          </w:tcPr>
          <w:p w14:paraId="2231CB03"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rPr>
                <w:b/>
              </w:rPr>
              <w:t>362.2</w:t>
            </w:r>
          </w:p>
        </w:tc>
      </w:tr>
      <w:tr w:rsidR="00732BC0" w:rsidRPr="001213F7" w14:paraId="7BAB3FD4" w14:textId="77777777">
        <w:tc>
          <w:tcPr>
            <w:cnfStyle w:val="001000000000" w:firstRow="0" w:lastRow="0" w:firstColumn="1" w:lastColumn="0" w:oddVBand="0" w:evenVBand="0" w:oddHBand="0" w:evenHBand="0" w:firstRowFirstColumn="0" w:firstRowLastColumn="0" w:lastRowFirstColumn="0" w:lastRowLastColumn="0"/>
            <w:tcW w:w="2946" w:type="dxa"/>
          </w:tcPr>
          <w:p w14:paraId="7384BD58" w14:textId="77777777" w:rsidR="00732BC0" w:rsidRPr="001213F7" w:rsidRDefault="00732BC0">
            <w:r w:rsidRPr="001213F7">
              <w:rPr>
                <w:b/>
              </w:rPr>
              <w:t>Liabilities</w:t>
            </w:r>
          </w:p>
        </w:tc>
        <w:tc>
          <w:tcPr>
            <w:tcW w:w="794" w:type="dxa"/>
          </w:tcPr>
          <w:p w14:paraId="4660D8DF"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p>
        </w:tc>
        <w:tc>
          <w:tcPr>
            <w:tcW w:w="794" w:type="dxa"/>
          </w:tcPr>
          <w:p w14:paraId="0C6CBF40"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p>
        </w:tc>
        <w:tc>
          <w:tcPr>
            <w:tcW w:w="794" w:type="dxa"/>
          </w:tcPr>
          <w:p w14:paraId="42F1C4BB"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p>
        </w:tc>
        <w:tc>
          <w:tcPr>
            <w:tcW w:w="794" w:type="dxa"/>
          </w:tcPr>
          <w:p w14:paraId="5015028A"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p>
        </w:tc>
        <w:tc>
          <w:tcPr>
            <w:tcW w:w="794" w:type="dxa"/>
          </w:tcPr>
          <w:p w14:paraId="510F4259"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p>
        </w:tc>
        <w:tc>
          <w:tcPr>
            <w:tcW w:w="794" w:type="dxa"/>
          </w:tcPr>
          <w:p w14:paraId="51711E7B"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p>
        </w:tc>
      </w:tr>
      <w:tr w:rsidR="00732BC0" w:rsidRPr="001213F7" w14:paraId="49DE34CC" w14:textId="77777777">
        <w:tc>
          <w:tcPr>
            <w:cnfStyle w:val="001000000000" w:firstRow="0" w:lastRow="0" w:firstColumn="1" w:lastColumn="0" w:oddVBand="0" w:evenVBand="0" w:oddHBand="0" w:evenHBand="0" w:firstRowFirstColumn="0" w:firstRowLastColumn="0" w:lastRowFirstColumn="0" w:lastRowLastColumn="0"/>
            <w:tcW w:w="2946" w:type="dxa"/>
          </w:tcPr>
          <w:p w14:paraId="73BC9E79" w14:textId="77777777" w:rsidR="00732BC0" w:rsidRPr="001213F7" w:rsidRDefault="00732BC0">
            <w:r w:rsidRPr="001213F7">
              <w:t>Borrowings</w:t>
            </w:r>
          </w:p>
        </w:tc>
        <w:tc>
          <w:tcPr>
            <w:tcW w:w="794" w:type="dxa"/>
          </w:tcPr>
          <w:p w14:paraId="26188EE8"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188.2</w:t>
            </w:r>
          </w:p>
        </w:tc>
        <w:tc>
          <w:tcPr>
            <w:tcW w:w="794" w:type="dxa"/>
          </w:tcPr>
          <w:p w14:paraId="172F1301"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202.3</w:t>
            </w:r>
          </w:p>
        </w:tc>
        <w:tc>
          <w:tcPr>
            <w:tcW w:w="794" w:type="dxa"/>
          </w:tcPr>
          <w:p w14:paraId="03F8D419"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224.6</w:t>
            </w:r>
          </w:p>
        </w:tc>
        <w:tc>
          <w:tcPr>
            <w:tcW w:w="794" w:type="dxa"/>
          </w:tcPr>
          <w:p w14:paraId="7BED888A"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238.7</w:t>
            </w:r>
          </w:p>
        </w:tc>
        <w:tc>
          <w:tcPr>
            <w:tcW w:w="794" w:type="dxa"/>
          </w:tcPr>
          <w:p w14:paraId="629BFE95"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253.5</w:t>
            </w:r>
          </w:p>
        </w:tc>
        <w:tc>
          <w:tcPr>
            <w:tcW w:w="794" w:type="dxa"/>
          </w:tcPr>
          <w:p w14:paraId="15827C10"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268.3</w:t>
            </w:r>
          </w:p>
        </w:tc>
      </w:tr>
      <w:tr w:rsidR="00732BC0" w:rsidRPr="001213F7" w14:paraId="720E781C" w14:textId="77777777">
        <w:tc>
          <w:tcPr>
            <w:cnfStyle w:val="001000000000" w:firstRow="0" w:lastRow="0" w:firstColumn="1" w:lastColumn="0" w:oddVBand="0" w:evenVBand="0" w:oddHBand="0" w:evenHBand="0" w:firstRowFirstColumn="0" w:firstRowLastColumn="0" w:lastRowFirstColumn="0" w:lastRowLastColumn="0"/>
            <w:tcW w:w="2946" w:type="dxa"/>
          </w:tcPr>
          <w:p w14:paraId="6C9C5EC8" w14:textId="77777777" w:rsidR="00732BC0" w:rsidRPr="001213F7" w:rsidRDefault="00732BC0">
            <w:r w:rsidRPr="001213F7">
              <w:t>Other provisions</w:t>
            </w:r>
            <w:r w:rsidRPr="001213F7">
              <w:rPr>
                <w:vertAlign w:val="superscript"/>
              </w:rPr>
              <w:t xml:space="preserve"> (c)</w:t>
            </w:r>
          </w:p>
        </w:tc>
        <w:tc>
          <w:tcPr>
            <w:tcW w:w="794" w:type="dxa"/>
          </w:tcPr>
          <w:p w14:paraId="45ED1558"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54.0</w:t>
            </w:r>
          </w:p>
        </w:tc>
        <w:tc>
          <w:tcPr>
            <w:tcW w:w="794" w:type="dxa"/>
          </w:tcPr>
          <w:p w14:paraId="3358A005"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54.8</w:t>
            </w:r>
          </w:p>
        </w:tc>
        <w:tc>
          <w:tcPr>
            <w:tcW w:w="794" w:type="dxa"/>
          </w:tcPr>
          <w:p w14:paraId="69FFAB7E"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57.6</w:t>
            </w:r>
          </w:p>
        </w:tc>
        <w:tc>
          <w:tcPr>
            <w:tcW w:w="794" w:type="dxa"/>
          </w:tcPr>
          <w:p w14:paraId="1062EC26"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61.8</w:t>
            </w:r>
          </w:p>
        </w:tc>
        <w:tc>
          <w:tcPr>
            <w:tcW w:w="794" w:type="dxa"/>
          </w:tcPr>
          <w:p w14:paraId="3E0A2C72"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66.2</w:t>
            </w:r>
          </w:p>
        </w:tc>
        <w:tc>
          <w:tcPr>
            <w:tcW w:w="794" w:type="dxa"/>
          </w:tcPr>
          <w:p w14:paraId="2757E58F"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70.9</w:t>
            </w:r>
          </w:p>
        </w:tc>
      </w:tr>
      <w:tr w:rsidR="00732BC0" w:rsidRPr="001213F7" w14:paraId="731CB761" w14:textId="77777777">
        <w:tc>
          <w:tcPr>
            <w:cnfStyle w:val="001000000000" w:firstRow="0" w:lastRow="0" w:firstColumn="1" w:lastColumn="0" w:oddVBand="0" w:evenVBand="0" w:oddHBand="0" w:evenHBand="0" w:firstRowFirstColumn="0" w:firstRowLastColumn="0" w:lastRowFirstColumn="0" w:lastRowLastColumn="0"/>
            <w:tcW w:w="2946" w:type="dxa"/>
            <w:tcBorders>
              <w:bottom w:val="single" w:sz="6" w:space="0" w:color="auto"/>
            </w:tcBorders>
          </w:tcPr>
          <w:p w14:paraId="3022D038" w14:textId="77777777" w:rsidR="00732BC0" w:rsidRPr="001213F7" w:rsidRDefault="00732BC0">
            <w:r w:rsidRPr="001213F7">
              <w:t>Other liabilities</w:t>
            </w:r>
            <w:r w:rsidRPr="001213F7">
              <w:rPr>
                <w:vertAlign w:val="superscript"/>
              </w:rPr>
              <w:t xml:space="preserve"> (d)</w:t>
            </w:r>
          </w:p>
        </w:tc>
        <w:tc>
          <w:tcPr>
            <w:tcW w:w="794" w:type="dxa"/>
            <w:tcBorders>
              <w:bottom w:val="single" w:sz="6" w:space="0" w:color="auto"/>
            </w:tcBorders>
          </w:tcPr>
          <w:p w14:paraId="429ACC89"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4.0</w:t>
            </w:r>
          </w:p>
        </w:tc>
        <w:tc>
          <w:tcPr>
            <w:tcW w:w="794" w:type="dxa"/>
            <w:tcBorders>
              <w:bottom w:val="single" w:sz="6" w:space="0" w:color="auto"/>
            </w:tcBorders>
          </w:tcPr>
          <w:p w14:paraId="47A57597"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3.4</w:t>
            </w:r>
          </w:p>
        </w:tc>
        <w:tc>
          <w:tcPr>
            <w:tcW w:w="794" w:type="dxa"/>
            <w:tcBorders>
              <w:bottom w:val="single" w:sz="6" w:space="0" w:color="auto"/>
            </w:tcBorders>
          </w:tcPr>
          <w:p w14:paraId="319D092F"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3.6</w:t>
            </w:r>
          </w:p>
        </w:tc>
        <w:tc>
          <w:tcPr>
            <w:tcW w:w="794" w:type="dxa"/>
            <w:tcBorders>
              <w:bottom w:val="single" w:sz="6" w:space="0" w:color="auto"/>
            </w:tcBorders>
          </w:tcPr>
          <w:p w14:paraId="7076160E"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3.6</w:t>
            </w:r>
          </w:p>
        </w:tc>
        <w:tc>
          <w:tcPr>
            <w:tcW w:w="794" w:type="dxa"/>
            <w:tcBorders>
              <w:bottom w:val="single" w:sz="6" w:space="0" w:color="auto"/>
            </w:tcBorders>
          </w:tcPr>
          <w:p w14:paraId="7D3909F3"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3.5</w:t>
            </w:r>
          </w:p>
        </w:tc>
        <w:tc>
          <w:tcPr>
            <w:tcW w:w="794" w:type="dxa"/>
            <w:tcBorders>
              <w:bottom w:val="single" w:sz="6" w:space="0" w:color="auto"/>
            </w:tcBorders>
          </w:tcPr>
          <w:p w14:paraId="103F9AA7"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3.5</w:t>
            </w:r>
          </w:p>
        </w:tc>
      </w:tr>
      <w:tr w:rsidR="00732BC0" w:rsidRPr="001213F7" w14:paraId="1E9DE55F" w14:textId="77777777">
        <w:tc>
          <w:tcPr>
            <w:cnfStyle w:val="001000000000" w:firstRow="0" w:lastRow="0" w:firstColumn="1" w:lastColumn="0" w:oddVBand="0" w:evenVBand="0" w:oddHBand="0" w:evenHBand="0" w:firstRowFirstColumn="0" w:firstRowLastColumn="0" w:lastRowFirstColumn="0" w:lastRowLastColumn="0"/>
            <w:tcW w:w="2946" w:type="dxa"/>
            <w:tcBorders>
              <w:top w:val="single" w:sz="6" w:space="0" w:color="auto"/>
              <w:bottom w:val="single" w:sz="6" w:space="0" w:color="auto"/>
            </w:tcBorders>
          </w:tcPr>
          <w:p w14:paraId="2FB405B7" w14:textId="77777777" w:rsidR="00732BC0" w:rsidRPr="001213F7" w:rsidRDefault="00732BC0">
            <w:r w:rsidRPr="001213F7">
              <w:rPr>
                <w:b/>
              </w:rPr>
              <w:t>Total liabilities</w:t>
            </w:r>
          </w:p>
        </w:tc>
        <w:tc>
          <w:tcPr>
            <w:tcW w:w="794" w:type="dxa"/>
            <w:tcBorders>
              <w:top w:val="single" w:sz="6" w:space="0" w:color="auto"/>
              <w:bottom w:val="single" w:sz="6" w:space="0" w:color="auto"/>
            </w:tcBorders>
          </w:tcPr>
          <w:p w14:paraId="284C1287"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rPr>
                <w:b/>
              </w:rPr>
              <w:t>246.2</w:t>
            </w:r>
          </w:p>
        </w:tc>
        <w:tc>
          <w:tcPr>
            <w:tcW w:w="794" w:type="dxa"/>
            <w:tcBorders>
              <w:top w:val="single" w:sz="6" w:space="0" w:color="auto"/>
              <w:bottom w:val="single" w:sz="6" w:space="0" w:color="auto"/>
            </w:tcBorders>
          </w:tcPr>
          <w:p w14:paraId="096F7EBE"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rPr>
                <w:b/>
              </w:rPr>
              <w:t>260.5</w:t>
            </w:r>
          </w:p>
        </w:tc>
        <w:tc>
          <w:tcPr>
            <w:tcW w:w="794" w:type="dxa"/>
            <w:tcBorders>
              <w:top w:val="single" w:sz="6" w:space="0" w:color="auto"/>
              <w:bottom w:val="single" w:sz="6" w:space="0" w:color="auto"/>
            </w:tcBorders>
          </w:tcPr>
          <w:p w14:paraId="155DED42"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rPr>
                <w:b/>
              </w:rPr>
              <w:t>285.8</w:t>
            </w:r>
          </w:p>
        </w:tc>
        <w:tc>
          <w:tcPr>
            <w:tcW w:w="794" w:type="dxa"/>
            <w:tcBorders>
              <w:top w:val="single" w:sz="6" w:space="0" w:color="auto"/>
              <w:bottom w:val="single" w:sz="6" w:space="0" w:color="auto"/>
            </w:tcBorders>
          </w:tcPr>
          <w:p w14:paraId="4F63B339"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rPr>
                <w:b/>
              </w:rPr>
              <w:t>304.0</w:t>
            </w:r>
          </w:p>
        </w:tc>
        <w:tc>
          <w:tcPr>
            <w:tcW w:w="794" w:type="dxa"/>
            <w:tcBorders>
              <w:top w:val="single" w:sz="6" w:space="0" w:color="auto"/>
              <w:bottom w:val="single" w:sz="6" w:space="0" w:color="auto"/>
            </w:tcBorders>
          </w:tcPr>
          <w:p w14:paraId="3EDF7F07"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rPr>
                <w:b/>
              </w:rPr>
              <w:t>323.3</w:t>
            </w:r>
          </w:p>
        </w:tc>
        <w:tc>
          <w:tcPr>
            <w:tcW w:w="794" w:type="dxa"/>
            <w:tcBorders>
              <w:top w:val="single" w:sz="6" w:space="0" w:color="auto"/>
              <w:bottom w:val="single" w:sz="6" w:space="0" w:color="auto"/>
            </w:tcBorders>
          </w:tcPr>
          <w:p w14:paraId="1F1909E9"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rPr>
                <w:b/>
              </w:rPr>
              <w:t>342.7</w:t>
            </w:r>
          </w:p>
        </w:tc>
      </w:tr>
      <w:tr w:rsidR="00732BC0" w:rsidRPr="001213F7" w14:paraId="05E45F99" w14:textId="77777777">
        <w:tc>
          <w:tcPr>
            <w:cnfStyle w:val="001000000000" w:firstRow="0" w:lastRow="0" w:firstColumn="1" w:lastColumn="0" w:oddVBand="0" w:evenVBand="0" w:oddHBand="0" w:evenHBand="0" w:firstRowFirstColumn="0" w:firstRowLastColumn="0" w:lastRowFirstColumn="0" w:lastRowLastColumn="0"/>
            <w:tcW w:w="2946" w:type="dxa"/>
            <w:tcBorders>
              <w:top w:val="single" w:sz="6" w:space="0" w:color="auto"/>
              <w:bottom w:val="single" w:sz="12" w:space="0" w:color="auto"/>
            </w:tcBorders>
          </w:tcPr>
          <w:p w14:paraId="2A752A0E" w14:textId="77777777" w:rsidR="00732BC0" w:rsidRPr="001213F7" w:rsidRDefault="00732BC0">
            <w:r w:rsidRPr="001213F7">
              <w:rPr>
                <w:b/>
              </w:rPr>
              <w:t>Net assets</w:t>
            </w:r>
            <w:r w:rsidRPr="001213F7">
              <w:rPr>
                <w:b/>
                <w:vertAlign w:val="superscript"/>
              </w:rPr>
              <w:t xml:space="preserve"> (e)</w:t>
            </w:r>
          </w:p>
        </w:tc>
        <w:tc>
          <w:tcPr>
            <w:tcW w:w="794" w:type="dxa"/>
            <w:tcBorders>
              <w:top w:val="single" w:sz="6" w:space="0" w:color="auto"/>
              <w:bottom w:val="single" w:sz="12" w:space="0" w:color="auto"/>
            </w:tcBorders>
          </w:tcPr>
          <w:p w14:paraId="6BDB2BEE"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rPr>
                <w:b/>
              </w:rPr>
              <w:t>9.4</w:t>
            </w:r>
          </w:p>
        </w:tc>
        <w:tc>
          <w:tcPr>
            <w:tcW w:w="794" w:type="dxa"/>
            <w:tcBorders>
              <w:top w:val="single" w:sz="6" w:space="0" w:color="auto"/>
              <w:bottom w:val="single" w:sz="12" w:space="0" w:color="auto"/>
            </w:tcBorders>
          </w:tcPr>
          <w:p w14:paraId="5231494A"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rPr>
                <w:b/>
              </w:rPr>
              <w:t>18.6</w:t>
            </w:r>
          </w:p>
        </w:tc>
        <w:tc>
          <w:tcPr>
            <w:tcW w:w="794" w:type="dxa"/>
            <w:tcBorders>
              <w:top w:val="single" w:sz="6" w:space="0" w:color="auto"/>
              <w:bottom w:val="single" w:sz="12" w:space="0" w:color="auto"/>
            </w:tcBorders>
          </w:tcPr>
          <w:p w14:paraId="47D5713A"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rPr>
                <w:b/>
              </w:rPr>
              <w:t>19.1</w:t>
            </w:r>
          </w:p>
        </w:tc>
        <w:tc>
          <w:tcPr>
            <w:tcW w:w="794" w:type="dxa"/>
            <w:tcBorders>
              <w:top w:val="single" w:sz="6" w:space="0" w:color="auto"/>
              <w:bottom w:val="single" w:sz="12" w:space="0" w:color="auto"/>
            </w:tcBorders>
          </w:tcPr>
          <w:p w14:paraId="626593A3"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rPr>
                <w:b/>
              </w:rPr>
              <w:t>19.7</w:t>
            </w:r>
          </w:p>
        </w:tc>
        <w:tc>
          <w:tcPr>
            <w:tcW w:w="794" w:type="dxa"/>
            <w:tcBorders>
              <w:top w:val="single" w:sz="6" w:space="0" w:color="auto"/>
              <w:bottom w:val="single" w:sz="12" w:space="0" w:color="auto"/>
            </w:tcBorders>
          </w:tcPr>
          <w:p w14:paraId="6DDDBEAF"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rPr>
                <w:b/>
              </w:rPr>
              <w:t>19.2</w:t>
            </w:r>
          </w:p>
        </w:tc>
        <w:tc>
          <w:tcPr>
            <w:tcW w:w="794" w:type="dxa"/>
            <w:tcBorders>
              <w:top w:val="single" w:sz="6" w:space="0" w:color="auto"/>
              <w:bottom w:val="single" w:sz="12" w:space="0" w:color="auto"/>
            </w:tcBorders>
          </w:tcPr>
          <w:p w14:paraId="6EE9440B"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rPr>
                <w:b/>
              </w:rPr>
              <w:t>19.4</w:t>
            </w:r>
          </w:p>
        </w:tc>
      </w:tr>
    </w:tbl>
    <w:p w14:paraId="25341EF7" w14:textId="77777777" w:rsidR="00732BC0" w:rsidRPr="001213F7" w:rsidRDefault="00732BC0">
      <w:pPr>
        <w:pStyle w:val="Note"/>
        <w:ind w:left="0" w:firstLine="0"/>
      </w:pPr>
      <w:r w:rsidRPr="001213F7">
        <w:t>Notes:</w:t>
      </w:r>
    </w:p>
    <w:p w14:paraId="5B94ADEA" w14:textId="77777777" w:rsidR="00732BC0" w:rsidRPr="001213F7" w:rsidRDefault="00732BC0">
      <w:pPr>
        <w:pStyle w:val="Note"/>
      </w:pPr>
      <w:r w:rsidRPr="001213F7">
        <w:t>(a)</w:t>
      </w:r>
      <w:r w:rsidRPr="001213F7">
        <w:tab/>
        <w:t>Financial assets include cash and deposits, advances paid, investments, loans and placements, receivables, and investments accounted for using the equity method.</w:t>
      </w:r>
    </w:p>
    <w:p w14:paraId="71E0CF15" w14:textId="77777777" w:rsidR="00732BC0" w:rsidRPr="001213F7" w:rsidRDefault="00732BC0">
      <w:pPr>
        <w:pStyle w:val="Note"/>
      </w:pPr>
      <w:r w:rsidRPr="001213F7">
        <w:t>(b)</w:t>
      </w:r>
      <w:r w:rsidRPr="001213F7">
        <w:tab/>
        <w:t>Land, buildings, infrastructure, plant and equipment, and other non</w:t>
      </w:r>
      <w:r w:rsidRPr="001213F7">
        <w:noBreakHyphen/>
        <w:t>financial assets.</w:t>
      </w:r>
    </w:p>
    <w:p w14:paraId="58755A1B" w14:textId="77777777" w:rsidR="00732BC0" w:rsidRPr="001213F7" w:rsidRDefault="00732BC0">
      <w:pPr>
        <w:pStyle w:val="Note"/>
      </w:pPr>
      <w:r w:rsidRPr="001213F7">
        <w:t>(c)</w:t>
      </w:r>
      <w:r w:rsidRPr="001213F7">
        <w:tab/>
        <w:t>Other provisions includes insurance contract liabilities.</w:t>
      </w:r>
    </w:p>
    <w:p w14:paraId="290E92DB" w14:textId="77777777" w:rsidR="00732BC0" w:rsidRPr="001213F7" w:rsidRDefault="00732BC0">
      <w:pPr>
        <w:pStyle w:val="Note"/>
      </w:pPr>
      <w:r w:rsidRPr="001213F7">
        <w:t>(d)</w:t>
      </w:r>
      <w:r w:rsidRPr="001213F7">
        <w:tab/>
        <w:t>Other liabilities consist of payables, employee benefits, deposits held and advances received, and unearned income.</w:t>
      </w:r>
    </w:p>
    <w:p w14:paraId="2F249541" w14:textId="77777777" w:rsidR="00732BC0" w:rsidRPr="001213F7" w:rsidRDefault="00732BC0">
      <w:pPr>
        <w:pStyle w:val="Note"/>
      </w:pPr>
      <w:r w:rsidRPr="001213F7">
        <w:t>(e)</w:t>
      </w:r>
      <w:r w:rsidRPr="001213F7">
        <w:tab/>
        <w:t>TCV’s external loan liabilities are at mark-to-market value, while the corresponding assets, that is lending to the NFPS, are at historical value. The asset and liability estimates incorporate the impact of the transition loan under the commercial and industrial property tax reform being administered by TCV as a financial instrument.</w:t>
      </w:r>
    </w:p>
    <w:p w14:paraId="297EB336" w14:textId="77777777" w:rsidR="00732BC0" w:rsidRPr="001213F7" w:rsidRDefault="00732BC0">
      <w:pPr>
        <w:pStyle w:val="Note"/>
      </w:pPr>
    </w:p>
    <w:p w14:paraId="7CADD4DD" w14:textId="77777777" w:rsidR="00732BC0" w:rsidRPr="001213F7" w:rsidRDefault="00732BC0">
      <w:pPr>
        <w:keepNext/>
      </w:pPr>
      <w:r w:rsidRPr="001213F7">
        <w:t>The PFC sector is projected to report a net asset position of $18.6 billion at 30 June 2026, with this expected to increase to $19.4 billion at 30 June 2030. This</w:t>
      </w:r>
      <w:r w:rsidRPr="001213F7" w:rsidDel="003C2840">
        <w:t xml:space="preserve"> </w:t>
      </w:r>
      <w:r w:rsidRPr="001213F7">
        <w:t xml:space="preserve">increase is primarily driven by increases in TCV’s loans receivable from the general government and PNFC sectors and increases in cash, partly offset by increases in TCV’s borrowings and the outstanding claims liabilities of the State’s insurance agencies. </w:t>
      </w:r>
    </w:p>
    <w:p w14:paraId="33CC0F9B" w14:textId="77777777" w:rsidR="00732BC0" w:rsidRPr="001213F7" w:rsidRDefault="00732BC0">
      <w:r w:rsidRPr="001213F7">
        <w:t>The reported net result and net asset position of the PFC sector are</w:t>
      </w:r>
      <w:r w:rsidRPr="001213F7" w:rsidDel="0033048B">
        <w:t xml:space="preserve"> </w:t>
      </w:r>
      <w:r w:rsidRPr="001213F7">
        <w:t xml:space="preserve">affected by the accounting convention adopted for TCV whereby its fixed interest rate loans to government clients are measured at book value, while its borrowings are reported at market value. This approach enables TCV’s loans to be consolidated with the borrowings of the general government and the PNFC sectors but, for the PFC sector in isolation, creates a mismatch between the value of TCV’s assets (which are at book value) and its liabilities (which are at market value). This difference, which is estimated to be around $12.0 billion at 31 March 2026, is eliminated when TCV’s loans to government clients are consolidated in the whole of State accounts. In TCV’s own accounts, both assets and liabilities are reported at market value. </w:t>
      </w:r>
    </w:p>
    <w:p w14:paraId="367F87BF" w14:textId="77777777" w:rsidR="00732BC0" w:rsidRPr="001213F7" w:rsidRDefault="00732BC0">
      <w:r w:rsidRPr="001213F7">
        <w:t>The PFC sector’s net asset position is also significantly affected by changes in Commonwealth Government bond yields which, in accordance with Australian accounting standards, underlie the discount rate used to value the State’s insurance agencies’ outstanding claims liabilities.</w:t>
      </w:r>
    </w:p>
    <w:p w14:paraId="55878D71" w14:textId="77777777" w:rsidR="00732BC0" w:rsidRPr="001213F7" w:rsidRDefault="00732BC0">
      <w:pPr>
        <w:pStyle w:val="Heading1"/>
        <w:pageBreakBefore/>
      </w:pPr>
      <w:bookmarkStart w:id="67" w:name="_Toc197955077"/>
      <w:bookmarkStart w:id="68" w:name="_Toc228545309"/>
      <w:r w:rsidRPr="001213F7">
        <w:lastRenderedPageBreak/>
        <w:t>State of Victoria</w:t>
      </w:r>
      <w:bookmarkEnd w:id="67"/>
      <w:bookmarkEnd w:id="68"/>
      <w:r w:rsidRPr="001213F7">
        <w:t xml:space="preserve"> </w:t>
      </w:r>
    </w:p>
    <w:p w14:paraId="4C4A06D6" w14:textId="5A7EA682" w:rsidR="00732BC0" w:rsidRPr="001213F7" w:rsidRDefault="00732BC0">
      <w:r w:rsidRPr="001213F7">
        <w:t>Table 5.9 shows the operating results for the State. The net result from transactions is projected to improve from a deficit of $5.7 billion in 2026-27 to a deficit of $5.1 billion in</w:t>
      </w:r>
      <w:r w:rsidR="00F45DB7">
        <w:t> </w:t>
      </w:r>
      <w:r w:rsidRPr="001213F7">
        <w:t>2029-30. This</w:t>
      </w:r>
      <w:r w:rsidRPr="001213F7" w:rsidDel="00893C7D">
        <w:t xml:space="preserve"> </w:t>
      </w:r>
      <w:r w:rsidRPr="001213F7">
        <w:t xml:space="preserve">improvement is primarily attributable to the general government sector, as discussed in Chapter 4 </w:t>
      </w:r>
      <w:r w:rsidRPr="001213F7">
        <w:rPr>
          <w:i/>
        </w:rPr>
        <w:t>Budget position and outlook</w:t>
      </w:r>
      <w:r w:rsidRPr="001213F7">
        <w:t xml:space="preserve">. When other economic flows, which largely relate to projected capital gains, movements in deferred tax assets and the release of risk margins and claims handling expenses for the State’s insurers, are included, the State’s net result improves from a deficit of $3.5 billion in 2026-27 to a deficit of $2.0 billion in 2029-30. </w:t>
      </w:r>
    </w:p>
    <w:p w14:paraId="4EF510F7" w14:textId="77777777" w:rsidR="00732BC0" w:rsidRPr="001213F7" w:rsidRDefault="00732BC0">
      <w:pPr>
        <w:pStyle w:val="TableHeading"/>
      </w:pPr>
      <w:r w:rsidRPr="001213F7">
        <w:t>Table 5.9:</w:t>
      </w:r>
      <w:r w:rsidRPr="001213F7">
        <w:tab/>
        <w:t xml:space="preserve">Operating results – State of Victoria </w:t>
      </w:r>
      <w:r w:rsidRPr="001213F7">
        <w:rPr>
          <w:vertAlign w:val="superscript"/>
        </w:rPr>
        <w:t>(a)</w:t>
      </w:r>
      <w:r w:rsidRPr="001213F7">
        <w:tab/>
        <w:t>($ million)</w:t>
      </w:r>
    </w:p>
    <w:tbl>
      <w:tblPr>
        <w:tblStyle w:val="DTFTableNumeric"/>
        <w:tblW w:w="7710" w:type="dxa"/>
        <w:tblLayout w:type="fixed"/>
        <w:tblLook w:val="06A0" w:firstRow="1" w:lastRow="0" w:firstColumn="1" w:lastColumn="0" w:noHBand="1" w:noVBand="1"/>
        <w:tblDescription w:val="Type:DtfTable|Workbook:https://vicgov.sharepoint.com/sites/VG002735/BP2/Spreadsheets/Chapter%205%20-%20CRA_FAL/SRIMS_BP2_Chap5_PNFC_PFC_SoV.xlsx|Table:Summary_OS_SoV|TableGroup:Chapter 5"/>
      </w:tblPr>
      <w:tblGrid>
        <w:gridCol w:w="2946"/>
        <w:gridCol w:w="794"/>
        <w:gridCol w:w="794"/>
        <w:gridCol w:w="794"/>
        <w:gridCol w:w="794"/>
        <w:gridCol w:w="794"/>
        <w:gridCol w:w="794"/>
      </w:tblGrid>
      <w:tr w:rsidR="00732BC0" w:rsidRPr="001213F7" w14:paraId="61D75861"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946" w:type="dxa"/>
          </w:tcPr>
          <w:p w14:paraId="2A98A9AD" w14:textId="77777777" w:rsidR="00732BC0" w:rsidRPr="001213F7" w:rsidRDefault="00732BC0">
            <w:pPr>
              <w:keepNext/>
            </w:pPr>
          </w:p>
        </w:tc>
        <w:tc>
          <w:tcPr>
            <w:tcW w:w="794" w:type="dxa"/>
          </w:tcPr>
          <w:p w14:paraId="3DB21270" w14:textId="77777777" w:rsidR="00732BC0" w:rsidRPr="001213F7" w:rsidRDefault="00732BC0">
            <w:pPr>
              <w:keepNext/>
              <w:cnfStyle w:val="100000000000" w:firstRow="1" w:lastRow="0" w:firstColumn="0" w:lastColumn="0" w:oddVBand="0" w:evenVBand="0" w:oddHBand="0" w:evenHBand="0" w:firstRowFirstColumn="0" w:firstRowLastColumn="0" w:lastRowFirstColumn="0" w:lastRowLastColumn="0"/>
            </w:pPr>
            <w:r w:rsidRPr="001213F7">
              <w:t>2024</w:t>
            </w:r>
            <w:r w:rsidRPr="001213F7">
              <w:noBreakHyphen/>
              <w:t>25</w:t>
            </w:r>
          </w:p>
        </w:tc>
        <w:tc>
          <w:tcPr>
            <w:tcW w:w="794" w:type="dxa"/>
          </w:tcPr>
          <w:p w14:paraId="737A1C30" w14:textId="77777777" w:rsidR="00732BC0" w:rsidRPr="001213F7" w:rsidRDefault="00732BC0">
            <w:pPr>
              <w:keepNext/>
              <w:cnfStyle w:val="100000000000" w:firstRow="1" w:lastRow="0" w:firstColumn="0" w:lastColumn="0" w:oddVBand="0" w:evenVBand="0" w:oddHBand="0" w:evenHBand="0" w:firstRowFirstColumn="0" w:firstRowLastColumn="0" w:lastRowFirstColumn="0" w:lastRowLastColumn="0"/>
            </w:pPr>
            <w:r w:rsidRPr="001213F7">
              <w:t>2025</w:t>
            </w:r>
            <w:r w:rsidRPr="001213F7">
              <w:noBreakHyphen/>
              <w:t>26</w:t>
            </w:r>
          </w:p>
        </w:tc>
        <w:tc>
          <w:tcPr>
            <w:tcW w:w="794" w:type="dxa"/>
          </w:tcPr>
          <w:p w14:paraId="2E9864E9" w14:textId="77777777" w:rsidR="00732BC0" w:rsidRPr="001213F7" w:rsidRDefault="00732BC0">
            <w:pPr>
              <w:keepNext/>
              <w:cnfStyle w:val="100000000000" w:firstRow="1" w:lastRow="0" w:firstColumn="0" w:lastColumn="0" w:oddVBand="0" w:evenVBand="0" w:oddHBand="0" w:evenHBand="0" w:firstRowFirstColumn="0" w:firstRowLastColumn="0" w:lastRowFirstColumn="0" w:lastRowLastColumn="0"/>
            </w:pPr>
            <w:r w:rsidRPr="001213F7">
              <w:t>2026</w:t>
            </w:r>
            <w:r w:rsidRPr="001213F7">
              <w:noBreakHyphen/>
              <w:t>27</w:t>
            </w:r>
          </w:p>
        </w:tc>
        <w:tc>
          <w:tcPr>
            <w:tcW w:w="794" w:type="dxa"/>
          </w:tcPr>
          <w:p w14:paraId="276401B5" w14:textId="77777777" w:rsidR="00732BC0" w:rsidRPr="001213F7" w:rsidRDefault="00732BC0">
            <w:pPr>
              <w:keepNext/>
              <w:cnfStyle w:val="100000000000" w:firstRow="1" w:lastRow="0" w:firstColumn="0" w:lastColumn="0" w:oddVBand="0" w:evenVBand="0" w:oddHBand="0" w:evenHBand="0" w:firstRowFirstColumn="0" w:firstRowLastColumn="0" w:lastRowFirstColumn="0" w:lastRowLastColumn="0"/>
            </w:pPr>
            <w:r w:rsidRPr="001213F7">
              <w:t>2027</w:t>
            </w:r>
            <w:r w:rsidRPr="001213F7">
              <w:noBreakHyphen/>
              <w:t>28</w:t>
            </w:r>
          </w:p>
        </w:tc>
        <w:tc>
          <w:tcPr>
            <w:tcW w:w="794" w:type="dxa"/>
          </w:tcPr>
          <w:p w14:paraId="42A24609" w14:textId="77777777" w:rsidR="00732BC0" w:rsidRPr="001213F7" w:rsidRDefault="00732BC0">
            <w:pPr>
              <w:keepNext/>
              <w:cnfStyle w:val="100000000000" w:firstRow="1" w:lastRow="0" w:firstColumn="0" w:lastColumn="0" w:oddVBand="0" w:evenVBand="0" w:oddHBand="0" w:evenHBand="0" w:firstRowFirstColumn="0" w:firstRowLastColumn="0" w:lastRowFirstColumn="0" w:lastRowLastColumn="0"/>
            </w:pPr>
            <w:r w:rsidRPr="001213F7">
              <w:t>2028</w:t>
            </w:r>
            <w:r w:rsidRPr="001213F7">
              <w:noBreakHyphen/>
              <w:t>29</w:t>
            </w:r>
          </w:p>
        </w:tc>
        <w:tc>
          <w:tcPr>
            <w:tcW w:w="794" w:type="dxa"/>
          </w:tcPr>
          <w:p w14:paraId="66659378" w14:textId="77777777" w:rsidR="00732BC0" w:rsidRPr="001213F7" w:rsidRDefault="00732BC0">
            <w:pPr>
              <w:keepNext/>
              <w:cnfStyle w:val="100000000000" w:firstRow="1" w:lastRow="0" w:firstColumn="0" w:lastColumn="0" w:oddVBand="0" w:evenVBand="0" w:oddHBand="0" w:evenHBand="0" w:firstRowFirstColumn="0" w:firstRowLastColumn="0" w:lastRowFirstColumn="0" w:lastRowLastColumn="0"/>
            </w:pPr>
            <w:r w:rsidRPr="001213F7">
              <w:t>2029</w:t>
            </w:r>
            <w:r w:rsidRPr="001213F7">
              <w:noBreakHyphen/>
              <w:t>30</w:t>
            </w:r>
          </w:p>
        </w:tc>
      </w:tr>
      <w:tr w:rsidR="00732BC0" w:rsidRPr="001213F7" w14:paraId="0AF81832"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946" w:type="dxa"/>
          </w:tcPr>
          <w:p w14:paraId="1D666FC3" w14:textId="77777777" w:rsidR="00732BC0" w:rsidRPr="001213F7" w:rsidRDefault="00732BC0">
            <w:pPr>
              <w:keepNext/>
            </w:pPr>
          </w:p>
        </w:tc>
        <w:tc>
          <w:tcPr>
            <w:tcW w:w="794" w:type="dxa"/>
          </w:tcPr>
          <w:p w14:paraId="7DDA3C3D" w14:textId="77777777" w:rsidR="00732BC0" w:rsidRPr="001213F7" w:rsidRDefault="00732BC0">
            <w:pPr>
              <w:keepNext/>
              <w:cnfStyle w:val="100000000000" w:firstRow="1" w:lastRow="0" w:firstColumn="0" w:lastColumn="0" w:oddVBand="0" w:evenVBand="0" w:oddHBand="0" w:evenHBand="0" w:firstRowFirstColumn="0" w:firstRowLastColumn="0" w:lastRowFirstColumn="0" w:lastRowLastColumn="0"/>
            </w:pPr>
            <w:r w:rsidRPr="001213F7">
              <w:t>actual</w:t>
            </w:r>
          </w:p>
        </w:tc>
        <w:tc>
          <w:tcPr>
            <w:tcW w:w="794" w:type="dxa"/>
          </w:tcPr>
          <w:p w14:paraId="3845FD67" w14:textId="77777777" w:rsidR="00732BC0" w:rsidRPr="001213F7" w:rsidRDefault="00732BC0">
            <w:pPr>
              <w:keepNext/>
              <w:cnfStyle w:val="100000000000" w:firstRow="1" w:lastRow="0" w:firstColumn="0" w:lastColumn="0" w:oddVBand="0" w:evenVBand="0" w:oddHBand="0" w:evenHBand="0" w:firstRowFirstColumn="0" w:firstRowLastColumn="0" w:lastRowFirstColumn="0" w:lastRowLastColumn="0"/>
            </w:pPr>
            <w:r w:rsidRPr="001213F7">
              <w:t>revised</w:t>
            </w:r>
          </w:p>
        </w:tc>
        <w:tc>
          <w:tcPr>
            <w:tcW w:w="794" w:type="dxa"/>
          </w:tcPr>
          <w:p w14:paraId="70171B07" w14:textId="77777777" w:rsidR="00732BC0" w:rsidRPr="001213F7" w:rsidRDefault="00732BC0">
            <w:pPr>
              <w:keepNext/>
              <w:cnfStyle w:val="100000000000" w:firstRow="1" w:lastRow="0" w:firstColumn="0" w:lastColumn="0" w:oddVBand="0" w:evenVBand="0" w:oddHBand="0" w:evenHBand="0" w:firstRowFirstColumn="0" w:firstRowLastColumn="0" w:lastRowFirstColumn="0" w:lastRowLastColumn="0"/>
            </w:pPr>
            <w:r w:rsidRPr="001213F7">
              <w:t>budget</w:t>
            </w:r>
          </w:p>
        </w:tc>
        <w:tc>
          <w:tcPr>
            <w:tcW w:w="794" w:type="dxa"/>
          </w:tcPr>
          <w:p w14:paraId="4174C7BD" w14:textId="77777777" w:rsidR="00732BC0" w:rsidRPr="001213F7" w:rsidRDefault="00732BC0">
            <w:pPr>
              <w:keepNext/>
              <w:cnfStyle w:val="100000000000" w:firstRow="1" w:lastRow="0" w:firstColumn="0" w:lastColumn="0" w:oddVBand="0" w:evenVBand="0" w:oddHBand="0" w:evenHBand="0" w:firstRowFirstColumn="0" w:firstRowLastColumn="0" w:lastRowFirstColumn="0" w:lastRowLastColumn="0"/>
            </w:pPr>
            <w:r w:rsidRPr="001213F7">
              <w:t>estimate</w:t>
            </w:r>
          </w:p>
        </w:tc>
        <w:tc>
          <w:tcPr>
            <w:tcW w:w="794" w:type="dxa"/>
          </w:tcPr>
          <w:p w14:paraId="381F8297" w14:textId="77777777" w:rsidR="00732BC0" w:rsidRPr="001213F7" w:rsidRDefault="00732BC0">
            <w:pPr>
              <w:keepNext/>
              <w:cnfStyle w:val="100000000000" w:firstRow="1" w:lastRow="0" w:firstColumn="0" w:lastColumn="0" w:oddVBand="0" w:evenVBand="0" w:oddHBand="0" w:evenHBand="0" w:firstRowFirstColumn="0" w:firstRowLastColumn="0" w:lastRowFirstColumn="0" w:lastRowLastColumn="0"/>
            </w:pPr>
            <w:r w:rsidRPr="001213F7">
              <w:t>estimate</w:t>
            </w:r>
          </w:p>
        </w:tc>
        <w:tc>
          <w:tcPr>
            <w:tcW w:w="794" w:type="dxa"/>
          </w:tcPr>
          <w:p w14:paraId="2BE1A808" w14:textId="77777777" w:rsidR="00732BC0" w:rsidRPr="001213F7" w:rsidRDefault="00732BC0">
            <w:pPr>
              <w:keepNext/>
              <w:cnfStyle w:val="100000000000" w:firstRow="1" w:lastRow="0" w:firstColumn="0" w:lastColumn="0" w:oddVBand="0" w:evenVBand="0" w:oddHBand="0" w:evenHBand="0" w:firstRowFirstColumn="0" w:firstRowLastColumn="0" w:lastRowFirstColumn="0" w:lastRowLastColumn="0"/>
            </w:pPr>
            <w:r w:rsidRPr="001213F7">
              <w:t>estimate</w:t>
            </w:r>
          </w:p>
        </w:tc>
      </w:tr>
      <w:tr w:rsidR="00732BC0" w:rsidRPr="001213F7" w14:paraId="648082BC" w14:textId="77777777">
        <w:tc>
          <w:tcPr>
            <w:cnfStyle w:val="001000000000" w:firstRow="0" w:lastRow="0" w:firstColumn="1" w:lastColumn="0" w:oddVBand="0" w:evenVBand="0" w:oddHBand="0" w:evenHBand="0" w:firstRowFirstColumn="0" w:firstRowLastColumn="0" w:lastRowFirstColumn="0" w:lastRowLastColumn="0"/>
            <w:tcW w:w="2946" w:type="dxa"/>
          </w:tcPr>
          <w:p w14:paraId="6AC4EF1B" w14:textId="77777777" w:rsidR="00732BC0" w:rsidRPr="001213F7" w:rsidRDefault="00732BC0">
            <w:r w:rsidRPr="001213F7">
              <w:rPr>
                <w:b/>
              </w:rPr>
              <w:t>Revenue and income from transactions</w:t>
            </w:r>
          </w:p>
        </w:tc>
        <w:tc>
          <w:tcPr>
            <w:tcW w:w="794" w:type="dxa"/>
          </w:tcPr>
          <w:p w14:paraId="2015E0D0"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p>
        </w:tc>
        <w:tc>
          <w:tcPr>
            <w:tcW w:w="794" w:type="dxa"/>
          </w:tcPr>
          <w:p w14:paraId="025E44BD"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p>
        </w:tc>
        <w:tc>
          <w:tcPr>
            <w:tcW w:w="794" w:type="dxa"/>
          </w:tcPr>
          <w:p w14:paraId="757FAA79"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p>
        </w:tc>
        <w:tc>
          <w:tcPr>
            <w:tcW w:w="794" w:type="dxa"/>
          </w:tcPr>
          <w:p w14:paraId="3DBBDD6B"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p>
        </w:tc>
        <w:tc>
          <w:tcPr>
            <w:tcW w:w="794" w:type="dxa"/>
          </w:tcPr>
          <w:p w14:paraId="6B2A2D35"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p>
        </w:tc>
        <w:tc>
          <w:tcPr>
            <w:tcW w:w="794" w:type="dxa"/>
          </w:tcPr>
          <w:p w14:paraId="4C153434"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p>
        </w:tc>
      </w:tr>
      <w:tr w:rsidR="00732BC0" w:rsidRPr="001213F7" w14:paraId="2739BA35" w14:textId="77777777">
        <w:tc>
          <w:tcPr>
            <w:cnfStyle w:val="001000000000" w:firstRow="0" w:lastRow="0" w:firstColumn="1" w:lastColumn="0" w:oddVBand="0" w:evenVBand="0" w:oddHBand="0" w:evenHBand="0" w:firstRowFirstColumn="0" w:firstRowLastColumn="0" w:lastRowFirstColumn="0" w:lastRowLastColumn="0"/>
            <w:tcW w:w="2946" w:type="dxa"/>
          </w:tcPr>
          <w:p w14:paraId="312449F4" w14:textId="77777777" w:rsidR="00732BC0" w:rsidRPr="001213F7" w:rsidRDefault="00732BC0">
            <w:r w:rsidRPr="001213F7">
              <w:t>Taxation</w:t>
            </w:r>
          </w:p>
        </w:tc>
        <w:tc>
          <w:tcPr>
            <w:tcW w:w="794" w:type="dxa"/>
          </w:tcPr>
          <w:p w14:paraId="5835DF72"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38 356</w:t>
            </w:r>
          </w:p>
        </w:tc>
        <w:tc>
          <w:tcPr>
            <w:tcW w:w="794" w:type="dxa"/>
          </w:tcPr>
          <w:p w14:paraId="25C9EF08"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40 914</w:t>
            </w:r>
          </w:p>
        </w:tc>
        <w:tc>
          <w:tcPr>
            <w:tcW w:w="794" w:type="dxa"/>
          </w:tcPr>
          <w:p w14:paraId="4EE3DED8"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42 536</w:t>
            </w:r>
          </w:p>
        </w:tc>
        <w:tc>
          <w:tcPr>
            <w:tcW w:w="794" w:type="dxa"/>
          </w:tcPr>
          <w:p w14:paraId="16E8F59D"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45 680</w:t>
            </w:r>
          </w:p>
        </w:tc>
        <w:tc>
          <w:tcPr>
            <w:tcW w:w="794" w:type="dxa"/>
          </w:tcPr>
          <w:p w14:paraId="02234628"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47 440</w:t>
            </w:r>
          </w:p>
        </w:tc>
        <w:tc>
          <w:tcPr>
            <w:tcW w:w="794" w:type="dxa"/>
          </w:tcPr>
          <w:p w14:paraId="1E470FE6"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49 620</w:t>
            </w:r>
          </w:p>
        </w:tc>
      </w:tr>
      <w:tr w:rsidR="00732BC0" w:rsidRPr="001213F7" w14:paraId="6BA3CAD4" w14:textId="77777777">
        <w:tc>
          <w:tcPr>
            <w:cnfStyle w:val="001000000000" w:firstRow="0" w:lastRow="0" w:firstColumn="1" w:lastColumn="0" w:oddVBand="0" w:evenVBand="0" w:oddHBand="0" w:evenHBand="0" w:firstRowFirstColumn="0" w:firstRowLastColumn="0" w:lastRowFirstColumn="0" w:lastRowLastColumn="0"/>
            <w:tcW w:w="2946" w:type="dxa"/>
          </w:tcPr>
          <w:p w14:paraId="6CA950F4" w14:textId="77777777" w:rsidR="00732BC0" w:rsidRPr="001213F7" w:rsidRDefault="00732BC0">
            <w:r w:rsidRPr="001213F7">
              <w:t>Interest income</w:t>
            </w:r>
          </w:p>
        </w:tc>
        <w:tc>
          <w:tcPr>
            <w:tcW w:w="794" w:type="dxa"/>
          </w:tcPr>
          <w:p w14:paraId="36938858"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2 002</w:t>
            </w:r>
          </w:p>
        </w:tc>
        <w:tc>
          <w:tcPr>
            <w:tcW w:w="794" w:type="dxa"/>
          </w:tcPr>
          <w:p w14:paraId="54E25A6E"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1 896</w:t>
            </w:r>
          </w:p>
        </w:tc>
        <w:tc>
          <w:tcPr>
            <w:tcW w:w="794" w:type="dxa"/>
          </w:tcPr>
          <w:p w14:paraId="0AB40C39"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1 895</w:t>
            </w:r>
          </w:p>
        </w:tc>
        <w:tc>
          <w:tcPr>
            <w:tcW w:w="794" w:type="dxa"/>
          </w:tcPr>
          <w:p w14:paraId="3845AD84"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1 755</w:t>
            </w:r>
          </w:p>
        </w:tc>
        <w:tc>
          <w:tcPr>
            <w:tcW w:w="794" w:type="dxa"/>
          </w:tcPr>
          <w:p w14:paraId="641E6D61"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1 763</w:t>
            </w:r>
          </w:p>
        </w:tc>
        <w:tc>
          <w:tcPr>
            <w:tcW w:w="794" w:type="dxa"/>
          </w:tcPr>
          <w:p w14:paraId="7E570690"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1 784</w:t>
            </w:r>
          </w:p>
        </w:tc>
      </w:tr>
      <w:tr w:rsidR="00732BC0" w:rsidRPr="001213F7" w14:paraId="098A16F3" w14:textId="77777777">
        <w:tc>
          <w:tcPr>
            <w:cnfStyle w:val="001000000000" w:firstRow="0" w:lastRow="0" w:firstColumn="1" w:lastColumn="0" w:oddVBand="0" w:evenVBand="0" w:oddHBand="0" w:evenHBand="0" w:firstRowFirstColumn="0" w:firstRowLastColumn="0" w:lastRowFirstColumn="0" w:lastRowLastColumn="0"/>
            <w:tcW w:w="2946" w:type="dxa"/>
          </w:tcPr>
          <w:p w14:paraId="05A9256C" w14:textId="77777777" w:rsidR="00732BC0" w:rsidRPr="001213F7" w:rsidRDefault="00732BC0">
            <w:r w:rsidRPr="001213F7">
              <w:t>Dividend income</w:t>
            </w:r>
          </w:p>
        </w:tc>
        <w:tc>
          <w:tcPr>
            <w:tcW w:w="794" w:type="dxa"/>
          </w:tcPr>
          <w:p w14:paraId="450D6432"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3 947</w:t>
            </w:r>
          </w:p>
        </w:tc>
        <w:tc>
          <w:tcPr>
            <w:tcW w:w="794" w:type="dxa"/>
          </w:tcPr>
          <w:p w14:paraId="2DC9A257"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3 917</w:t>
            </w:r>
          </w:p>
        </w:tc>
        <w:tc>
          <w:tcPr>
            <w:tcW w:w="794" w:type="dxa"/>
          </w:tcPr>
          <w:p w14:paraId="2B65A4B8"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3 969</w:t>
            </w:r>
          </w:p>
        </w:tc>
        <w:tc>
          <w:tcPr>
            <w:tcW w:w="794" w:type="dxa"/>
          </w:tcPr>
          <w:p w14:paraId="756CFAC3"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4 347</w:t>
            </w:r>
          </w:p>
        </w:tc>
        <w:tc>
          <w:tcPr>
            <w:tcW w:w="794" w:type="dxa"/>
          </w:tcPr>
          <w:p w14:paraId="70DCF576"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4 647</w:t>
            </w:r>
          </w:p>
        </w:tc>
        <w:tc>
          <w:tcPr>
            <w:tcW w:w="794" w:type="dxa"/>
          </w:tcPr>
          <w:p w14:paraId="67C19BFD"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4 964</w:t>
            </w:r>
          </w:p>
        </w:tc>
      </w:tr>
      <w:tr w:rsidR="00732BC0" w:rsidRPr="001213F7" w14:paraId="06C7B3CD" w14:textId="77777777">
        <w:tc>
          <w:tcPr>
            <w:cnfStyle w:val="001000000000" w:firstRow="0" w:lastRow="0" w:firstColumn="1" w:lastColumn="0" w:oddVBand="0" w:evenVBand="0" w:oddHBand="0" w:evenHBand="0" w:firstRowFirstColumn="0" w:firstRowLastColumn="0" w:lastRowFirstColumn="0" w:lastRowLastColumn="0"/>
            <w:tcW w:w="2946" w:type="dxa"/>
          </w:tcPr>
          <w:p w14:paraId="119F1A2F" w14:textId="77777777" w:rsidR="00732BC0" w:rsidRPr="001213F7" w:rsidRDefault="00732BC0">
            <w:r w:rsidRPr="001213F7">
              <w:t>Sales of goods and services</w:t>
            </w:r>
          </w:p>
        </w:tc>
        <w:tc>
          <w:tcPr>
            <w:tcW w:w="794" w:type="dxa"/>
          </w:tcPr>
          <w:p w14:paraId="1FBC2F81"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21 009</w:t>
            </w:r>
          </w:p>
        </w:tc>
        <w:tc>
          <w:tcPr>
            <w:tcW w:w="794" w:type="dxa"/>
          </w:tcPr>
          <w:p w14:paraId="117724B5"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23 120</w:t>
            </w:r>
          </w:p>
        </w:tc>
        <w:tc>
          <w:tcPr>
            <w:tcW w:w="794" w:type="dxa"/>
          </w:tcPr>
          <w:p w14:paraId="22C7FA1D"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24 417</w:t>
            </w:r>
          </w:p>
        </w:tc>
        <w:tc>
          <w:tcPr>
            <w:tcW w:w="794" w:type="dxa"/>
          </w:tcPr>
          <w:p w14:paraId="6CD2F383"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25 734</w:t>
            </w:r>
          </w:p>
        </w:tc>
        <w:tc>
          <w:tcPr>
            <w:tcW w:w="794" w:type="dxa"/>
          </w:tcPr>
          <w:p w14:paraId="73D4E5A4"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26 934</w:t>
            </w:r>
          </w:p>
        </w:tc>
        <w:tc>
          <w:tcPr>
            <w:tcW w:w="794" w:type="dxa"/>
          </w:tcPr>
          <w:p w14:paraId="497ACAED"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28 329</w:t>
            </w:r>
          </w:p>
        </w:tc>
      </w:tr>
      <w:tr w:rsidR="00732BC0" w:rsidRPr="001213F7" w14:paraId="1B438F1E" w14:textId="77777777">
        <w:tc>
          <w:tcPr>
            <w:cnfStyle w:val="001000000000" w:firstRow="0" w:lastRow="0" w:firstColumn="1" w:lastColumn="0" w:oddVBand="0" w:evenVBand="0" w:oddHBand="0" w:evenHBand="0" w:firstRowFirstColumn="0" w:firstRowLastColumn="0" w:lastRowFirstColumn="0" w:lastRowLastColumn="0"/>
            <w:tcW w:w="2946" w:type="dxa"/>
          </w:tcPr>
          <w:p w14:paraId="364980D0" w14:textId="77777777" w:rsidR="00732BC0" w:rsidRPr="001213F7" w:rsidRDefault="00732BC0">
            <w:r w:rsidRPr="001213F7">
              <w:t>Grants</w:t>
            </w:r>
          </w:p>
        </w:tc>
        <w:tc>
          <w:tcPr>
            <w:tcW w:w="794" w:type="dxa"/>
          </w:tcPr>
          <w:p w14:paraId="3CDF6E06"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47 191</w:t>
            </w:r>
          </w:p>
        </w:tc>
        <w:tc>
          <w:tcPr>
            <w:tcW w:w="794" w:type="dxa"/>
          </w:tcPr>
          <w:p w14:paraId="628CBA70"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55 060</w:t>
            </w:r>
          </w:p>
        </w:tc>
        <w:tc>
          <w:tcPr>
            <w:tcW w:w="794" w:type="dxa"/>
          </w:tcPr>
          <w:p w14:paraId="4BD947DC"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56 121</w:t>
            </w:r>
          </w:p>
        </w:tc>
        <w:tc>
          <w:tcPr>
            <w:tcW w:w="794" w:type="dxa"/>
          </w:tcPr>
          <w:p w14:paraId="69A68F59"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55 385</w:t>
            </w:r>
          </w:p>
        </w:tc>
        <w:tc>
          <w:tcPr>
            <w:tcW w:w="794" w:type="dxa"/>
          </w:tcPr>
          <w:p w14:paraId="35D62DA9"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56 830</w:t>
            </w:r>
          </w:p>
        </w:tc>
        <w:tc>
          <w:tcPr>
            <w:tcW w:w="794" w:type="dxa"/>
          </w:tcPr>
          <w:p w14:paraId="74A28E8C"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58 894</w:t>
            </w:r>
          </w:p>
        </w:tc>
      </w:tr>
      <w:tr w:rsidR="00732BC0" w:rsidRPr="001213F7" w14:paraId="4CBFAD09" w14:textId="77777777">
        <w:tc>
          <w:tcPr>
            <w:cnfStyle w:val="001000000000" w:firstRow="0" w:lastRow="0" w:firstColumn="1" w:lastColumn="0" w:oddVBand="0" w:evenVBand="0" w:oddHBand="0" w:evenHBand="0" w:firstRowFirstColumn="0" w:firstRowLastColumn="0" w:lastRowFirstColumn="0" w:lastRowLastColumn="0"/>
            <w:tcW w:w="2946" w:type="dxa"/>
            <w:tcBorders>
              <w:bottom w:val="single" w:sz="6" w:space="0" w:color="auto"/>
            </w:tcBorders>
          </w:tcPr>
          <w:p w14:paraId="09D627ED" w14:textId="77777777" w:rsidR="00732BC0" w:rsidRPr="001213F7" w:rsidRDefault="00732BC0">
            <w:r w:rsidRPr="001213F7">
              <w:t>Other revenue and income</w:t>
            </w:r>
          </w:p>
        </w:tc>
        <w:tc>
          <w:tcPr>
            <w:tcW w:w="794" w:type="dxa"/>
            <w:tcBorders>
              <w:bottom w:val="single" w:sz="6" w:space="0" w:color="auto"/>
            </w:tcBorders>
          </w:tcPr>
          <w:p w14:paraId="77C66126"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5 287</w:t>
            </w:r>
          </w:p>
        </w:tc>
        <w:tc>
          <w:tcPr>
            <w:tcW w:w="794" w:type="dxa"/>
            <w:tcBorders>
              <w:bottom w:val="single" w:sz="6" w:space="0" w:color="auto"/>
            </w:tcBorders>
          </w:tcPr>
          <w:p w14:paraId="1089D589"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4 687</w:t>
            </w:r>
          </w:p>
        </w:tc>
        <w:tc>
          <w:tcPr>
            <w:tcW w:w="794" w:type="dxa"/>
            <w:tcBorders>
              <w:bottom w:val="single" w:sz="6" w:space="0" w:color="auto"/>
            </w:tcBorders>
          </w:tcPr>
          <w:p w14:paraId="12D19D72"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4 571</w:t>
            </w:r>
          </w:p>
        </w:tc>
        <w:tc>
          <w:tcPr>
            <w:tcW w:w="794" w:type="dxa"/>
            <w:tcBorders>
              <w:bottom w:val="single" w:sz="6" w:space="0" w:color="auto"/>
            </w:tcBorders>
          </w:tcPr>
          <w:p w14:paraId="0E91EC7E"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4 379</w:t>
            </w:r>
          </w:p>
        </w:tc>
        <w:tc>
          <w:tcPr>
            <w:tcW w:w="794" w:type="dxa"/>
            <w:tcBorders>
              <w:bottom w:val="single" w:sz="6" w:space="0" w:color="auto"/>
            </w:tcBorders>
          </w:tcPr>
          <w:p w14:paraId="0F2A5B98"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4 501</w:t>
            </w:r>
          </w:p>
        </w:tc>
        <w:tc>
          <w:tcPr>
            <w:tcW w:w="794" w:type="dxa"/>
            <w:tcBorders>
              <w:bottom w:val="single" w:sz="6" w:space="0" w:color="auto"/>
            </w:tcBorders>
          </w:tcPr>
          <w:p w14:paraId="67088413"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4 655</w:t>
            </w:r>
          </w:p>
        </w:tc>
      </w:tr>
      <w:tr w:rsidR="00732BC0" w:rsidRPr="001213F7" w14:paraId="28385B95" w14:textId="77777777">
        <w:tc>
          <w:tcPr>
            <w:cnfStyle w:val="001000000000" w:firstRow="0" w:lastRow="0" w:firstColumn="1" w:lastColumn="0" w:oddVBand="0" w:evenVBand="0" w:oddHBand="0" w:evenHBand="0" w:firstRowFirstColumn="0" w:firstRowLastColumn="0" w:lastRowFirstColumn="0" w:lastRowLastColumn="0"/>
            <w:tcW w:w="2946" w:type="dxa"/>
            <w:tcBorders>
              <w:top w:val="single" w:sz="6" w:space="0" w:color="auto"/>
            </w:tcBorders>
          </w:tcPr>
          <w:p w14:paraId="705E0DD4" w14:textId="77777777" w:rsidR="00732BC0" w:rsidRPr="001213F7" w:rsidRDefault="00732BC0">
            <w:r w:rsidRPr="001213F7">
              <w:rPr>
                <w:b/>
              </w:rPr>
              <w:t>Total revenue and income from transactions</w:t>
            </w:r>
          </w:p>
        </w:tc>
        <w:tc>
          <w:tcPr>
            <w:tcW w:w="794" w:type="dxa"/>
            <w:tcBorders>
              <w:top w:val="single" w:sz="6" w:space="0" w:color="auto"/>
            </w:tcBorders>
          </w:tcPr>
          <w:p w14:paraId="63457CDE"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rPr>
                <w:b/>
              </w:rPr>
              <w:t>117 791</w:t>
            </w:r>
          </w:p>
        </w:tc>
        <w:tc>
          <w:tcPr>
            <w:tcW w:w="794" w:type="dxa"/>
            <w:tcBorders>
              <w:top w:val="single" w:sz="6" w:space="0" w:color="auto"/>
            </w:tcBorders>
          </w:tcPr>
          <w:p w14:paraId="7BD43E6A"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rPr>
                <w:b/>
              </w:rPr>
              <w:t>129 594</w:t>
            </w:r>
          </w:p>
        </w:tc>
        <w:tc>
          <w:tcPr>
            <w:tcW w:w="794" w:type="dxa"/>
            <w:tcBorders>
              <w:top w:val="single" w:sz="6" w:space="0" w:color="auto"/>
            </w:tcBorders>
          </w:tcPr>
          <w:p w14:paraId="186B6CAF"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rPr>
                <w:b/>
              </w:rPr>
              <w:t>133 508</w:t>
            </w:r>
          </w:p>
        </w:tc>
        <w:tc>
          <w:tcPr>
            <w:tcW w:w="794" w:type="dxa"/>
            <w:tcBorders>
              <w:top w:val="single" w:sz="6" w:space="0" w:color="auto"/>
            </w:tcBorders>
          </w:tcPr>
          <w:p w14:paraId="6C3538EF"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rPr>
                <w:b/>
              </w:rPr>
              <w:t>137 279</w:t>
            </w:r>
          </w:p>
        </w:tc>
        <w:tc>
          <w:tcPr>
            <w:tcW w:w="794" w:type="dxa"/>
            <w:tcBorders>
              <w:top w:val="single" w:sz="6" w:space="0" w:color="auto"/>
            </w:tcBorders>
          </w:tcPr>
          <w:p w14:paraId="50D60DFA"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rPr>
                <w:b/>
              </w:rPr>
              <w:t>142 114</w:t>
            </w:r>
          </w:p>
        </w:tc>
        <w:tc>
          <w:tcPr>
            <w:tcW w:w="794" w:type="dxa"/>
            <w:tcBorders>
              <w:top w:val="single" w:sz="6" w:space="0" w:color="auto"/>
            </w:tcBorders>
          </w:tcPr>
          <w:p w14:paraId="3EE3120D"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rPr>
                <w:b/>
              </w:rPr>
              <w:t>148 245</w:t>
            </w:r>
          </w:p>
        </w:tc>
      </w:tr>
      <w:tr w:rsidR="00732BC0" w:rsidRPr="001213F7" w14:paraId="19294356" w14:textId="77777777">
        <w:tc>
          <w:tcPr>
            <w:cnfStyle w:val="001000000000" w:firstRow="0" w:lastRow="0" w:firstColumn="1" w:lastColumn="0" w:oddVBand="0" w:evenVBand="0" w:oddHBand="0" w:evenHBand="0" w:firstRowFirstColumn="0" w:firstRowLastColumn="0" w:lastRowFirstColumn="0" w:lastRowLastColumn="0"/>
            <w:tcW w:w="2946" w:type="dxa"/>
          </w:tcPr>
          <w:p w14:paraId="151E3B53" w14:textId="77777777" w:rsidR="00732BC0" w:rsidRPr="001213F7" w:rsidRDefault="00732BC0">
            <w:r w:rsidRPr="001213F7">
              <w:rPr>
                <w:i/>
              </w:rPr>
              <w:t>per cent change</w:t>
            </w:r>
          </w:p>
        </w:tc>
        <w:tc>
          <w:tcPr>
            <w:tcW w:w="794" w:type="dxa"/>
          </w:tcPr>
          <w:p w14:paraId="43D68A9C"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rPr>
                <w:i/>
              </w:rPr>
              <w:t>9.5</w:t>
            </w:r>
          </w:p>
        </w:tc>
        <w:tc>
          <w:tcPr>
            <w:tcW w:w="794" w:type="dxa"/>
          </w:tcPr>
          <w:p w14:paraId="18906A00"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rPr>
                <w:i/>
              </w:rPr>
              <w:t>10.0</w:t>
            </w:r>
          </w:p>
        </w:tc>
        <w:tc>
          <w:tcPr>
            <w:tcW w:w="794" w:type="dxa"/>
          </w:tcPr>
          <w:p w14:paraId="773F47FB"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rPr>
                <w:i/>
              </w:rPr>
              <w:t>3.0</w:t>
            </w:r>
          </w:p>
        </w:tc>
        <w:tc>
          <w:tcPr>
            <w:tcW w:w="794" w:type="dxa"/>
          </w:tcPr>
          <w:p w14:paraId="51B95B0C"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rPr>
                <w:i/>
              </w:rPr>
              <w:t>2.8</w:t>
            </w:r>
          </w:p>
        </w:tc>
        <w:tc>
          <w:tcPr>
            <w:tcW w:w="794" w:type="dxa"/>
          </w:tcPr>
          <w:p w14:paraId="4EE6C6BB"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rPr>
                <w:i/>
              </w:rPr>
              <w:t>3.5</w:t>
            </w:r>
          </w:p>
        </w:tc>
        <w:tc>
          <w:tcPr>
            <w:tcW w:w="794" w:type="dxa"/>
          </w:tcPr>
          <w:p w14:paraId="0662D8F1"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rPr>
                <w:i/>
              </w:rPr>
              <w:t>4.3</w:t>
            </w:r>
          </w:p>
        </w:tc>
      </w:tr>
      <w:tr w:rsidR="00732BC0" w:rsidRPr="001213F7" w14:paraId="177A6132" w14:textId="77777777">
        <w:trPr>
          <w:trHeight w:hRule="exact" w:val="113"/>
        </w:trPr>
        <w:tc>
          <w:tcPr>
            <w:cnfStyle w:val="001000000000" w:firstRow="0" w:lastRow="0" w:firstColumn="1" w:lastColumn="0" w:oddVBand="0" w:evenVBand="0" w:oddHBand="0" w:evenHBand="0" w:firstRowFirstColumn="0" w:firstRowLastColumn="0" w:lastRowFirstColumn="0" w:lastRowLastColumn="0"/>
            <w:tcW w:w="2946" w:type="dxa"/>
          </w:tcPr>
          <w:p w14:paraId="5F08ED0B" w14:textId="77777777" w:rsidR="00732BC0" w:rsidRPr="001213F7" w:rsidRDefault="00732BC0"/>
        </w:tc>
        <w:tc>
          <w:tcPr>
            <w:tcW w:w="794" w:type="dxa"/>
          </w:tcPr>
          <w:p w14:paraId="747A9EAD"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p>
        </w:tc>
        <w:tc>
          <w:tcPr>
            <w:tcW w:w="794" w:type="dxa"/>
          </w:tcPr>
          <w:p w14:paraId="1F265154"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p>
        </w:tc>
        <w:tc>
          <w:tcPr>
            <w:tcW w:w="794" w:type="dxa"/>
          </w:tcPr>
          <w:p w14:paraId="1C0ACE5F"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p>
        </w:tc>
        <w:tc>
          <w:tcPr>
            <w:tcW w:w="794" w:type="dxa"/>
          </w:tcPr>
          <w:p w14:paraId="659BD798"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p>
        </w:tc>
        <w:tc>
          <w:tcPr>
            <w:tcW w:w="794" w:type="dxa"/>
          </w:tcPr>
          <w:p w14:paraId="26AACE31"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p>
        </w:tc>
        <w:tc>
          <w:tcPr>
            <w:tcW w:w="794" w:type="dxa"/>
          </w:tcPr>
          <w:p w14:paraId="01B4FDD4"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p>
        </w:tc>
      </w:tr>
      <w:tr w:rsidR="00732BC0" w:rsidRPr="001213F7" w14:paraId="41C7A6C9" w14:textId="77777777">
        <w:tc>
          <w:tcPr>
            <w:cnfStyle w:val="001000000000" w:firstRow="0" w:lastRow="0" w:firstColumn="1" w:lastColumn="0" w:oddVBand="0" w:evenVBand="0" w:oddHBand="0" w:evenHBand="0" w:firstRowFirstColumn="0" w:firstRowLastColumn="0" w:lastRowFirstColumn="0" w:lastRowLastColumn="0"/>
            <w:tcW w:w="2946" w:type="dxa"/>
          </w:tcPr>
          <w:p w14:paraId="4CEF70F7" w14:textId="77777777" w:rsidR="00732BC0" w:rsidRPr="001213F7" w:rsidRDefault="00732BC0">
            <w:r w:rsidRPr="001213F7">
              <w:rPr>
                <w:b/>
              </w:rPr>
              <w:t>Expenses from transactions</w:t>
            </w:r>
          </w:p>
        </w:tc>
        <w:tc>
          <w:tcPr>
            <w:tcW w:w="794" w:type="dxa"/>
          </w:tcPr>
          <w:p w14:paraId="18CD8E3F"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p>
        </w:tc>
        <w:tc>
          <w:tcPr>
            <w:tcW w:w="794" w:type="dxa"/>
          </w:tcPr>
          <w:p w14:paraId="20D6CA8D"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p>
        </w:tc>
        <w:tc>
          <w:tcPr>
            <w:tcW w:w="794" w:type="dxa"/>
          </w:tcPr>
          <w:p w14:paraId="6B253785"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p>
        </w:tc>
        <w:tc>
          <w:tcPr>
            <w:tcW w:w="794" w:type="dxa"/>
          </w:tcPr>
          <w:p w14:paraId="0DCFE148"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p>
        </w:tc>
        <w:tc>
          <w:tcPr>
            <w:tcW w:w="794" w:type="dxa"/>
          </w:tcPr>
          <w:p w14:paraId="7B023349"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p>
        </w:tc>
        <w:tc>
          <w:tcPr>
            <w:tcW w:w="794" w:type="dxa"/>
          </w:tcPr>
          <w:p w14:paraId="1E767733"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p>
        </w:tc>
      </w:tr>
      <w:tr w:rsidR="00732BC0" w:rsidRPr="001213F7" w14:paraId="6749DE76" w14:textId="77777777">
        <w:tc>
          <w:tcPr>
            <w:cnfStyle w:val="001000000000" w:firstRow="0" w:lastRow="0" w:firstColumn="1" w:lastColumn="0" w:oddVBand="0" w:evenVBand="0" w:oddHBand="0" w:evenHBand="0" w:firstRowFirstColumn="0" w:firstRowLastColumn="0" w:lastRowFirstColumn="0" w:lastRowLastColumn="0"/>
            <w:tcW w:w="2946" w:type="dxa"/>
          </w:tcPr>
          <w:p w14:paraId="23563CE5" w14:textId="77777777" w:rsidR="00732BC0" w:rsidRPr="001213F7" w:rsidRDefault="00732BC0">
            <w:r w:rsidRPr="001213F7">
              <w:t>Employee expenses</w:t>
            </w:r>
          </w:p>
        </w:tc>
        <w:tc>
          <w:tcPr>
            <w:tcW w:w="794" w:type="dxa"/>
          </w:tcPr>
          <w:p w14:paraId="3E6AE8CB"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40 054</w:t>
            </w:r>
          </w:p>
        </w:tc>
        <w:tc>
          <w:tcPr>
            <w:tcW w:w="794" w:type="dxa"/>
          </w:tcPr>
          <w:p w14:paraId="26719827"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42 044</w:t>
            </w:r>
          </w:p>
        </w:tc>
        <w:tc>
          <w:tcPr>
            <w:tcW w:w="794" w:type="dxa"/>
          </w:tcPr>
          <w:p w14:paraId="6EE6D2ED"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43 023</w:t>
            </w:r>
          </w:p>
        </w:tc>
        <w:tc>
          <w:tcPr>
            <w:tcW w:w="794" w:type="dxa"/>
          </w:tcPr>
          <w:p w14:paraId="2836C83C"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44 717</w:t>
            </w:r>
          </w:p>
        </w:tc>
        <w:tc>
          <w:tcPr>
            <w:tcW w:w="794" w:type="dxa"/>
          </w:tcPr>
          <w:p w14:paraId="58AC5C45"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46 281</w:t>
            </w:r>
          </w:p>
        </w:tc>
        <w:tc>
          <w:tcPr>
            <w:tcW w:w="794" w:type="dxa"/>
          </w:tcPr>
          <w:p w14:paraId="675C9EED"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47 473</w:t>
            </w:r>
          </w:p>
        </w:tc>
      </w:tr>
      <w:tr w:rsidR="00732BC0" w:rsidRPr="001213F7" w14:paraId="7FA742F0" w14:textId="77777777">
        <w:tc>
          <w:tcPr>
            <w:cnfStyle w:val="001000000000" w:firstRow="0" w:lastRow="0" w:firstColumn="1" w:lastColumn="0" w:oddVBand="0" w:evenVBand="0" w:oddHBand="0" w:evenHBand="0" w:firstRowFirstColumn="0" w:firstRowLastColumn="0" w:lastRowFirstColumn="0" w:lastRowLastColumn="0"/>
            <w:tcW w:w="2946" w:type="dxa"/>
          </w:tcPr>
          <w:p w14:paraId="17E83215" w14:textId="77777777" w:rsidR="00732BC0" w:rsidRPr="001213F7" w:rsidRDefault="00732BC0">
            <w:r w:rsidRPr="001213F7">
              <w:t>Superannuation:</w:t>
            </w:r>
          </w:p>
        </w:tc>
        <w:tc>
          <w:tcPr>
            <w:tcW w:w="794" w:type="dxa"/>
          </w:tcPr>
          <w:p w14:paraId="41D6019B"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p>
        </w:tc>
        <w:tc>
          <w:tcPr>
            <w:tcW w:w="794" w:type="dxa"/>
          </w:tcPr>
          <w:p w14:paraId="4A087711"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p>
        </w:tc>
        <w:tc>
          <w:tcPr>
            <w:tcW w:w="794" w:type="dxa"/>
          </w:tcPr>
          <w:p w14:paraId="41CCA643"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p>
        </w:tc>
        <w:tc>
          <w:tcPr>
            <w:tcW w:w="794" w:type="dxa"/>
          </w:tcPr>
          <w:p w14:paraId="63131F12"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p>
        </w:tc>
        <w:tc>
          <w:tcPr>
            <w:tcW w:w="794" w:type="dxa"/>
          </w:tcPr>
          <w:p w14:paraId="6F9BE15C"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p>
        </w:tc>
        <w:tc>
          <w:tcPr>
            <w:tcW w:w="794" w:type="dxa"/>
          </w:tcPr>
          <w:p w14:paraId="4A216EDF"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p>
        </w:tc>
      </w:tr>
      <w:tr w:rsidR="00732BC0" w:rsidRPr="001213F7" w14:paraId="6ABAF636" w14:textId="77777777">
        <w:tc>
          <w:tcPr>
            <w:cnfStyle w:val="001000000000" w:firstRow="0" w:lastRow="0" w:firstColumn="1" w:lastColumn="0" w:oddVBand="0" w:evenVBand="0" w:oddHBand="0" w:evenHBand="0" w:firstRowFirstColumn="0" w:firstRowLastColumn="0" w:lastRowFirstColumn="0" w:lastRowLastColumn="0"/>
            <w:tcW w:w="2946" w:type="dxa"/>
          </w:tcPr>
          <w:p w14:paraId="4EC000E6" w14:textId="77777777" w:rsidR="00732BC0" w:rsidRPr="001213F7" w:rsidRDefault="00732BC0">
            <w:r w:rsidRPr="001213F7">
              <w:t>Net superannuation interest expense</w:t>
            </w:r>
          </w:p>
        </w:tc>
        <w:tc>
          <w:tcPr>
            <w:tcW w:w="794" w:type="dxa"/>
          </w:tcPr>
          <w:p w14:paraId="36EF6061"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785</w:t>
            </w:r>
          </w:p>
        </w:tc>
        <w:tc>
          <w:tcPr>
            <w:tcW w:w="794" w:type="dxa"/>
          </w:tcPr>
          <w:p w14:paraId="18514780"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788</w:t>
            </w:r>
          </w:p>
        </w:tc>
        <w:tc>
          <w:tcPr>
            <w:tcW w:w="794" w:type="dxa"/>
          </w:tcPr>
          <w:p w14:paraId="0130C050"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811</w:t>
            </w:r>
          </w:p>
        </w:tc>
        <w:tc>
          <w:tcPr>
            <w:tcW w:w="794" w:type="dxa"/>
          </w:tcPr>
          <w:p w14:paraId="464E6320"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796</w:t>
            </w:r>
          </w:p>
        </w:tc>
        <w:tc>
          <w:tcPr>
            <w:tcW w:w="794" w:type="dxa"/>
          </w:tcPr>
          <w:p w14:paraId="483DA6F4"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737</w:t>
            </w:r>
          </w:p>
        </w:tc>
        <w:tc>
          <w:tcPr>
            <w:tcW w:w="794" w:type="dxa"/>
          </w:tcPr>
          <w:p w14:paraId="003ACC44"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676</w:t>
            </w:r>
          </w:p>
        </w:tc>
      </w:tr>
      <w:tr w:rsidR="00732BC0" w:rsidRPr="001213F7" w14:paraId="25B84345" w14:textId="77777777">
        <w:tc>
          <w:tcPr>
            <w:cnfStyle w:val="001000000000" w:firstRow="0" w:lastRow="0" w:firstColumn="1" w:lastColumn="0" w:oddVBand="0" w:evenVBand="0" w:oddHBand="0" w:evenHBand="0" w:firstRowFirstColumn="0" w:firstRowLastColumn="0" w:lastRowFirstColumn="0" w:lastRowLastColumn="0"/>
            <w:tcW w:w="2946" w:type="dxa"/>
          </w:tcPr>
          <w:p w14:paraId="21846796" w14:textId="77777777" w:rsidR="00732BC0" w:rsidRPr="001213F7" w:rsidRDefault="00732BC0">
            <w:r w:rsidRPr="001213F7">
              <w:t>Other superannuation</w:t>
            </w:r>
          </w:p>
        </w:tc>
        <w:tc>
          <w:tcPr>
            <w:tcW w:w="794" w:type="dxa"/>
          </w:tcPr>
          <w:p w14:paraId="6F86B1EB"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4 812</w:t>
            </w:r>
          </w:p>
        </w:tc>
        <w:tc>
          <w:tcPr>
            <w:tcW w:w="794" w:type="dxa"/>
          </w:tcPr>
          <w:p w14:paraId="1D6468B4"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5 026</w:t>
            </w:r>
          </w:p>
        </w:tc>
        <w:tc>
          <w:tcPr>
            <w:tcW w:w="794" w:type="dxa"/>
          </w:tcPr>
          <w:p w14:paraId="30117D42"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4 979</w:t>
            </w:r>
          </w:p>
        </w:tc>
        <w:tc>
          <w:tcPr>
            <w:tcW w:w="794" w:type="dxa"/>
          </w:tcPr>
          <w:p w14:paraId="29FF2BD6"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5 182</w:t>
            </w:r>
          </w:p>
        </w:tc>
        <w:tc>
          <w:tcPr>
            <w:tcW w:w="794" w:type="dxa"/>
          </w:tcPr>
          <w:p w14:paraId="3D4188EF"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5 339</w:t>
            </w:r>
          </w:p>
        </w:tc>
        <w:tc>
          <w:tcPr>
            <w:tcW w:w="794" w:type="dxa"/>
          </w:tcPr>
          <w:p w14:paraId="162F0AA6"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5 483</w:t>
            </w:r>
          </w:p>
        </w:tc>
      </w:tr>
      <w:tr w:rsidR="00732BC0" w:rsidRPr="001213F7" w14:paraId="5E8FE73F" w14:textId="77777777">
        <w:tc>
          <w:tcPr>
            <w:cnfStyle w:val="001000000000" w:firstRow="0" w:lastRow="0" w:firstColumn="1" w:lastColumn="0" w:oddVBand="0" w:evenVBand="0" w:oddHBand="0" w:evenHBand="0" w:firstRowFirstColumn="0" w:firstRowLastColumn="0" w:lastRowFirstColumn="0" w:lastRowLastColumn="0"/>
            <w:tcW w:w="2946" w:type="dxa"/>
          </w:tcPr>
          <w:p w14:paraId="28F9740D" w14:textId="77777777" w:rsidR="00732BC0" w:rsidRPr="001213F7" w:rsidRDefault="00732BC0">
            <w:r w:rsidRPr="001213F7">
              <w:t>Depreciation</w:t>
            </w:r>
          </w:p>
        </w:tc>
        <w:tc>
          <w:tcPr>
            <w:tcW w:w="794" w:type="dxa"/>
          </w:tcPr>
          <w:p w14:paraId="04E5E33A"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9 349</w:t>
            </w:r>
          </w:p>
        </w:tc>
        <w:tc>
          <w:tcPr>
            <w:tcW w:w="794" w:type="dxa"/>
          </w:tcPr>
          <w:p w14:paraId="024AED02"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11 505</w:t>
            </w:r>
          </w:p>
        </w:tc>
        <w:tc>
          <w:tcPr>
            <w:tcW w:w="794" w:type="dxa"/>
          </w:tcPr>
          <w:p w14:paraId="0F731D67"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11 786</w:t>
            </w:r>
          </w:p>
        </w:tc>
        <w:tc>
          <w:tcPr>
            <w:tcW w:w="794" w:type="dxa"/>
          </w:tcPr>
          <w:p w14:paraId="4E3BAA52"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12 022</w:t>
            </w:r>
          </w:p>
        </w:tc>
        <w:tc>
          <w:tcPr>
            <w:tcW w:w="794" w:type="dxa"/>
          </w:tcPr>
          <w:p w14:paraId="6201FB95"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12 502</w:t>
            </w:r>
          </w:p>
        </w:tc>
        <w:tc>
          <w:tcPr>
            <w:tcW w:w="794" w:type="dxa"/>
          </w:tcPr>
          <w:p w14:paraId="011D5D46"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13 130</w:t>
            </w:r>
          </w:p>
        </w:tc>
      </w:tr>
      <w:tr w:rsidR="00732BC0" w:rsidRPr="001213F7" w14:paraId="3828E32D" w14:textId="77777777">
        <w:tc>
          <w:tcPr>
            <w:cnfStyle w:val="001000000000" w:firstRow="0" w:lastRow="0" w:firstColumn="1" w:lastColumn="0" w:oddVBand="0" w:evenVBand="0" w:oddHBand="0" w:evenHBand="0" w:firstRowFirstColumn="0" w:firstRowLastColumn="0" w:lastRowFirstColumn="0" w:lastRowLastColumn="0"/>
            <w:tcW w:w="2946" w:type="dxa"/>
          </w:tcPr>
          <w:p w14:paraId="51A74B28" w14:textId="77777777" w:rsidR="00732BC0" w:rsidRPr="001213F7" w:rsidRDefault="00732BC0">
            <w:r w:rsidRPr="001213F7">
              <w:t>Interest expense</w:t>
            </w:r>
          </w:p>
        </w:tc>
        <w:tc>
          <w:tcPr>
            <w:tcW w:w="794" w:type="dxa"/>
          </w:tcPr>
          <w:p w14:paraId="19FB18B9"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8 130</w:t>
            </w:r>
          </w:p>
        </w:tc>
        <w:tc>
          <w:tcPr>
            <w:tcW w:w="794" w:type="dxa"/>
          </w:tcPr>
          <w:p w14:paraId="50F026DB"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8 703</w:t>
            </w:r>
          </w:p>
        </w:tc>
        <w:tc>
          <w:tcPr>
            <w:tcW w:w="794" w:type="dxa"/>
          </w:tcPr>
          <w:p w14:paraId="280F7B7F"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10 077</w:t>
            </w:r>
          </w:p>
        </w:tc>
        <w:tc>
          <w:tcPr>
            <w:tcW w:w="794" w:type="dxa"/>
          </w:tcPr>
          <w:p w14:paraId="75018C1A"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11 025</w:t>
            </w:r>
          </w:p>
        </w:tc>
        <w:tc>
          <w:tcPr>
            <w:tcW w:w="794" w:type="dxa"/>
          </w:tcPr>
          <w:p w14:paraId="5768C0E6"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12 327</w:t>
            </w:r>
          </w:p>
        </w:tc>
        <w:tc>
          <w:tcPr>
            <w:tcW w:w="794" w:type="dxa"/>
          </w:tcPr>
          <w:p w14:paraId="68BD1058"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13 823</w:t>
            </w:r>
          </w:p>
        </w:tc>
      </w:tr>
      <w:tr w:rsidR="00732BC0" w:rsidRPr="001213F7" w14:paraId="6D7673DA" w14:textId="77777777">
        <w:tc>
          <w:tcPr>
            <w:cnfStyle w:val="001000000000" w:firstRow="0" w:lastRow="0" w:firstColumn="1" w:lastColumn="0" w:oddVBand="0" w:evenVBand="0" w:oddHBand="0" w:evenHBand="0" w:firstRowFirstColumn="0" w:firstRowLastColumn="0" w:lastRowFirstColumn="0" w:lastRowLastColumn="0"/>
            <w:tcW w:w="2946" w:type="dxa"/>
          </w:tcPr>
          <w:p w14:paraId="139FFBB5" w14:textId="77777777" w:rsidR="00732BC0" w:rsidRPr="001213F7" w:rsidRDefault="00732BC0">
            <w:r w:rsidRPr="001213F7">
              <w:t>Grant expense</w:t>
            </w:r>
          </w:p>
        </w:tc>
        <w:tc>
          <w:tcPr>
            <w:tcW w:w="794" w:type="dxa"/>
          </w:tcPr>
          <w:p w14:paraId="7B8817BB"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15 045</w:t>
            </w:r>
          </w:p>
        </w:tc>
        <w:tc>
          <w:tcPr>
            <w:tcW w:w="794" w:type="dxa"/>
          </w:tcPr>
          <w:p w14:paraId="2F035DFE"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16 042</w:t>
            </w:r>
          </w:p>
        </w:tc>
        <w:tc>
          <w:tcPr>
            <w:tcW w:w="794" w:type="dxa"/>
          </w:tcPr>
          <w:p w14:paraId="2F3992E5"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17 443</w:t>
            </w:r>
          </w:p>
        </w:tc>
        <w:tc>
          <w:tcPr>
            <w:tcW w:w="794" w:type="dxa"/>
          </w:tcPr>
          <w:p w14:paraId="4EC528D1"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16 700</w:t>
            </w:r>
          </w:p>
        </w:tc>
        <w:tc>
          <w:tcPr>
            <w:tcW w:w="794" w:type="dxa"/>
          </w:tcPr>
          <w:p w14:paraId="7CBBBAA8"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17 024</w:t>
            </w:r>
          </w:p>
        </w:tc>
        <w:tc>
          <w:tcPr>
            <w:tcW w:w="794" w:type="dxa"/>
          </w:tcPr>
          <w:p w14:paraId="48F4ABFA"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17 463</w:t>
            </w:r>
          </w:p>
        </w:tc>
      </w:tr>
      <w:tr w:rsidR="00732BC0" w:rsidRPr="001213F7" w14:paraId="160174FA" w14:textId="77777777">
        <w:tc>
          <w:tcPr>
            <w:cnfStyle w:val="001000000000" w:firstRow="0" w:lastRow="0" w:firstColumn="1" w:lastColumn="0" w:oddVBand="0" w:evenVBand="0" w:oddHBand="0" w:evenHBand="0" w:firstRowFirstColumn="0" w:firstRowLastColumn="0" w:lastRowFirstColumn="0" w:lastRowLastColumn="0"/>
            <w:tcW w:w="2946" w:type="dxa"/>
          </w:tcPr>
          <w:p w14:paraId="744770D2" w14:textId="77777777" w:rsidR="00732BC0" w:rsidRPr="001213F7" w:rsidRDefault="00732BC0">
            <w:r w:rsidRPr="001213F7">
              <w:t>Other operating expenses</w:t>
            </w:r>
          </w:p>
        </w:tc>
        <w:tc>
          <w:tcPr>
            <w:tcW w:w="794" w:type="dxa"/>
          </w:tcPr>
          <w:p w14:paraId="73C02797"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45 793</w:t>
            </w:r>
          </w:p>
        </w:tc>
        <w:tc>
          <w:tcPr>
            <w:tcW w:w="794" w:type="dxa"/>
          </w:tcPr>
          <w:p w14:paraId="2DBBBD13"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50 285</w:t>
            </w:r>
          </w:p>
        </w:tc>
        <w:tc>
          <w:tcPr>
            <w:tcW w:w="794" w:type="dxa"/>
          </w:tcPr>
          <w:p w14:paraId="16514710"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51 106</w:t>
            </w:r>
          </w:p>
        </w:tc>
        <w:tc>
          <w:tcPr>
            <w:tcW w:w="794" w:type="dxa"/>
          </w:tcPr>
          <w:p w14:paraId="471FFD64"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50 482</w:t>
            </w:r>
          </w:p>
        </w:tc>
        <w:tc>
          <w:tcPr>
            <w:tcW w:w="794" w:type="dxa"/>
          </w:tcPr>
          <w:p w14:paraId="3148B13B"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52 639</w:t>
            </w:r>
          </w:p>
        </w:tc>
        <w:tc>
          <w:tcPr>
            <w:tcW w:w="794" w:type="dxa"/>
          </w:tcPr>
          <w:p w14:paraId="4CC3FE59"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55 321</w:t>
            </w:r>
          </w:p>
        </w:tc>
      </w:tr>
      <w:tr w:rsidR="00732BC0" w:rsidRPr="001213F7" w14:paraId="6428D954" w14:textId="77777777">
        <w:tc>
          <w:tcPr>
            <w:cnfStyle w:val="001000000000" w:firstRow="0" w:lastRow="0" w:firstColumn="1" w:lastColumn="0" w:oddVBand="0" w:evenVBand="0" w:oddHBand="0" w:evenHBand="0" w:firstRowFirstColumn="0" w:firstRowLastColumn="0" w:lastRowFirstColumn="0" w:lastRowLastColumn="0"/>
            <w:tcW w:w="2946" w:type="dxa"/>
            <w:tcBorders>
              <w:top w:val="single" w:sz="6" w:space="0" w:color="auto"/>
            </w:tcBorders>
          </w:tcPr>
          <w:p w14:paraId="50F149BA" w14:textId="77777777" w:rsidR="00732BC0" w:rsidRPr="001213F7" w:rsidRDefault="00732BC0">
            <w:r w:rsidRPr="001213F7">
              <w:rPr>
                <w:b/>
              </w:rPr>
              <w:t>Total expenses from transactions</w:t>
            </w:r>
          </w:p>
        </w:tc>
        <w:tc>
          <w:tcPr>
            <w:tcW w:w="794" w:type="dxa"/>
            <w:tcBorders>
              <w:top w:val="single" w:sz="6" w:space="0" w:color="auto"/>
            </w:tcBorders>
          </w:tcPr>
          <w:p w14:paraId="53A6332B"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rPr>
                <w:b/>
              </w:rPr>
              <w:t>123 968</w:t>
            </w:r>
          </w:p>
        </w:tc>
        <w:tc>
          <w:tcPr>
            <w:tcW w:w="794" w:type="dxa"/>
            <w:tcBorders>
              <w:top w:val="single" w:sz="6" w:space="0" w:color="auto"/>
            </w:tcBorders>
          </w:tcPr>
          <w:p w14:paraId="2A05E738"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rPr>
                <w:b/>
              </w:rPr>
              <w:t>134 393</w:t>
            </w:r>
          </w:p>
        </w:tc>
        <w:tc>
          <w:tcPr>
            <w:tcW w:w="794" w:type="dxa"/>
            <w:tcBorders>
              <w:top w:val="single" w:sz="6" w:space="0" w:color="auto"/>
            </w:tcBorders>
          </w:tcPr>
          <w:p w14:paraId="3F8406B7"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rPr>
                <w:b/>
              </w:rPr>
              <w:t>139 225</w:t>
            </w:r>
          </w:p>
        </w:tc>
        <w:tc>
          <w:tcPr>
            <w:tcW w:w="794" w:type="dxa"/>
            <w:tcBorders>
              <w:top w:val="single" w:sz="6" w:space="0" w:color="auto"/>
            </w:tcBorders>
          </w:tcPr>
          <w:p w14:paraId="47027D3C"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rPr>
                <w:b/>
              </w:rPr>
              <w:t>140 925</w:t>
            </w:r>
          </w:p>
        </w:tc>
        <w:tc>
          <w:tcPr>
            <w:tcW w:w="794" w:type="dxa"/>
            <w:tcBorders>
              <w:top w:val="single" w:sz="6" w:space="0" w:color="auto"/>
            </w:tcBorders>
          </w:tcPr>
          <w:p w14:paraId="458B5012"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rPr>
                <w:b/>
              </w:rPr>
              <w:t>146 850</w:t>
            </w:r>
          </w:p>
        </w:tc>
        <w:tc>
          <w:tcPr>
            <w:tcW w:w="794" w:type="dxa"/>
            <w:tcBorders>
              <w:top w:val="single" w:sz="6" w:space="0" w:color="auto"/>
            </w:tcBorders>
          </w:tcPr>
          <w:p w14:paraId="0C8BA440"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rPr>
                <w:b/>
              </w:rPr>
              <w:t>153 369</w:t>
            </w:r>
          </w:p>
        </w:tc>
      </w:tr>
      <w:tr w:rsidR="00732BC0" w:rsidRPr="001213F7" w14:paraId="023525F6" w14:textId="77777777">
        <w:tc>
          <w:tcPr>
            <w:cnfStyle w:val="001000000000" w:firstRow="0" w:lastRow="0" w:firstColumn="1" w:lastColumn="0" w:oddVBand="0" w:evenVBand="0" w:oddHBand="0" w:evenHBand="0" w:firstRowFirstColumn="0" w:firstRowLastColumn="0" w:lastRowFirstColumn="0" w:lastRowLastColumn="0"/>
            <w:tcW w:w="2946" w:type="dxa"/>
          </w:tcPr>
          <w:p w14:paraId="0E26608F" w14:textId="77777777" w:rsidR="00732BC0" w:rsidRPr="001213F7" w:rsidRDefault="00732BC0">
            <w:r w:rsidRPr="001213F7">
              <w:rPr>
                <w:i/>
              </w:rPr>
              <w:t>per cent change</w:t>
            </w:r>
          </w:p>
        </w:tc>
        <w:tc>
          <w:tcPr>
            <w:tcW w:w="794" w:type="dxa"/>
          </w:tcPr>
          <w:p w14:paraId="7152F6C8"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rPr>
                <w:i/>
              </w:rPr>
              <w:t>6.8</w:t>
            </w:r>
          </w:p>
        </w:tc>
        <w:tc>
          <w:tcPr>
            <w:tcW w:w="794" w:type="dxa"/>
          </w:tcPr>
          <w:p w14:paraId="16D256A3"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rPr>
                <w:i/>
              </w:rPr>
              <w:t>8.4</w:t>
            </w:r>
          </w:p>
        </w:tc>
        <w:tc>
          <w:tcPr>
            <w:tcW w:w="794" w:type="dxa"/>
          </w:tcPr>
          <w:p w14:paraId="1E5267FC"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rPr>
                <w:i/>
              </w:rPr>
              <w:t>3.6</w:t>
            </w:r>
          </w:p>
        </w:tc>
        <w:tc>
          <w:tcPr>
            <w:tcW w:w="794" w:type="dxa"/>
          </w:tcPr>
          <w:p w14:paraId="5A6BEDEF"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rPr>
                <w:i/>
              </w:rPr>
              <w:t>1.2</w:t>
            </w:r>
          </w:p>
        </w:tc>
        <w:tc>
          <w:tcPr>
            <w:tcW w:w="794" w:type="dxa"/>
          </w:tcPr>
          <w:p w14:paraId="7993DD49"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rPr>
                <w:i/>
              </w:rPr>
              <w:t>4.2</w:t>
            </w:r>
          </w:p>
        </w:tc>
        <w:tc>
          <w:tcPr>
            <w:tcW w:w="794" w:type="dxa"/>
          </w:tcPr>
          <w:p w14:paraId="389D3633"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rPr>
                <w:i/>
              </w:rPr>
              <w:t>4.4</w:t>
            </w:r>
          </w:p>
        </w:tc>
      </w:tr>
      <w:tr w:rsidR="00732BC0" w:rsidRPr="001213F7" w14:paraId="67C4F0CF" w14:textId="77777777">
        <w:trPr>
          <w:trHeight w:hRule="exact" w:val="113"/>
        </w:trPr>
        <w:tc>
          <w:tcPr>
            <w:cnfStyle w:val="001000000000" w:firstRow="0" w:lastRow="0" w:firstColumn="1" w:lastColumn="0" w:oddVBand="0" w:evenVBand="0" w:oddHBand="0" w:evenHBand="0" w:firstRowFirstColumn="0" w:firstRowLastColumn="0" w:lastRowFirstColumn="0" w:lastRowLastColumn="0"/>
            <w:tcW w:w="2946" w:type="dxa"/>
            <w:tcBorders>
              <w:bottom w:val="single" w:sz="6" w:space="0" w:color="auto"/>
            </w:tcBorders>
          </w:tcPr>
          <w:p w14:paraId="4BFE0344" w14:textId="77777777" w:rsidR="00732BC0" w:rsidRPr="001213F7" w:rsidRDefault="00732BC0"/>
        </w:tc>
        <w:tc>
          <w:tcPr>
            <w:tcW w:w="794" w:type="dxa"/>
            <w:tcBorders>
              <w:bottom w:val="single" w:sz="6" w:space="0" w:color="auto"/>
            </w:tcBorders>
          </w:tcPr>
          <w:p w14:paraId="6AD02AAF"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p>
        </w:tc>
        <w:tc>
          <w:tcPr>
            <w:tcW w:w="794" w:type="dxa"/>
            <w:tcBorders>
              <w:bottom w:val="single" w:sz="6" w:space="0" w:color="auto"/>
            </w:tcBorders>
          </w:tcPr>
          <w:p w14:paraId="4F026A64"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p>
        </w:tc>
        <w:tc>
          <w:tcPr>
            <w:tcW w:w="794" w:type="dxa"/>
            <w:tcBorders>
              <w:bottom w:val="single" w:sz="6" w:space="0" w:color="auto"/>
            </w:tcBorders>
          </w:tcPr>
          <w:p w14:paraId="2AB8710C"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p>
        </w:tc>
        <w:tc>
          <w:tcPr>
            <w:tcW w:w="794" w:type="dxa"/>
            <w:tcBorders>
              <w:bottom w:val="single" w:sz="6" w:space="0" w:color="auto"/>
            </w:tcBorders>
          </w:tcPr>
          <w:p w14:paraId="00D5905C"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p>
        </w:tc>
        <w:tc>
          <w:tcPr>
            <w:tcW w:w="794" w:type="dxa"/>
            <w:tcBorders>
              <w:bottom w:val="single" w:sz="6" w:space="0" w:color="auto"/>
            </w:tcBorders>
          </w:tcPr>
          <w:p w14:paraId="1C0FD957"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p>
        </w:tc>
        <w:tc>
          <w:tcPr>
            <w:tcW w:w="794" w:type="dxa"/>
            <w:tcBorders>
              <w:bottom w:val="single" w:sz="6" w:space="0" w:color="auto"/>
            </w:tcBorders>
          </w:tcPr>
          <w:p w14:paraId="27118FC3"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p>
        </w:tc>
      </w:tr>
      <w:tr w:rsidR="00732BC0" w:rsidRPr="001213F7" w14:paraId="41429F74" w14:textId="77777777">
        <w:tc>
          <w:tcPr>
            <w:cnfStyle w:val="001000000000" w:firstRow="0" w:lastRow="0" w:firstColumn="1" w:lastColumn="0" w:oddVBand="0" w:evenVBand="0" w:oddHBand="0" w:evenHBand="0" w:firstRowFirstColumn="0" w:firstRowLastColumn="0" w:lastRowFirstColumn="0" w:lastRowLastColumn="0"/>
            <w:tcW w:w="2946" w:type="dxa"/>
            <w:tcBorders>
              <w:top w:val="single" w:sz="6" w:space="0" w:color="auto"/>
              <w:bottom w:val="single" w:sz="12" w:space="0" w:color="auto"/>
            </w:tcBorders>
          </w:tcPr>
          <w:p w14:paraId="095729E7" w14:textId="77777777" w:rsidR="00732BC0" w:rsidRPr="001213F7" w:rsidRDefault="00732BC0">
            <w:r w:rsidRPr="001213F7">
              <w:rPr>
                <w:b/>
              </w:rPr>
              <w:t>Net result from transactions – net operating balance</w:t>
            </w:r>
          </w:p>
        </w:tc>
        <w:tc>
          <w:tcPr>
            <w:tcW w:w="794" w:type="dxa"/>
            <w:tcBorders>
              <w:top w:val="single" w:sz="6" w:space="0" w:color="auto"/>
              <w:bottom w:val="single" w:sz="12" w:space="0" w:color="auto"/>
            </w:tcBorders>
          </w:tcPr>
          <w:p w14:paraId="6FEF45E7"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rPr>
                <w:b/>
              </w:rPr>
              <w:t>(6 177)</w:t>
            </w:r>
          </w:p>
        </w:tc>
        <w:tc>
          <w:tcPr>
            <w:tcW w:w="794" w:type="dxa"/>
            <w:tcBorders>
              <w:top w:val="single" w:sz="6" w:space="0" w:color="auto"/>
              <w:bottom w:val="single" w:sz="12" w:space="0" w:color="auto"/>
            </w:tcBorders>
          </w:tcPr>
          <w:p w14:paraId="49599798"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rPr>
                <w:b/>
              </w:rPr>
              <w:t>(4 798)</w:t>
            </w:r>
          </w:p>
        </w:tc>
        <w:tc>
          <w:tcPr>
            <w:tcW w:w="794" w:type="dxa"/>
            <w:tcBorders>
              <w:top w:val="single" w:sz="6" w:space="0" w:color="auto"/>
              <w:bottom w:val="single" w:sz="12" w:space="0" w:color="auto"/>
            </w:tcBorders>
          </w:tcPr>
          <w:p w14:paraId="0D19729F"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rPr>
                <w:b/>
              </w:rPr>
              <w:t>(5 717)</w:t>
            </w:r>
          </w:p>
        </w:tc>
        <w:tc>
          <w:tcPr>
            <w:tcW w:w="794" w:type="dxa"/>
            <w:tcBorders>
              <w:top w:val="single" w:sz="6" w:space="0" w:color="auto"/>
              <w:bottom w:val="single" w:sz="12" w:space="0" w:color="auto"/>
            </w:tcBorders>
          </w:tcPr>
          <w:p w14:paraId="244EED6B"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rPr>
                <w:b/>
              </w:rPr>
              <w:t>(3 646)</w:t>
            </w:r>
          </w:p>
        </w:tc>
        <w:tc>
          <w:tcPr>
            <w:tcW w:w="794" w:type="dxa"/>
            <w:tcBorders>
              <w:top w:val="single" w:sz="6" w:space="0" w:color="auto"/>
              <w:bottom w:val="single" w:sz="12" w:space="0" w:color="auto"/>
            </w:tcBorders>
          </w:tcPr>
          <w:p w14:paraId="02F6E96F"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rPr>
                <w:b/>
              </w:rPr>
              <w:t>(4 736)</w:t>
            </w:r>
          </w:p>
        </w:tc>
        <w:tc>
          <w:tcPr>
            <w:tcW w:w="794" w:type="dxa"/>
            <w:tcBorders>
              <w:top w:val="single" w:sz="6" w:space="0" w:color="auto"/>
              <w:bottom w:val="single" w:sz="12" w:space="0" w:color="auto"/>
            </w:tcBorders>
          </w:tcPr>
          <w:p w14:paraId="5565E658"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rPr>
                <w:b/>
              </w:rPr>
              <w:t>(5 124)</w:t>
            </w:r>
          </w:p>
        </w:tc>
      </w:tr>
      <w:tr w:rsidR="00732BC0" w:rsidRPr="001213F7" w14:paraId="406AABC0" w14:textId="77777777">
        <w:tc>
          <w:tcPr>
            <w:cnfStyle w:val="001000000000" w:firstRow="0" w:lastRow="0" w:firstColumn="1" w:lastColumn="0" w:oddVBand="0" w:evenVBand="0" w:oddHBand="0" w:evenHBand="0" w:firstRowFirstColumn="0" w:firstRowLastColumn="0" w:lastRowFirstColumn="0" w:lastRowLastColumn="0"/>
            <w:tcW w:w="2946" w:type="dxa"/>
            <w:tcBorders>
              <w:top w:val="single" w:sz="6" w:space="0" w:color="auto"/>
              <w:bottom w:val="single" w:sz="6" w:space="0" w:color="auto"/>
            </w:tcBorders>
          </w:tcPr>
          <w:p w14:paraId="33EBFBAF" w14:textId="77777777" w:rsidR="00732BC0" w:rsidRPr="001213F7" w:rsidRDefault="00732BC0">
            <w:r w:rsidRPr="001213F7">
              <w:t>Total other economic flows included in net result</w:t>
            </w:r>
          </w:p>
        </w:tc>
        <w:tc>
          <w:tcPr>
            <w:tcW w:w="794" w:type="dxa"/>
            <w:tcBorders>
              <w:top w:val="single" w:sz="6" w:space="0" w:color="auto"/>
              <w:bottom w:val="single" w:sz="6" w:space="0" w:color="auto"/>
            </w:tcBorders>
          </w:tcPr>
          <w:p w14:paraId="7F233A8B"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(1 520)</w:t>
            </w:r>
          </w:p>
        </w:tc>
        <w:tc>
          <w:tcPr>
            <w:tcW w:w="794" w:type="dxa"/>
            <w:tcBorders>
              <w:top w:val="single" w:sz="6" w:space="0" w:color="auto"/>
              <w:bottom w:val="single" w:sz="6" w:space="0" w:color="auto"/>
            </w:tcBorders>
          </w:tcPr>
          <w:p w14:paraId="0589DBC3"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10 047</w:t>
            </w:r>
          </w:p>
        </w:tc>
        <w:tc>
          <w:tcPr>
            <w:tcW w:w="794" w:type="dxa"/>
            <w:tcBorders>
              <w:top w:val="single" w:sz="6" w:space="0" w:color="auto"/>
              <w:bottom w:val="single" w:sz="6" w:space="0" w:color="auto"/>
            </w:tcBorders>
          </w:tcPr>
          <w:p w14:paraId="14C085A9"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2 213</w:t>
            </w:r>
          </w:p>
        </w:tc>
        <w:tc>
          <w:tcPr>
            <w:tcW w:w="794" w:type="dxa"/>
            <w:tcBorders>
              <w:top w:val="single" w:sz="6" w:space="0" w:color="auto"/>
              <w:bottom w:val="single" w:sz="6" w:space="0" w:color="auto"/>
            </w:tcBorders>
          </w:tcPr>
          <w:p w14:paraId="38D45240"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2 788</w:t>
            </w:r>
          </w:p>
        </w:tc>
        <w:tc>
          <w:tcPr>
            <w:tcW w:w="794" w:type="dxa"/>
            <w:tcBorders>
              <w:top w:val="single" w:sz="6" w:space="0" w:color="auto"/>
              <w:bottom w:val="single" w:sz="6" w:space="0" w:color="auto"/>
            </w:tcBorders>
          </w:tcPr>
          <w:p w14:paraId="44644162"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2 773</w:t>
            </w:r>
          </w:p>
        </w:tc>
        <w:tc>
          <w:tcPr>
            <w:tcW w:w="794" w:type="dxa"/>
            <w:tcBorders>
              <w:top w:val="single" w:sz="6" w:space="0" w:color="auto"/>
              <w:bottom w:val="single" w:sz="6" w:space="0" w:color="auto"/>
            </w:tcBorders>
          </w:tcPr>
          <w:p w14:paraId="552D282A"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3 077</w:t>
            </w:r>
          </w:p>
        </w:tc>
      </w:tr>
      <w:tr w:rsidR="00732BC0" w:rsidRPr="001213F7" w14:paraId="715790C9" w14:textId="77777777">
        <w:tc>
          <w:tcPr>
            <w:cnfStyle w:val="001000000000" w:firstRow="0" w:lastRow="0" w:firstColumn="1" w:lastColumn="0" w:oddVBand="0" w:evenVBand="0" w:oddHBand="0" w:evenHBand="0" w:firstRowFirstColumn="0" w:firstRowLastColumn="0" w:lastRowFirstColumn="0" w:lastRowLastColumn="0"/>
            <w:tcW w:w="2946" w:type="dxa"/>
            <w:tcBorders>
              <w:top w:val="single" w:sz="6" w:space="0" w:color="auto"/>
              <w:bottom w:val="single" w:sz="12" w:space="0" w:color="auto"/>
            </w:tcBorders>
          </w:tcPr>
          <w:p w14:paraId="574BAC15" w14:textId="77777777" w:rsidR="00732BC0" w:rsidRPr="001213F7" w:rsidRDefault="00732BC0">
            <w:r w:rsidRPr="001213F7">
              <w:rPr>
                <w:b/>
              </w:rPr>
              <w:t>Net result</w:t>
            </w:r>
          </w:p>
        </w:tc>
        <w:tc>
          <w:tcPr>
            <w:tcW w:w="794" w:type="dxa"/>
            <w:tcBorders>
              <w:top w:val="single" w:sz="6" w:space="0" w:color="auto"/>
              <w:bottom w:val="single" w:sz="12" w:space="0" w:color="auto"/>
            </w:tcBorders>
          </w:tcPr>
          <w:p w14:paraId="0D157879"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rPr>
                <w:b/>
              </w:rPr>
              <w:t>(7 696)</w:t>
            </w:r>
          </w:p>
        </w:tc>
        <w:tc>
          <w:tcPr>
            <w:tcW w:w="794" w:type="dxa"/>
            <w:tcBorders>
              <w:top w:val="single" w:sz="6" w:space="0" w:color="auto"/>
              <w:bottom w:val="single" w:sz="12" w:space="0" w:color="auto"/>
            </w:tcBorders>
          </w:tcPr>
          <w:p w14:paraId="0BBB8171"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rPr>
                <w:b/>
              </w:rPr>
              <w:t>5 248</w:t>
            </w:r>
          </w:p>
        </w:tc>
        <w:tc>
          <w:tcPr>
            <w:tcW w:w="794" w:type="dxa"/>
            <w:tcBorders>
              <w:top w:val="single" w:sz="6" w:space="0" w:color="auto"/>
              <w:bottom w:val="single" w:sz="12" w:space="0" w:color="auto"/>
            </w:tcBorders>
          </w:tcPr>
          <w:p w14:paraId="33618A78"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rPr>
                <w:b/>
              </w:rPr>
              <w:t>(3 503)</w:t>
            </w:r>
          </w:p>
        </w:tc>
        <w:tc>
          <w:tcPr>
            <w:tcW w:w="794" w:type="dxa"/>
            <w:tcBorders>
              <w:top w:val="single" w:sz="6" w:space="0" w:color="auto"/>
              <w:bottom w:val="single" w:sz="12" w:space="0" w:color="auto"/>
            </w:tcBorders>
          </w:tcPr>
          <w:p w14:paraId="4009DCD5"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rPr>
                <w:b/>
              </w:rPr>
              <w:t>(857)</w:t>
            </w:r>
          </w:p>
        </w:tc>
        <w:tc>
          <w:tcPr>
            <w:tcW w:w="794" w:type="dxa"/>
            <w:tcBorders>
              <w:top w:val="single" w:sz="6" w:space="0" w:color="auto"/>
              <w:bottom w:val="single" w:sz="12" w:space="0" w:color="auto"/>
            </w:tcBorders>
          </w:tcPr>
          <w:p w14:paraId="5569BCE8"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rPr>
                <w:b/>
              </w:rPr>
              <w:t>(1 963)</w:t>
            </w:r>
          </w:p>
        </w:tc>
        <w:tc>
          <w:tcPr>
            <w:tcW w:w="794" w:type="dxa"/>
            <w:tcBorders>
              <w:top w:val="single" w:sz="6" w:space="0" w:color="auto"/>
              <w:bottom w:val="single" w:sz="12" w:space="0" w:color="auto"/>
            </w:tcBorders>
          </w:tcPr>
          <w:p w14:paraId="5480EED7"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rPr>
                <w:b/>
              </w:rPr>
              <w:t>(2 047)</w:t>
            </w:r>
          </w:p>
        </w:tc>
      </w:tr>
    </w:tbl>
    <w:p w14:paraId="475A5153" w14:textId="77777777" w:rsidR="00732BC0" w:rsidRPr="001213F7" w:rsidRDefault="00732BC0">
      <w:pPr>
        <w:pStyle w:val="Note"/>
        <w:ind w:left="0" w:firstLine="0"/>
      </w:pPr>
      <w:r w:rsidRPr="001213F7">
        <w:t>Note:</w:t>
      </w:r>
    </w:p>
    <w:p w14:paraId="6EEEC2FA" w14:textId="77777777" w:rsidR="00732BC0" w:rsidRPr="001213F7" w:rsidRDefault="00732BC0">
      <w:pPr>
        <w:pStyle w:val="Note"/>
      </w:pPr>
      <w:r w:rsidRPr="001213F7">
        <w:t>(a)</w:t>
      </w:r>
      <w:r w:rsidRPr="001213F7">
        <w:tab/>
        <w:t xml:space="preserve">This is a summary operating statement. The comprehensive operating statement is presented in Budget Paper No. 5, Chapter 2 </w:t>
      </w:r>
      <w:r w:rsidRPr="001213F7">
        <w:rPr>
          <w:i w:val="0"/>
        </w:rPr>
        <w:t>Supplementary uniform presentation framework tables</w:t>
      </w:r>
      <w:r w:rsidRPr="001213F7">
        <w:t xml:space="preserve">. </w:t>
      </w:r>
    </w:p>
    <w:p w14:paraId="58BAEB41" w14:textId="77777777" w:rsidR="00732BC0" w:rsidRPr="001213F7" w:rsidRDefault="00732BC0">
      <w:pPr>
        <w:pageBreakBefore/>
        <w:ind w:right="-86"/>
      </w:pPr>
      <w:r w:rsidRPr="001213F7">
        <w:lastRenderedPageBreak/>
        <w:t>Table 5.10 shows that the State’s net assets are projected to increase from $299 billion at 30 June 2027 to $334.7 billion at 30 June 2030. While total assets are expected to increase by $86.3 billion over the budget and forward estimates, this is partly offset by a $50.5 billion increase in liabilities.</w:t>
      </w:r>
    </w:p>
    <w:p w14:paraId="15DFEEF6" w14:textId="641C983D" w:rsidR="00732BC0" w:rsidRPr="001213F7" w:rsidRDefault="00732BC0">
      <w:pPr>
        <w:keepNext/>
        <w:ind w:right="-86"/>
      </w:pPr>
      <w:r w:rsidRPr="001213F7">
        <w:t>The State’s financial assets are estimated to increase from $138.3 billion at 30 June 2027 to $159.3 billion at 30 June 2030, while non-financial assets, including infrastructure, are estimated to increase from $552.5 billion to $617.8 billion over the same period. Total liabilities are projected to increase from $391.8 billion at 30 June 2027 to $442.4 billion in</w:t>
      </w:r>
      <w:r w:rsidR="00D4135B">
        <w:t> </w:t>
      </w:r>
      <w:r w:rsidRPr="001213F7">
        <w:t>2029-30, largely due to borrowings increasing from $257.2 billion to $298.9 billion over this period.</w:t>
      </w:r>
    </w:p>
    <w:p w14:paraId="4ADF1EBF" w14:textId="77777777" w:rsidR="00732BC0" w:rsidRPr="001213F7" w:rsidRDefault="00732BC0">
      <w:pPr>
        <w:pStyle w:val="TableHeading"/>
      </w:pPr>
      <w:r w:rsidRPr="001213F7">
        <w:t xml:space="preserve">Table 5.10: </w:t>
      </w:r>
      <w:r w:rsidRPr="001213F7">
        <w:tab/>
        <w:t>Financial position of the State of Victoria</w:t>
      </w:r>
      <w:r w:rsidRPr="001213F7">
        <w:rPr>
          <w:vertAlign w:val="superscript"/>
        </w:rPr>
        <w:tab/>
      </w:r>
      <w:r w:rsidRPr="001213F7">
        <w:t>($ billion)</w:t>
      </w:r>
    </w:p>
    <w:tbl>
      <w:tblPr>
        <w:tblStyle w:val="DTFTableNumeric"/>
        <w:tblW w:w="7710" w:type="dxa"/>
        <w:tblLayout w:type="fixed"/>
        <w:tblLook w:val="06A0" w:firstRow="1" w:lastRow="0" w:firstColumn="1" w:lastColumn="0" w:noHBand="1" w:noVBand="1"/>
        <w:tblDescription w:val="Type:DtfTable|Workbook:https://vicgov.sharepoint.com/sites/VG002735/BP2/Spreadsheets/Chapter%205%20-%20CRA_FAL/SRIMS_BP2_Chap5_PNFC_PFC_SoV.xlsx|Table:Summary_BS_SoV|TableGroup:Chapter 5"/>
      </w:tblPr>
      <w:tblGrid>
        <w:gridCol w:w="2946"/>
        <w:gridCol w:w="794"/>
        <w:gridCol w:w="794"/>
        <w:gridCol w:w="794"/>
        <w:gridCol w:w="794"/>
        <w:gridCol w:w="794"/>
        <w:gridCol w:w="794"/>
      </w:tblGrid>
      <w:tr w:rsidR="00732BC0" w:rsidRPr="001213F7" w14:paraId="16EEABC7"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946" w:type="dxa"/>
          </w:tcPr>
          <w:p w14:paraId="6CAB54E2" w14:textId="77777777" w:rsidR="00732BC0" w:rsidRPr="001213F7" w:rsidRDefault="00732BC0">
            <w:pPr>
              <w:keepNext/>
            </w:pPr>
          </w:p>
        </w:tc>
        <w:tc>
          <w:tcPr>
            <w:tcW w:w="794" w:type="dxa"/>
          </w:tcPr>
          <w:p w14:paraId="03E45798" w14:textId="77777777" w:rsidR="00732BC0" w:rsidRPr="001213F7" w:rsidRDefault="00732BC0">
            <w:pPr>
              <w:keepNext/>
              <w:cnfStyle w:val="100000000000" w:firstRow="1" w:lastRow="0" w:firstColumn="0" w:lastColumn="0" w:oddVBand="0" w:evenVBand="0" w:oddHBand="0" w:evenHBand="0" w:firstRowFirstColumn="0" w:firstRowLastColumn="0" w:lastRowFirstColumn="0" w:lastRowLastColumn="0"/>
            </w:pPr>
            <w:r w:rsidRPr="001213F7">
              <w:t>2024</w:t>
            </w:r>
            <w:r w:rsidRPr="001213F7">
              <w:noBreakHyphen/>
              <w:t>25</w:t>
            </w:r>
          </w:p>
        </w:tc>
        <w:tc>
          <w:tcPr>
            <w:tcW w:w="794" w:type="dxa"/>
          </w:tcPr>
          <w:p w14:paraId="6A010E80" w14:textId="77777777" w:rsidR="00732BC0" w:rsidRPr="001213F7" w:rsidRDefault="00732BC0">
            <w:pPr>
              <w:keepNext/>
              <w:cnfStyle w:val="100000000000" w:firstRow="1" w:lastRow="0" w:firstColumn="0" w:lastColumn="0" w:oddVBand="0" w:evenVBand="0" w:oddHBand="0" w:evenHBand="0" w:firstRowFirstColumn="0" w:firstRowLastColumn="0" w:lastRowFirstColumn="0" w:lastRowLastColumn="0"/>
            </w:pPr>
            <w:r w:rsidRPr="001213F7">
              <w:t>2025</w:t>
            </w:r>
            <w:r w:rsidRPr="001213F7">
              <w:noBreakHyphen/>
              <w:t>26</w:t>
            </w:r>
          </w:p>
        </w:tc>
        <w:tc>
          <w:tcPr>
            <w:tcW w:w="794" w:type="dxa"/>
          </w:tcPr>
          <w:p w14:paraId="45962BC0" w14:textId="77777777" w:rsidR="00732BC0" w:rsidRPr="001213F7" w:rsidRDefault="00732BC0">
            <w:pPr>
              <w:keepNext/>
              <w:cnfStyle w:val="100000000000" w:firstRow="1" w:lastRow="0" w:firstColumn="0" w:lastColumn="0" w:oddVBand="0" w:evenVBand="0" w:oddHBand="0" w:evenHBand="0" w:firstRowFirstColumn="0" w:firstRowLastColumn="0" w:lastRowFirstColumn="0" w:lastRowLastColumn="0"/>
            </w:pPr>
            <w:r w:rsidRPr="001213F7">
              <w:t>2026</w:t>
            </w:r>
            <w:r w:rsidRPr="001213F7">
              <w:noBreakHyphen/>
              <w:t>27</w:t>
            </w:r>
          </w:p>
        </w:tc>
        <w:tc>
          <w:tcPr>
            <w:tcW w:w="794" w:type="dxa"/>
          </w:tcPr>
          <w:p w14:paraId="2D194A21" w14:textId="77777777" w:rsidR="00732BC0" w:rsidRPr="001213F7" w:rsidRDefault="00732BC0">
            <w:pPr>
              <w:keepNext/>
              <w:cnfStyle w:val="100000000000" w:firstRow="1" w:lastRow="0" w:firstColumn="0" w:lastColumn="0" w:oddVBand="0" w:evenVBand="0" w:oddHBand="0" w:evenHBand="0" w:firstRowFirstColumn="0" w:firstRowLastColumn="0" w:lastRowFirstColumn="0" w:lastRowLastColumn="0"/>
            </w:pPr>
            <w:r w:rsidRPr="001213F7">
              <w:t>2027</w:t>
            </w:r>
            <w:r w:rsidRPr="001213F7">
              <w:noBreakHyphen/>
              <w:t>28</w:t>
            </w:r>
          </w:p>
        </w:tc>
        <w:tc>
          <w:tcPr>
            <w:tcW w:w="794" w:type="dxa"/>
          </w:tcPr>
          <w:p w14:paraId="3E3DA49D" w14:textId="77777777" w:rsidR="00732BC0" w:rsidRPr="001213F7" w:rsidRDefault="00732BC0">
            <w:pPr>
              <w:keepNext/>
              <w:cnfStyle w:val="100000000000" w:firstRow="1" w:lastRow="0" w:firstColumn="0" w:lastColumn="0" w:oddVBand="0" w:evenVBand="0" w:oddHBand="0" w:evenHBand="0" w:firstRowFirstColumn="0" w:firstRowLastColumn="0" w:lastRowFirstColumn="0" w:lastRowLastColumn="0"/>
            </w:pPr>
            <w:r w:rsidRPr="001213F7">
              <w:t>2028</w:t>
            </w:r>
            <w:r w:rsidRPr="001213F7">
              <w:noBreakHyphen/>
              <w:t>29</w:t>
            </w:r>
          </w:p>
        </w:tc>
        <w:tc>
          <w:tcPr>
            <w:tcW w:w="794" w:type="dxa"/>
          </w:tcPr>
          <w:p w14:paraId="5DE0DF98" w14:textId="77777777" w:rsidR="00732BC0" w:rsidRPr="001213F7" w:rsidRDefault="00732BC0">
            <w:pPr>
              <w:keepNext/>
              <w:cnfStyle w:val="100000000000" w:firstRow="1" w:lastRow="0" w:firstColumn="0" w:lastColumn="0" w:oddVBand="0" w:evenVBand="0" w:oddHBand="0" w:evenHBand="0" w:firstRowFirstColumn="0" w:firstRowLastColumn="0" w:lastRowFirstColumn="0" w:lastRowLastColumn="0"/>
            </w:pPr>
            <w:r w:rsidRPr="001213F7">
              <w:t>2029</w:t>
            </w:r>
            <w:r w:rsidRPr="001213F7">
              <w:noBreakHyphen/>
              <w:t>30</w:t>
            </w:r>
          </w:p>
        </w:tc>
      </w:tr>
      <w:tr w:rsidR="00732BC0" w:rsidRPr="001213F7" w14:paraId="51031954"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946" w:type="dxa"/>
          </w:tcPr>
          <w:p w14:paraId="5D40B7CD" w14:textId="77777777" w:rsidR="00732BC0" w:rsidRPr="001213F7" w:rsidRDefault="00732BC0">
            <w:pPr>
              <w:keepNext/>
            </w:pPr>
          </w:p>
        </w:tc>
        <w:tc>
          <w:tcPr>
            <w:tcW w:w="794" w:type="dxa"/>
          </w:tcPr>
          <w:p w14:paraId="16D80A64" w14:textId="77777777" w:rsidR="00732BC0" w:rsidRPr="001213F7" w:rsidRDefault="00732BC0">
            <w:pPr>
              <w:keepNext/>
              <w:cnfStyle w:val="100000000000" w:firstRow="1" w:lastRow="0" w:firstColumn="0" w:lastColumn="0" w:oddVBand="0" w:evenVBand="0" w:oddHBand="0" w:evenHBand="0" w:firstRowFirstColumn="0" w:firstRowLastColumn="0" w:lastRowFirstColumn="0" w:lastRowLastColumn="0"/>
            </w:pPr>
            <w:r w:rsidRPr="001213F7">
              <w:t>actual</w:t>
            </w:r>
          </w:p>
        </w:tc>
        <w:tc>
          <w:tcPr>
            <w:tcW w:w="794" w:type="dxa"/>
          </w:tcPr>
          <w:p w14:paraId="79136CC6" w14:textId="77777777" w:rsidR="00732BC0" w:rsidRPr="001213F7" w:rsidRDefault="00732BC0">
            <w:pPr>
              <w:keepNext/>
              <w:cnfStyle w:val="100000000000" w:firstRow="1" w:lastRow="0" w:firstColumn="0" w:lastColumn="0" w:oddVBand="0" w:evenVBand="0" w:oddHBand="0" w:evenHBand="0" w:firstRowFirstColumn="0" w:firstRowLastColumn="0" w:lastRowFirstColumn="0" w:lastRowLastColumn="0"/>
            </w:pPr>
            <w:r w:rsidRPr="001213F7">
              <w:t>revised</w:t>
            </w:r>
          </w:p>
        </w:tc>
        <w:tc>
          <w:tcPr>
            <w:tcW w:w="794" w:type="dxa"/>
          </w:tcPr>
          <w:p w14:paraId="7940EEF3" w14:textId="77777777" w:rsidR="00732BC0" w:rsidRPr="001213F7" w:rsidRDefault="00732BC0">
            <w:pPr>
              <w:keepNext/>
              <w:cnfStyle w:val="100000000000" w:firstRow="1" w:lastRow="0" w:firstColumn="0" w:lastColumn="0" w:oddVBand="0" w:evenVBand="0" w:oddHBand="0" w:evenHBand="0" w:firstRowFirstColumn="0" w:firstRowLastColumn="0" w:lastRowFirstColumn="0" w:lastRowLastColumn="0"/>
            </w:pPr>
            <w:r w:rsidRPr="001213F7">
              <w:t>budget</w:t>
            </w:r>
          </w:p>
        </w:tc>
        <w:tc>
          <w:tcPr>
            <w:tcW w:w="794" w:type="dxa"/>
          </w:tcPr>
          <w:p w14:paraId="4B1BC667" w14:textId="77777777" w:rsidR="00732BC0" w:rsidRPr="001213F7" w:rsidRDefault="00732BC0">
            <w:pPr>
              <w:keepNext/>
              <w:cnfStyle w:val="100000000000" w:firstRow="1" w:lastRow="0" w:firstColumn="0" w:lastColumn="0" w:oddVBand="0" w:evenVBand="0" w:oddHBand="0" w:evenHBand="0" w:firstRowFirstColumn="0" w:firstRowLastColumn="0" w:lastRowFirstColumn="0" w:lastRowLastColumn="0"/>
            </w:pPr>
            <w:r w:rsidRPr="001213F7">
              <w:t>estimate</w:t>
            </w:r>
          </w:p>
        </w:tc>
        <w:tc>
          <w:tcPr>
            <w:tcW w:w="794" w:type="dxa"/>
          </w:tcPr>
          <w:p w14:paraId="03974D71" w14:textId="77777777" w:rsidR="00732BC0" w:rsidRPr="001213F7" w:rsidRDefault="00732BC0">
            <w:pPr>
              <w:keepNext/>
              <w:cnfStyle w:val="100000000000" w:firstRow="1" w:lastRow="0" w:firstColumn="0" w:lastColumn="0" w:oddVBand="0" w:evenVBand="0" w:oddHBand="0" w:evenHBand="0" w:firstRowFirstColumn="0" w:firstRowLastColumn="0" w:lastRowFirstColumn="0" w:lastRowLastColumn="0"/>
            </w:pPr>
            <w:r w:rsidRPr="001213F7">
              <w:t>estimate</w:t>
            </w:r>
          </w:p>
        </w:tc>
        <w:tc>
          <w:tcPr>
            <w:tcW w:w="794" w:type="dxa"/>
          </w:tcPr>
          <w:p w14:paraId="5E828A5E" w14:textId="77777777" w:rsidR="00732BC0" w:rsidRPr="001213F7" w:rsidRDefault="00732BC0">
            <w:pPr>
              <w:keepNext/>
              <w:cnfStyle w:val="100000000000" w:firstRow="1" w:lastRow="0" w:firstColumn="0" w:lastColumn="0" w:oddVBand="0" w:evenVBand="0" w:oddHBand="0" w:evenHBand="0" w:firstRowFirstColumn="0" w:firstRowLastColumn="0" w:lastRowFirstColumn="0" w:lastRowLastColumn="0"/>
            </w:pPr>
            <w:r w:rsidRPr="001213F7">
              <w:t>estimate</w:t>
            </w:r>
          </w:p>
        </w:tc>
      </w:tr>
      <w:tr w:rsidR="00732BC0" w:rsidRPr="001213F7" w14:paraId="66583185" w14:textId="77777777">
        <w:tc>
          <w:tcPr>
            <w:cnfStyle w:val="001000000000" w:firstRow="0" w:lastRow="0" w:firstColumn="1" w:lastColumn="0" w:oddVBand="0" w:evenVBand="0" w:oddHBand="0" w:evenHBand="0" w:firstRowFirstColumn="0" w:firstRowLastColumn="0" w:lastRowFirstColumn="0" w:lastRowLastColumn="0"/>
            <w:tcW w:w="2946" w:type="dxa"/>
          </w:tcPr>
          <w:p w14:paraId="7EEF9BE8" w14:textId="77777777" w:rsidR="00732BC0" w:rsidRPr="001213F7" w:rsidRDefault="00732BC0">
            <w:r w:rsidRPr="001213F7">
              <w:rPr>
                <w:b/>
              </w:rPr>
              <w:t>Assets</w:t>
            </w:r>
          </w:p>
        </w:tc>
        <w:tc>
          <w:tcPr>
            <w:tcW w:w="794" w:type="dxa"/>
          </w:tcPr>
          <w:p w14:paraId="493CFECE"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p>
        </w:tc>
        <w:tc>
          <w:tcPr>
            <w:tcW w:w="794" w:type="dxa"/>
          </w:tcPr>
          <w:p w14:paraId="4407F17D"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p>
        </w:tc>
        <w:tc>
          <w:tcPr>
            <w:tcW w:w="794" w:type="dxa"/>
          </w:tcPr>
          <w:p w14:paraId="7FC81B47"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p>
        </w:tc>
        <w:tc>
          <w:tcPr>
            <w:tcW w:w="794" w:type="dxa"/>
          </w:tcPr>
          <w:p w14:paraId="3ACB6EF3"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p>
        </w:tc>
        <w:tc>
          <w:tcPr>
            <w:tcW w:w="794" w:type="dxa"/>
          </w:tcPr>
          <w:p w14:paraId="296C395E"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p>
        </w:tc>
        <w:tc>
          <w:tcPr>
            <w:tcW w:w="794" w:type="dxa"/>
          </w:tcPr>
          <w:p w14:paraId="37E1A3DD"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p>
        </w:tc>
      </w:tr>
      <w:tr w:rsidR="00732BC0" w:rsidRPr="001213F7" w14:paraId="7292DB2C" w14:textId="77777777">
        <w:tc>
          <w:tcPr>
            <w:cnfStyle w:val="001000000000" w:firstRow="0" w:lastRow="0" w:firstColumn="1" w:lastColumn="0" w:oddVBand="0" w:evenVBand="0" w:oddHBand="0" w:evenHBand="0" w:firstRowFirstColumn="0" w:firstRowLastColumn="0" w:lastRowFirstColumn="0" w:lastRowLastColumn="0"/>
            <w:tcW w:w="2946" w:type="dxa"/>
          </w:tcPr>
          <w:p w14:paraId="6070AC28" w14:textId="77777777" w:rsidR="00732BC0" w:rsidRPr="001213F7" w:rsidRDefault="00732BC0">
            <w:r w:rsidRPr="001213F7">
              <w:t>Financial assets</w:t>
            </w:r>
            <w:r w:rsidRPr="001213F7">
              <w:rPr>
                <w:vertAlign w:val="superscript"/>
              </w:rPr>
              <w:t xml:space="preserve"> (a)</w:t>
            </w:r>
          </w:p>
        </w:tc>
        <w:tc>
          <w:tcPr>
            <w:tcW w:w="794" w:type="dxa"/>
          </w:tcPr>
          <w:p w14:paraId="5D896980"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126.8</w:t>
            </w:r>
          </w:p>
        </w:tc>
        <w:tc>
          <w:tcPr>
            <w:tcW w:w="794" w:type="dxa"/>
          </w:tcPr>
          <w:p w14:paraId="7BA12DB6"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133.9</w:t>
            </w:r>
          </w:p>
        </w:tc>
        <w:tc>
          <w:tcPr>
            <w:tcW w:w="794" w:type="dxa"/>
          </w:tcPr>
          <w:p w14:paraId="716393A1"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138.3</w:t>
            </w:r>
          </w:p>
        </w:tc>
        <w:tc>
          <w:tcPr>
            <w:tcW w:w="794" w:type="dxa"/>
          </w:tcPr>
          <w:p w14:paraId="142372B7"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144.6</w:t>
            </w:r>
          </w:p>
        </w:tc>
        <w:tc>
          <w:tcPr>
            <w:tcW w:w="794" w:type="dxa"/>
          </w:tcPr>
          <w:p w14:paraId="2EF48743"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151.4</w:t>
            </w:r>
          </w:p>
        </w:tc>
        <w:tc>
          <w:tcPr>
            <w:tcW w:w="794" w:type="dxa"/>
          </w:tcPr>
          <w:p w14:paraId="75F5D254"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159.3</w:t>
            </w:r>
          </w:p>
        </w:tc>
      </w:tr>
      <w:tr w:rsidR="00732BC0" w:rsidRPr="001213F7" w14:paraId="69D42BF6" w14:textId="77777777">
        <w:tc>
          <w:tcPr>
            <w:cnfStyle w:val="001000000000" w:firstRow="0" w:lastRow="0" w:firstColumn="1" w:lastColumn="0" w:oddVBand="0" w:evenVBand="0" w:oddHBand="0" w:evenHBand="0" w:firstRowFirstColumn="0" w:firstRowLastColumn="0" w:lastRowFirstColumn="0" w:lastRowLastColumn="0"/>
            <w:tcW w:w="2946" w:type="dxa"/>
            <w:tcBorders>
              <w:bottom w:val="single" w:sz="6" w:space="0" w:color="auto"/>
            </w:tcBorders>
          </w:tcPr>
          <w:p w14:paraId="06EF0E2A" w14:textId="77777777" w:rsidR="00732BC0" w:rsidRPr="001213F7" w:rsidRDefault="00732BC0">
            <w:r w:rsidRPr="001213F7">
              <w:t>Non</w:t>
            </w:r>
            <w:r w:rsidRPr="001213F7">
              <w:noBreakHyphen/>
              <w:t>financial assets</w:t>
            </w:r>
            <w:r w:rsidRPr="001213F7">
              <w:rPr>
                <w:vertAlign w:val="superscript"/>
              </w:rPr>
              <w:t xml:space="preserve"> (b)</w:t>
            </w:r>
          </w:p>
        </w:tc>
        <w:tc>
          <w:tcPr>
            <w:tcW w:w="794" w:type="dxa"/>
            <w:tcBorders>
              <w:bottom w:val="single" w:sz="6" w:space="0" w:color="auto"/>
            </w:tcBorders>
          </w:tcPr>
          <w:p w14:paraId="1BFF1962"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511.3</w:t>
            </w:r>
          </w:p>
        </w:tc>
        <w:tc>
          <w:tcPr>
            <w:tcW w:w="794" w:type="dxa"/>
            <w:tcBorders>
              <w:bottom w:val="single" w:sz="6" w:space="0" w:color="auto"/>
            </w:tcBorders>
          </w:tcPr>
          <w:p w14:paraId="247D79F4"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530.0</w:t>
            </w:r>
          </w:p>
        </w:tc>
        <w:tc>
          <w:tcPr>
            <w:tcW w:w="794" w:type="dxa"/>
            <w:tcBorders>
              <w:bottom w:val="single" w:sz="6" w:space="0" w:color="auto"/>
            </w:tcBorders>
          </w:tcPr>
          <w:p w14:paraId="7CBC45B3"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552.5</w:t>
            </w:r>
          </w:p>
        </w:tc>
        <w:tc>
          <w:tcPr>
            <w:tcW w:w="794" w:type="dxa"/>
            <w:tcBorders>
              <w:bottom w:val="single" w:sz="6" w:space="0" w:color="auto"/>
            </w:tcBorders>
          </w:tcPr>
          <w:p w14:paraId="5DCAEFD8"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573.0</w:t>
            </w:r>
          </w:p>
        </w:tc>
        <w:tc>
          <w:tcPr>
            <w:tcW w:w="794" w:type="dxa"/>
            <w:tcBorders>
              <w:bottom w:val="single" w:sz="6" w:space="0" w:color="auto"/>
            </w:tcBorders>
          </w:tcPr>
          <w:p w14:paraId="4D600936"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600.2</w:t>
            </w:r>
          </w:p>
        </w:tc>
        <w:tc>
          <w:tcPr>
            <w:tcW w:w="794" w:type="dxa"/>
            <w:tcBorders>
              <w:bottom w:val="single" w:sz="6" w:space="0" w:color="auto"/>
            </w:tcBorders>
          </w:tcPr>
          <w:p w14:paraId="784E2AFD"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617.8</w:t>
            </w:r>
          </w:p>
        </w:tc>
      </w:tr>
      <w:tr w:rsidR="00732BC0" w:rsidRPr="001213F7" w14:paraId="751DDBFD" w14:textId="77777777">
        <w:tc>
          <w:tcPr>
            <w:cnfStyle w:val="001000000000" w:firstRow="0" w:lastRow="0" w:firstColumn="1" w:lastColumn="0" w:oddVBand="0" w:evenVBand="0" w:oddHBand="0" w:evenHBand="0" w:firstRowFirstColumn="0" w:firstRowLastColumn="0" w:lastRowFirstColumn="0" w:lastRowLastColumn="0"/>
            <w:tcW w:w="2946" w:type="dxa"/>
            <w:tcBorders>
              <w:top w:val="single" w:sz="6" w:space="0" w:color="auto"/>
            </w:tcBorders>
          </w:tcPr>
          <w:p w14:paraId="0BA7668B" w14:textId="77777777" w:rsidR="00732BC0" w:rsidRPr="001213F7" w:rsidRDefault="00732BC0">
            <w:r w:rsidRPr="001213F7">
              <w:rPr>
                <w:b/>
              </w:rPr>
              <w:t>Total assets</w:t>
            </w:r>
          </w:p>
        </w:tc>
        <w:tc>
          <w:tcPr>
            <w:tcW w:w="794" w:type="dxa"/>
            <w:tcBorders>
              <w:top w:val="single" w:sz="6" w:space="0" w:color="auto"/>
            </w:tcBorders>
          </w:tcPr>
          <w:p w14:paraId="3015A4BC"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rPr>
                <w:b/>
              </w:rPr>
              <w:t>638.1</w:t>
            </w:r>
          </w:p>
        </w:tc>
        <w:tc>
          <w:tcPr>
            <w:tcW w:w="794" w:type="dxa"/>
            <w:tcBorders>
              <w:top w:val="single" w:sz="6" w:space="0" w:color="auto"/>
            </w:tcBorders>
          </w:tcPr>
          <w:p w14:paraId="495D89A7"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rPr>
                <w:b/>
              </w:rPr>
              <w:t>663.9</w:t>
            </w:r>
          </w:p>
        </w:tc>
        <w:tc>
          <w:tcPr>
            <w:tcW w:w="794" w:type="dxa"/>
            <w:tcBorders>
              <w:top w:val="single" w:sz="6" w:space="0" w:color="auto"/>
            </w:tcBorders>
          </w:tcPr>
          <w:p w14:paraId="24769ED7"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rPr>
                <w:b/>
              </w:rPr>
              <w:t>690.8</w:t>
            </w:r>
          </w:p>
        </w:tc>
        <w:tc>
          <w:tcPr>
            <w:tcW w:w="794" w:type="dxa"/>
            <w:tcBorders>
              <w:top w:val="single" w:sz="6" w:space="0" w:color="auto"/>
            </w:tcBorders>
          </w:tcPr>
          <w:p w14:paraId="75B86968"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rPr>
                <w:b/>
              </w:rPr>
              <w:t>717.6</w:t>
            </w:r>
          </w:p>
        </w:tc>
        <w:tc>
          <w:tcPr>
            <w:tcW w:w="794" w:type="dxa"/>
            <w:tcBorders>
              <w:top w:val="single" w:sz="6" w:space="0" w:color="auto"/>
            </w:tcBorders>
          </w:tcPr>
          <w:p w14:paraId="3EB0A9AD"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rPr>
                <w:b/>
              </w:rPr>
              <w:t>751.5</w:t>
            </w:r>
          </w:p>
        </w:tc>
        <w:tc>
          <w:tcPr>
            <w:tcW w:w="794" w:type="dxa"/>
            <w:tcBorders>
              <w:top w:val="single" w:sz="6" w:space="0" w:color="auto"/>
            </w:tcBorders>
          </w:tcPr>
          <w:p w14:paraId="1A6A2518"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rPr>
                <w:b/>
              </w:rPr>
              <w:t>777.1</w:t>
            </w:r>
          </w:p>
        </w:tc>
      </w:tr>
      <w:tr w:rsidR="00732BC0" w:rsidRPr="001213F7" w14:paraId="1D48F023" w14:textId="77777777">
        <w:tc>
          <w:tcPr>
            <w:cnfStyle w:val="001000000000" w:firstRow="0" w:lastRow="0" w:firstColumn="1" w:lastColumn="0" w:oddVBand="0" w:evenVBand="0" w:oddHBand="0" w:evenHBand="0" w:firstRowFirstColumn="0" w:firstRowLastColumn="0" w:lastRowFirstColumn="0" w:lastRowLastColumn="0"/>
            <w:tcW w:w="2946" w:type="dxa"/>
          </w:tcPr>
          <w:p w14:paraId="158D63B0" w14:textId="77777777" w:rsidR="00732BC0" w:rsidRPr="001213F7" w:rsidRDefault="00732BC0">
            <w:r w:rsidRPr="001213F7">
              <w:rPr>
                <w:b/>
              </w:rPr>
              <w:t>Liabilities</w:t>
            </w:r>
          </w:p>
        </w:tc>
        <w:tc>
          <w:tcPr>
            <w:tcW w:w="794" w:type="dxa"/>
          </w:tcPr>
          <w:p w14:paraId="6C360444"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p>
        </w:tc>
        <w:tc>
          <w:tcPr>
            <w:tcW w:w="794" w:type="dxa"/>
          </w:tcPr>
          <w:p w14:paraId="6F4EA0C8"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p>
        </w:tc>
        <w:tc>
          <w:tcPr>
            <w:tcW w:w="794" w:type="dxa"/>
          </w:tcPr>
          <w:p w14:paraId="367B1111"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p>
        </w:tc>
        <w:tc>
          <w:tcPr>
            <w:tcW w:w="794" w:type="dxa"/>
          </w:tcPr>
          <w:p w14:paraId="2A4A8F1F"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p>
        </w:tc>
        <w:tc>
          <w:tcPr>
            <w:tcW w:w="794" w:type="dxa"/>
          </w:tcPr>
          <w:p w14:paraId="096158DB"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p>
        </w:tc>
        <w:tc>
          <w:tcPr>
            <w:tcW w:w="794" w:type="dxa"/>
          </w:tcPr>
          <w:p w14:paraId="769A6CB2"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p>
        </w:tc>
      </w:tr>
      <w:tr w:rsidR="00732BC0" w:rsidRPr="001213F7" w14:paraId="6FC19A6E" w14:textId="77777777">
        <w:tc>
          <w:tcPr>
            <w:cnfStyle w:val="001000000000" w:firstRow="0" w:lastRow="0" w:firstColumn="1" w:lastColumn="0" w:oddVBand="0" w:evenVBand="0" w:oddHBand="0" w:evenHBand="0" w:firstRowFirstColumn="0" w:firstRowLastColumn="0" w:lastRowFirstColumn="0" w:lastRowLastColumn="0"/>
            <w:tcW w:w="2946" w:type="dxa"/>
          </w:tcPr>
          <w:p w14:paraId="123131C7" w14:textId="77777777" w:rsidR="00732BC0" w:rsidRPr="001213F7" w:rsidRDefault="00732BC0">
            <w:r w:rsidRPr="001213F7">
              <w:t>Borrowings</w:t>
            </w:r>
          </w:p>
        </w:tc>
        <w:tc>
          <w:tcPr>
            <w:tcW w:w="794" w:type="dxa"/>
          </w:tcPr>
          <w:p w14:paraId="044F6894"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223.4</w:t>
            </w:r>
          </w:p>
        </w:tc>
        <w:tc>
          <w:tcPr>
            <w:tcW w:w="794" w:type="dxa"/>
          </w:tcPr>
          <w:p w14:paraId="756B9B9A"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238.9</w:t>
            </w:r>
          </w:p>
        </w:tc>
        <w:tc>
          <w:tcPr>
            <w:tcW w:w="794" w:type="dxa"/>
          </w:tcPr>
          <w:p w14:paraId="3C3D58BC"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257.2</w:t>
            </w:r>
          </w:p>
        </w:tc>
        <w:tc>
          <w:tcPr>
            <w:tcW w:w="794" w:type="dxa"/>
          </w:tcPr>
          <w:p w14:paraId="1881EC75"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270.2</w:t>
            </w:r>
          </w:p>
        </w:tc>
        <w:tc>
          <w:tcPr>
            <w:tcW w:w="794" w:type="dxa"/>
          </w:tcPr>
          <w:p w14:paraId="4B58F4E8"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284.7</w:t>
            </w:r>
          </w:p>
        </w:tc>
        <w:tc>
          <w:tcPr>
            <w:tcW w:w="794" w:type="dxa"/>
          </w:tcPr>
          <w:p w14:paraId="2EB84F29"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298.9</w:t>
            </w:r>
          </w:p>
        </w:tc>
      </w:tr>
      <w:tr w:rsidR="00732BC0" w:rsidRPr="001213F7" w14:paraId="5DCE0398" w14:textId="77777777">
        <w:tc>
          <w:tcPr>
            <w:cnfStyle w:val="001000000000" w:firstRow="0" w:lastRow="0" w:firstColumn="1" w:lastColumn="0" w:oddVBand="0" w:evenVBand="0" w:oddHBand="0" w:evenHBand="0" w:firstRowFirstColumn="0" w:firstRowLastColumn="0" w:lastRowFirstColumn="0" w:lastRowLastColumn="0"/>
            <w:tcW w:w="2946" w:type="dxa"/>
          </w:tcPr>
          <w:p w14:paraId="714E5330" w14:textId="77777777" w:rsidR="00732BC0" w:rsidRPr="001213F7" w:rsidRDefault="00732BC0">
            <w:r w:rsidRPr="001213F7">
              <w:t>Other provisions</w:t>
            </w:r>
            <w:r w:rsidRPr="001213F7">
              <w:rPr>
                <w:vertAlign w:val="superscript"/>
              </w:rPr>
              <w:t xml:space="preserve"> (c)</w:t>
            </w:r>
          </w:p>
        </w:tc>
        <w:tc>
          <w:tcPr>
            <w:tcW w:w="794" w:type="dxa"/>
          </w:tcPr>
          <w:p w14:paraId="64DA418F"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57.8</w:t>
            </w:r>
          </w:p>
        </w:tc>
        <w:tc>
          <w:tcPr>
            <w:tcW w:w="794" w:type="dxa"/>
          </w:tcPr>
          <w:p w14:paraId="24120529"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59.2</w:t>
            </w:r>
          </w:p>
        </w:tc>
        <w:tc>
          <w:tcPr>
            <w:tcW w:w="794" w:type="dxa"/>
          </w:tcPr>
          <w:p w14:paraId="625CB32F"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61.6</w:t>
            </w:r>
          </w:p>
        </w:tc>
        <w:tc>
          <w:tcPr>
            <w:tcW w:w="794" w:type="dxa"/>
          </w:tcPr>
          <w:p w14:paraId="1953023F"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65.6</w:t>
            </w:r>
          </w:p>
        </w:tc>
        <w:tc>
          <w:tcPr>
            <w:tcW w:w="794" w:type="dxa"/>
          </w:tcPr>
          <w:p w14:paraId="2089DB25"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70.1</w:t>
            </w:r>
          </w:p>
        </w:tc>
        <w:tc>
          <w:tcPr>
            <w:tcW w:w="794" w:type="dxa"/>
          </w:tcPr>
          <w:p w14:paraId="63A8CD04"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74.9</w:t>
            </w:r>
          </w:p>
        </w:tc>
      </w:tr>
      <w:tr w:rsidR="00732BC0" w:rsidRPr="001213F7" w14:paraId="7FD9D2B7" w14:textId="77777777">
        <w:tc>
          <w:tcPr>
            <w:cnfStyle w:val="001000000000" w:firstRow="0" w:lastRow="0" w:firstColumn="1" w:lastColumn="0" w:oddVBand="0" w:evenVBand="0" w:oddHBand="0" w:evenHBand="0" w:firstRowFirstColumn="0" w:firstRowLastColumn="0" w:lastRowFirstColumn="0" w:lastRowLastColumn="0"/>
            <w:tcW w:w="2946" w:type="dxa"/>
            <w:tcBorders>
              <w:bottom w:val="single" w:sz="6" w:space="0" w:color="auto"/>
            </w:tcBorders>
          </w:tcPr>
          <w:p w14:paraId="436CC2B3" w14:textId="77777777" w:rsidR="00732BC0" w:rsidRPr="001213F7" w:rsidRDefault="00732BC0">
            <w:r w:rsidRPr="001213F7">
              <w:t>Other liabilities</w:t>
            </w:r>
            <w:r w:rsidRPr="001213F7">
              <w:rPr>
                <w:vertAlign w:val="superscript"/>
              </w:rPr>
              <w:t xml:space="preserve"> (d)</w:t>
            </w:r>
          </w:p>
        </w:tc>
        <w:tc>
          <w:tcPr>
            <w:tcW w:w="794" w:type="dxa"/>
            <w:tcBorders>
              <w:bottom w:val="single" w:sz="6" w:space="0" w:color="auto"/>
            </w:tcBorders>
          </w:tcPr>
          <w:p w14:paraId="3E7616C2"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75.4</w:t>
            </w:r>
          </w:p>
        </w:tc>
        <w:tc>
          <w:tcPr>
            <w:tcW w:w="794" w:type="dxa"/>
            <w:tcBorders>
              <w:bottom w:val="single" w:sz="6" w:space="0" w:color="auto"/>
            </w:tcBorders>
          </w:tcPr>
          <w:p w14:paraId="5353E020"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73.1</w:t>
            </w:r>
          </w:p>
        </w:tc>
        <w:tc>
          <w:tcPr>
            <w:tcW w:w="794" w:type="dxa"/>
            <w:tcBorders>
              <w:bottom w:val="single" w:sz="6" w:space="0" w:color="auto"/>
            </w:tcBorders>
          </w:tcPr>
          <w:p w14:paraId="53CA08AF"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73.0</w:t>
            </w:r>
          </w:p>
        </w:tc>
        <w:tc>
          <w:tcPr>
            <w:tcW w:w="794" w:type="dxa"/>
            <w:tcBorders>
              <w:bottom w:val="single" w:sz="6" w:space="0" w:color="auto"/>
            </w:tcBorders>
          </w:tcPr>
          <w:p w14:paraId="08BC1258"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71.9</w:t>
            </w:r>
          </w:p>
        </w:tc>
        <w:tc>
          <w:tcPr>
            <w:tcW w:w="794" w:type="dxa"/>
            <w:tcBorders>
              <w:bottom w:val="single" w:sz="6" w:space="0" w:color="auto"/>
            </w:tcBorders>
          </w:tcPr>
          <w:p w14:paraId="32187B9B"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70.2</w:t>
            </w:r>
          </w:p>
        </w:tc>
        <w:tc>
          <w:tcPr>
            <w:tcW w:w="794" w:type="dxa"/>
            <w:tcBorders>
              <w:bottom w:val="single" w:sz="6" w:space="0" w:color="auto"/>
            </w:tcBorders>
          </w:tcPr>
          <w:p w14:paraId="704AC7A4"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t>68.6</w:t>
            </w:r>
          </w:p>
        </w:tc>
      </w:tr>
      <w:tr w:rsidR="00732BC0" w:rsidRPr="001213F7" w14:paraId="145B14B4" w14:textId="77777777">
        <w:tc>
          <w:tcPr>
            <w:cnfStyle w:val="001000000000" w:firstRow="0" w:lastRow="0" w:firstColumn="1" w:lastColumn="0" w:oddVBand="0" w:evenVBand="0" w:oddHBand="0" w:evenHBand="0" w:firstRowFirstColumn="0" w:firstRowLastColumn="0" w:lastRowFirstColumn="0" w:lastRowLastColumn="0"/>
            <w:tcW w:w="2946" w:type="dxa"/>
            <w:tcBorders>
              <w:top w:val="single" w:sz="6" w:space="0" w:color="auto"/>
              <w:bottom w:val="single" w:sz="6" w:space="0" w:color="auto"/>
            </w:tcBorders>
          </w:tcPr>
          <w:p w14:paraId="6275A54C" w14:textId="77777777" w:rsidR="00732BC0" w:rsidRPr="001213F7" w:rsidRDefault="00732BC0">
            <w:r w:rsidRPr="001213F7">
              <w:rPr>
                <w:b/>
              </w:rPr>
              <w:t>Total liabilities</w:t>
            </w:r>
          </w:p>
        </w:tc>
        <w:tc>
          <w:tcPr>
            <w:tcW w:w="794" w:type="dxa"/>
            <w:tcBorders>
              <w:top w:val="single" w:sz="6" w:space="0" w:color="auto"/>
              <w:bottom w:val="single" w:sz="6" w:space="0" w:color="auto"/>
            </w:tcBorders>
          </w:tcPr>
          <w:p w14:paraId="56534753"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rPr>
                <w:b/>
              </w:rPr>
              <w:t>356.7</w:t>
            </w:r>
          </w:p>
        </w:tc>
        <w:tc>
          <w:tcPr>
            <w:tcW w:w="794" w:type="dxa"/>
            <w:tcBorders>
              <w:top w:val="single" w:sz="6" w:space="0" w:color="auto"/>
              <w:bottom w:val="single" w:sz="6" w:space="0" w:color="auto"/>
            </w:tcBorders>
          </w:tcPr>
          <w:p w14:paraId="53E41883"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rPr>
                <w:b/>
              </w:rPr>
              <w:t>371.1</w:t>
            </w:r>
          </w:p>
        </w:tc>
        <w:tc>
          <w:tcPr>
            <w:tcW w:w="794" w:type="dxa"/>
            <w:tcBorders>
              <w:top w:val="single" w:sz="6" w:space="0" w:color="auto"/>
              <w:bottom w:val="single" w:sz="6" w:space="0" w:color="auto"/>
            </w:tcBorders>
          </w:tcPr>
          <w:p w14:paraId="708D3FDD"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rPr>
                <w:b/>
              </w:rPr>
              <w:t>391.8</w:t>
            </w:r>
          </w:p>
        </w:tc>
        <w:tc>
          <w:tcPr>
            <w:tcW w:w="794" w:type="dxa"/>
            <w:tcBorders>
              <w:top w:val="single" w:sz="6" w:space="0" w:color="auto"/>
              <w:bottom w:val="single" w:sz="6" w:space="0" w:color="auto"/>
            </w:tcBorders>
          </w:tcPr>
          <w:p w14:paraId="75D7FF29"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rPr>
                <w:b/>
              </w:rPr>
              <w:t>407.7</w:t>
            </w:r>
          </w:p>
        </w:tc>
        <w:tc>
          <w:tcPr>
            <w:tcW w:w="794" w:type="dxa"/>
            <w:tcBorders>
              <w:top w:val="single" w:sz="6" w:space="0" w:color="auto"/>
              <w:bottom w:val="single" w:sz="6" w:space="0" w:color="auto"/>
            </w:tcBorders>
          </w:tcPr>
          <w:p w14:paraId="7A64CE16"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rPr>
                <w:b/>
              </w:rPr>
              <w:t>425.0</w:t>
            </w:r>
          </w:p>
        </w:tc>
        <w:tc>
          <w:tcPr>
            <w:tcW w:w="794" w:type="dxa"/>
            <w:tcBorders>
              <w:top w:val="single" w:sz="6" w:space="0" w:color="auto"/>
              <w:bottom w:val="single" w:sz="6" w:space="0" w:color="auto"/>
            </w:tcBorders>
          </w:tcPr>
          <w:p w14:paraId="08432E7D"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rPr>
                <w:b/>
              </w:rPr>
              <w:t>442.4</w:t>
            </w:r>
          </w:p>
        </w:tc>
      </w:tr>
      <w:tr w:rsidR="00732BC0" w:rsidRPr="001213F7" w14:paraId="64059ADA" w14:textId="77777777">
        <w:tc>
          <w:tcPr>
            <w:cnfStyle w:val="001000000000" w:firstRow="0" w:lastRow="0" w:firstColumn="1" w:lastColumn="0" w:oddVBand="0" w:evenVBand="0" w:oddHBand="0" w:evenHBand="0" w:firstRowFirstColumn="0" w:firstRowLastColumn="0" w:lastRowFirstColumn="0" w:lastRowLastColumn="0"/>
            <w:tcW w:w="2946" w:type="dxa"/>
            <w:tcBorders>
              <w:top w:val="single" w:sz="6" w:space="0" w:color="auto"/>
              <w:bottom w:val="single" w:sz="12" w:space="0" w:color="auto"/>
            </w:tcBorders>
          </w:tcPr>
          <w:p w14:paraId="05360613" w14:textId="77777777" w:rsidR="00732BC0" w:rsidRPr="001213F7" w:rsidRDefault="00732BC0">
            <w:r w:rsidRPr="001213F7">
              <w:rPr>
                <w:b/>
              </w:rPr>
              <w:t>Net assets</w:t>
            </w:r>
          </w:p>
        </w:tc>
        <w:tc>
          <w:tcPr>
            <w:tcW w:w="794" w:type="dxa"/>
            <w:tcBorders>
              <w:top w:val="single" w:sz="6" w:space="0" w:color="auto"/>
              <w:bottom w:val="single" w:sz="12" w:space="0" w:color="auto"/>
            </w:tcBorders>
          </w:tcPr>
          <w:p w14:paraId="0493C1BA"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rPr>
                <w:b/>
              </w:rPr>
              <w:t>281.4</w:t>
            </w:r>
          </w:p>
        </w:tc>
        <w:tc>
          <w:tcPr>
            <w:tcW w:w="794" w:type="dxa"/>
            <w:tcBorders>
              <w:top w:val="single" w:sz="6" w:space="0" w:color="auto"/>
              <w:bottom w:val="single" w:sz="12" w:space="0" w:color="auto"/>
            </w:tcBorders>
          </w:tcPr>
          <w:p w14:paraId="337BA03D"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rPr>
                <w:b/>
              </w:rPr>
              <w:t>292.8</w:t>
            </w:r>
          </w:p>
        </w:tc>
        <w:tc>
          <w:tcPr>
            <w:tcW w:w="794" w:type="dxa"/>
            <w:tcBorders>
              <w:top w:val="single" w:sz="6" w:space="0" w:color="auto"/>
              <w:bottom w:val="single" w:sz="12" w:space="0" w:color="auto"/>
            </w:tcBorders>
          </w:tcPr>
          <w:p w14:paraId="28BF0952"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rPr>
                <w:b/>
              </w:rPr>
              <w:t>299.0</w:t>
            </w:r>
          </w:p>
        </w:tc>
        <w:tc>
          <w:tcPr>
            <w:tcW w:w="794" w:type="dxa"/>
            <w:tcBorders>
              <w:top w:val="single" w:sz="6" w:space="0" w:color="auto"/>
              <w:bottom w:val="single" w:sz="12" w:space="0" w:color="auto"/>
            </w:tcBorders>
          </w:tcPr>
          <w:p w14:paraId="43D55B5E"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rPr>
                <w:b/>
              </w:rPr>
              <w:t>309.9</w:t>
            </w:r>
          </w:p>
        </w:tc>
        <w:tc>
          <w:tcPr>
            <w:tcW w:w="794" w:type="dxa"/>
            <w:tcBorders>
              <w:top w:val="single" w:sz="6" w:space="0" w:color="auto"/>
              <w:bottom w:val="single" w:sz="12" w:space="0" w:color="auto"/>
            </w:tcBorders>
          </w:tcPr>
          <w:p w14:paraId="6B1EF10C"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rPr>
                <w:b/>
              </w:rPr>
              <w:t>326.5</w:t>
            </w:r>
          </w:p>
        </w:tc>
        <w:tc>
          <w:tcPr>
            <w:tcW w:w="794" w:type="dxa"/>
            <w:tcBorders>
              <w:top w:val="single" w:sz="6" w:space="0" w:color="auto"/>
              <w:bottom w:val="single" w:sz="12" w:space="0" w:color="auto"/>
            </w:tcBorders>
          </w:tcPr>
          <w:p w14:paraId="1D1259A4" w14:textId="77777777" w:rsidR="00732BC0" w:rsidRPr="001213F7" w:rsidRDefault="00732BC0">
            <w:pPr>
              <w:cnfStyle w:val="000000000000" w:firstRow="0" w:lastRow="0" w:firstColumn="0" w:lastColumn="0" w:oddVBand="0" w:evenVBand="0" w:oddHBand="0" w:evenHBand="0" w:firstRowFirstColumn="0" w:firstRowLastColumn="0" w:lastRowFirstColumn="0" w:lastRowLastColumn="0"/>
            </w:pPr>
            <w:r w:rsidRPr="001213F7">
              <w:rPr>
                <w:b/>
              </w:rPr>
              <w:t>334.7</w:t>
            </w:r>
          </w:p>
        </w:tc>
      </w:tr>
    </w:tbl>
    <w:p w14:paraId="461298D4" w14:textId="77777777" w:rsidR="00732BC0" w:rsidRPr="001213F7" w:rsidRDefault="00732BC0">
      <w:pPr>
        <w:pStyle w:val="Note"/>
        <w:ind w:left="0" w:firstLine="0"/>
      </w:pPr>
      <w:r w:rsidRPr="001213F7">
        <w:t>Notes:</w:t>
      </w:r>
    </w:p>
    <w:p w14:paraId="527DCB9D" w14:textId="77777777" w:rsidR="00732BC0" w:rsidRPr="001213F7" w:rsidRDefault="00732BC0">
      <w:pPr>
        <w:pStyle w:val="Note"/>
      </w:pPr>
      <w:r w:rsidRPr="001213F7">
        <w:t>(a)</w:t>
      </w:r>
      <w:r w:rsidRPr="001213F7">
        <w:tab/>
        <w:t>Financial assets include cash and deposits, advances paid, investments, loans and placements, receivables and contract assets, and investments accounted for using the equity method.</w:t>
      </w:r>
    </w:p>
    <w:p w14:paraId="3EF934A1" w14:textId="77777777" w:rsidR="00732BC0" w:rsidRPr="001213F7" w:rsidRDefault="00732BC0">
      <w:pPr>
        <w:pStyle w:val="Note"/>
      </w:pPr>
      <w:r w:rsidRPr="001213F7">
        <w:t>(b)</w:t>
      </w:r>
      <w:r w:rsidRPr="001213F7">
        <w:tab/>
        <w:t>Non</w:t>
      </w:r>
      <w:r w:rsidRPr="001213F7">
        <w:noBreakHyphen/>
        <w:t>financial assets include inventories, non</w:t>
      </w:r>
      <w:r w:rsidRPr="001213F7">
        <w:noBreakHyphen/>
        <w:t>financial assets held for sale, land, buildings, infrastructure, plant and equipment, and other non</w:t>
      </w:r>
      <w:r w:rsidRPr="001213F7">
        <w:noBreakHyphen/>
        <w:t>financial assets.</w:t>
      </w:r>
    </w:p>
    <w:p w14:paraId="7964E238" w14:textId="77777777" w:rsidR="00732BC0" w:rsidRPr="001213F7" w:rsidRDefault="00732BC0">
      <w:pPr>
        <w:pStyle w:val="Note"/>
      </w:pPr>
      <w:r w:rsidRPr="001213F7">
        <w:t>(c)</w:t>
      </w:r>
      <w:r w:rsidRPr="001213F7">
        <w:tab/>
        <w:t>Other provisions includes insurance contract liabilities.</w:t>
      </w:r>
    </w:p>
    <w:p w14:paraId="2E478777" w14:textId="77777777" w:rsidR="00732BC0" w:rsidRPr="001213F7" w:rsidRDefault="00732BC0">
      <w:pPr>
        <w:pStyle w:val="Note"/>
      </w:pPr>
      <w:r w:rsidRPr="001213F7">
        <w:t>(d)</w:t>
      </w:r>
      <w:r w:rsidRPr="001213F7">
        <w:tab/>
        <w:t>Other liabilities consist of payables, employee benefits, deposits held and advances received, unearned income and grant of a right to the operator liability.</w:t>
      </w:r>
    </w:p>
    <w:p w14:paraId="0924A34C" w14:textId="77777777" w:rsidR="00732BC0" w:rsidRPr="001213F7" w:rsidRDefault="00732BC0">
      <w:pPr>
        <w:pStyle w:val="Note"/>
      </w:pPr>
    </w:p>
    <w:p w14:paraId="5D993D86" w14:textId="77777777" w:rsidR="00732BC0" w:rsidRPr="001213F7" w:rsidRDefault="00732BC0"/>
    <w:bookmarkEnd w:id="41"/>
    <w:bookmarkEnd w:id="42"/>
    <w:bookmarkEnd w:id="43"/>
    <w:p w14:paraId="5ADA303E" w14:textId="77777777" w:rsidR="00732BC0" w:rsidRPr="001213F7" w:rsidRDefault="00732BC0">
      <w:pPr>
        <w:keepLines w:val="0"/>
        <w:rPr>
          <w:lang w:eastAsia="en-AU"/>
        </w:rPr>
      </w:pPr>
      <w:r w:rsidRPr="001213F7">
        <w:rPr>
          <w:lang w:eastAsia="en-AU"/>
        </w:rPr>
        <w:br w:type="page"/>
      </w:r>
    </w:p>
    <w:p w14:paraId="7F79B04F" w14:textId="77777777" w:rsidR="00732BC0" w:rsidRPr="001213F7" w:rsidRDefault="00732BC0">
      <w:pPr>
        <w:rPr>
          <w:lang w:eastAsia="en-AU"/>
        </w:rPr>
      </w:pPr>
    </w:p>
    <w:p w14:paraId="527F502A" w14:textId="77777777" w:rsidR="00732BC0" w:rsidRPr="001213F7" w:rsidRDefault="00732BC0" w:rsidP="00732BC0">
      <w:pPr>
        <w:rPr>
          <w:rStyle w:val="Chapternumber"/>
          <w:u w:val="double"/>
        </w:rPr>
      </w:pPr>
    </w:p>
    <w:p w14:paraId="331C2741" w14:textId="77777777" w:rsidR="00732BC0" w:rsidRPr="001213F7" w:rsidRDefault="00732BC0">
      <w:pPr>
        <w:pStyle w:val="ChapterHeading"/>
        <w:pageBreakBefore/>
        <w:rPr>
          <w:rStyle w:val="Chapternumber"/>
        </w:rPr>
        <w:sectPr w:rsidR="00732BC0" w:rsidRPr="001213F7" w:rsidSect="00900469">
          <w:footerReference w:type="even" r:id="rId63"/>
          <w:footerReference w:type="default" r:id="rId64"/>
          <w:type w:val="oddPage"/>
          <w:pgSz w:w="9979" w:h="14175"/>
          <w:pgMar w:top="1138" w:right="1138" w:bottom="1138" w:left="1138" w:header="619" w:footer="562" w:gutter="0"/>
          <w:cols w:space="708"/>
          <w:docGrid w:linePitch="360"/>
        </w:sectPr>
      </w:pPr>
    </w:p>
    <w:p w14:paraId="63BE99C7" w14:textId="2211852B" w:rsidR="00900469" w:rsidRPr="001213F7" w:rsidRDefault="00900469">
      <w:pPr>
        <w:pStyle w:val="ChapterHeading"/>
        <w:pageBreakBefore/>
      </w:pPr>
      <w:bookmarkStart w:id="69" w:name="_Toc228545310"/>
      <w:r w:rsidRPr="001213F7">
        <w:rPr>
          <w:rStyle w:val="Chapternumber"/>
        </w:rPr>
        <w:lastRenderedPageBreak/>
        <w:t>Chapter 6</w:t>
      </w:r>
      <w:r w:rsidRPr="001213F7">
        <w:t xml:space="preserve"> – Sensitivity analysis</w:t>
      </w:r>
      <w:bookmarkEnd w:id="44"/>
      <w:bookmarkEnd w:id="69"/>
    </w:p>
    <w:p w14:paraId="221E5A03" w14:textId="565219AF" w:rsidR="00900469" w:rsidRPr="001213F7" w:rsidRDefault="00900469">
      <w:r w:rsidRPr="001213F7">
        <w:t xml:space="preserve">The </w:t>
      </w:r>
      <w:r w:rsidRPr="001213F7">
        <w:rPr>
          <w:i/>
        </w:rPr>
        <w:t>2026-27 Budget</w:t>
      </w:r>
      <w:r w:rsidRPr="001213F7">
        <w:t xml:space="preserve"> relies on forecasts and judgements about the economic, operating and</w:t>
      </w:r>
      <w:r w:rsidR="00D4135B">
        <w:t> </w:t>
      </w:r>
      <w:r w:rsidRPr="001213F7">
        <w:t xml:space="preserve">financial conditions for the Victorian general government sector. Uncertainty in these conditions, for example as a result of international developments and other risks to the national economy, may cause the actual results to differ from budget projections. </w:t>
      </w:r>
    </w:p>
    <w:p w14:paraId="016FDC17" w14:textId="77777777" w:rsidR="00900469" w:rsidRPr="001213F7" w:rsidRDefault="00900469">
      <w:r w:rsidRPr="001213F7">
        <w:t xml:space="preserve">This sensitivity analysis explores the effects of variations in the macroeconomic outlook on key fiscal aggregates of the general government sector using two alternative approaches. </w:t>
      </w:r>
    </w:p>
    <w:p w14:paraId="3B5B1E45" w14:textId="77777777" w:rsidR="00900469" w:rsidRPr="001213F7" w:rsidRDefault="00900469">
      <w:r w:rsidRPr="001213F7">
        <w:t xml:space="preserve">The first approach quantifies the fiscal effects of scenarios involving simultaneous variations in economic parameters that represent key risks to the economic outlook described in Chapter 2 </w:t>
      </w:r>
      <w:r w:rsidRPr="001213F7">
        <w:rPr>
          <w:i/>
        </w:rPr>
        <w:t>Economic context</w:t>
      </w:r>
      <w:r w:rsidRPr="001213F7">
        <w:t>. These scenarios were selected to cover plausible shocks that could affect Victoria over the budget period, and the modelling takes account of linkages between key international, Australian and Victorian economic aggregates.</w:t>
      </w:r>
    </w:p>
    <w:p w14:paraId="31A51496" w14:textId="3BC86A55" w:rsidR="00900469" w:rsidRPr="001213F7" w:rsidRDefault="00900469">
      <w:r w:rsidRPr="001213F7">
        <w:t>The modelled outcomes are intended to be used as a guide and care should be exercised in</w:t>
      </w:r>
      <w:r w:rsidR="00F22169" w:rsidRPr="001213F7">
        <w:t> </w:t>
      </w:r>
      <w:r w:rsidRPr="001213F7">
        <w:t xml:space="preserve">interpreting the results. In particular, economic shocks tend to be idiosyncratic, with the modelled scenarios unlikely to completely reflect any future shock that could occur. Departures from these scenarios would likely result in different effects on the budget. Furthermore, the modelled results of the shocks do not incorporate any policy responses to the shocks and their subsequent effects on the economic or fiscal outlook. </w:t>
      </w:r>
    </w:p>
    <w:p w14:paraId="2513836E" w14:textId="0746DA0D" w:rsidR="00900469" w:rsidRPr="001213F7" w:rsidRDefault="00900469">
      <w:r w:rsidRPr="001213F7">
        <w:t>The second approach considers the fiscal effects of independent variations in major macroeconomic parameters, holding constant all parameters other than the indicator of interest. This analysis may be useful for assessing the effect on fiscal aggregates of a variation from the forecast value for a single economic parameter. In practice, economic variations rarely occur in isolation, and scenario analysis is likely to be more appropriate to</w:t>
      </w:r>
      <w:r w:rsidR="00D4135B">
        <w:t> </w:t>
      </w:r>
      <w:r w:rsidRPr="001213F7">
        <w:t>illustrate the fiscal impacts of an economic environment materially different from that forecast in this publication.</w:t>
      </w:r>
    </w:p>
    <w:p w14:paraId="78A5CAA1" w14:textId="6D71CE10" w:rsidR="00900469" w:rsidRPr="001213F7" w:rsidRDefault="00900469">
      <w:r w:rsidRPr="001213F7">
        <w:t xml:space="preserve">The economic scenarios presented in this chapter are illustrative in nature and are designed to highlight the potential impacts of alternative economic conditions. They do not represent the most likely path for the economy. The economic forecasts outlined in Chapter 2 </w:t>
      </w:r>
      <w:r w:rsidRPr="001213F7">
        <w:rPr>
          <w:i/>
        </w:rPr>
        <w:t>Economic context</w:t>
      </w:r>
      <w:r w:rsidRPr="001213F7">
        <w:t xml:space="preserve"> reflect the </w:t>
      </w:r>
      <w:r w:rsidR="009C4E8C" w:rsidRPr="001213F7">
        <w:t>mo</w:t>
      </w:r>
      <w:r w:rsidR="00760B79" w:rsidRPr="001213F7">
        <w:t>re</w:t>
      </w:r>
      <w:r w:rsidR="009C4E8C" w:rsidRPr="001213F7">
        <w:t xml:space="preserve"> probable </w:t>
      </w:r>
      <w:r w:rsidRPr="001213F7">
        <w:t>central, or base case, view of the economic outlook.</w:t>
      </w:r>
    </w:p>
    <w:p w14:paraId="0B5B811F" w14:textId="77777777" w:rsidR="00900469" w:rsidRPr="001213F7" w:rsidRDefault="00900469"/>
    <w:p w14:paraId="507534D6" w14:textId="77777777" w:rsidR="00900469" w:rsidRPr="001213F7" w:rsidRDefault="00900469">
      <w:pPr>
        <w:pStyle w:val="Heading1"/>
        <w:pageBreakBefore/>
      </w:pPr>
      <w:bookmarkStart w:id="70" w:name="_Toc228294220"/>
      <w:bookmarkStart w:id="71" w:name="_Toc228545311"/>
      <w:r w:rsidRPr="001213F7">
        <w:lastRenderedPageBreak/>
        <w:t>Fiscal effects of variations to the economic outlook</w:t>
      </w:r>
      <w:bookmarkEnd w:id="70"/>
      <w:bookmarkEnd w:id="71"/>
    </w:p>
    <w:p w14:paraId="3B78E6E2" w14:textId="77777777" w:rsidR="00900469" w:rsidRPr="001213F7" w:rsidRDefault="00900469">
      <w:r w:rsidRPr="001213F7">
        <w:t xml:space="preserve">The scenario component of the sensitivity analysis quantifies two key risks identified in Chapter 2 </w:t>
      </w:r>
      <w:r w:rsidRPr="001213F7">
        <w:rPr>
          <w:i/>
        </w:rPr>
        <w:t>Economic context</w:t>
      </w:r>
      <w:r w:rsidRPr="001213F7">
        <w:t xml:space="preserve"> and presents how these risks might affect the economy and the State’s fiscal aggregates. </w:t>
      </w:r>
    </w:p>
    <w:p w14:paraId="283E5095" w14:textId="77777777" w:rsidR="00900469" w:rsidRPr="001213F7" w:rsidRDefault="00900469">
      <w:r w:rsidRPr="001213F7">
        <w:t>The first scenario considers weaker domestic growth in aggregate demand due to a more persistent conflict in the Middle East and more elevated global oil prices. The second scenario considers the implications of a lower trend unemployment rate, resulting in higher employment and investment activity in the long run.</w:t>
      </w:r>
    </w:p>
    <w:p w14:paraId="79A62DDB" w14:textId="77777777" w:rsidR="00900469" w:rsidRPr="001213F7" w:rsidRDefault="00900469">
      <w:r w:rsidRPr="001213F7">
        <w:t xml:space="preserve">The economic effects of these scenarios have been modelled using VURMTAX, a computable general equilibrium model developed by the Centre of Policy Studies at Victoria University. The results of the scenarios are presented as deviations from the ‘business as usual’ base case, which reflects the central economic forecasts outlined in Chapter 2 </w:t>
      </w:r>
      <w:r w:rsidRPr="001213F7">
        <w:rPr>
          <w:i/>
        </w:rPr>
        <w:t>Economic context</w:t>
      </w:r>
      <w:r w:rsidRPr="001213F7">
        <w:t>.</w:t>
      </w:r>
    </w:p>
    <w:p w14:paraId="773A2091" w14:textId="77777777" w:rsidR="00900469" w:rsidRPr="001213F7" w:rsidRDefault="00900469">
      <w:r w:rsidRPr="001213F7">
        <w:t>The changes in economic variables resulting from the modelled shocks are then mapped into estimated revenue and expenditure effects using elasticities that describe the historical relationship between fiscal outcomes and major macroeconomic parameters.</w:t>
      </w:r>
      <w:r w:rsidRPr="001213F7">
        <w:rPr>
          <w:vertAlign w:val="superscript"/>
        </w:rPr>
        <w:footnoteReference w:id="3"/>
      </w:r>
    </w:p>
    <w:p w14:paraId="0C005E2E" w14:textId="77777777" w:rsidR="00900469" w:rsidRPr="001213F7" w:rsidRDefault="00900469">
      <w:pPr>
        <w:pStyle w:val="Heading2"/>
      </w:pPr>
      <w:r w:rsidRPr="001213F7">
        <w:t>Scenario A: Weaker domestic growth due to a more prolonged conflict in the Middle East and persistent global oil price shock</w:t>
      </w:r>
    </w:p>
    <w:p w14:paraId="0529B5CC" w14:textId="77777777" w:rsidR="00900469" w:rsidRPr="001213F7" w:rsidRDefault="00900469">
      <w:r w:rsidRPr="001213F7">
        <w:t xml:space="preserve">As outlined in Chapter 2 </w:t>
      </w:r>
      <w:r w:rsidRPr="001213F7">
        <w:rPr>
          <w:i/>
        </w:rPr>
        <w:t>Economic context</w:t>
      </w:r>
      <w:r w:rsidRPr="001213F7">
        <w:t>, the ongoing conflict in the Middle East has significantly constrained the global supply of oil, raising oil prices and global uncertainty. This is expected to weigh on private demand in 2026-27.</w:t>
      </w:r>
    </w:p>
    <w:p w14:paraId="2C301798" w14:textId="77777777" w:rsidR="00900469" w:rsidRPr="001213F7" w:rsidRDefault="00900469">
      <w:r w:rsidRPr="001213F7">
        <w:t xml:space="preserve">While not the base case, this scenario examines a significantly worse-case situation where the Middle East conflict is prolonged, resulting in sustained higher oil, liquefied natural gas (LNG), petrol, and diesel prices. This is coupled with other associated domestic responses to a prolonged conflict in the Middle East and disrupted energy and asset markets, such as a fall in the savings rate as consumers experience higher costs of living, and slightly weaker productivity as the conflict raises business uncertainty and dampens investment. </w:t>
      </w:r>
    </w:p>
    <w:p w14:paraId="4C05FCCF" w14:textId="77777777" w:rsidR="00900469" w:rsidRPr="001213F7" w:rsidRDefault="00900469">
      <w:pPr>
        <w:keepNext/>
      </w:pPr>
      <w:r w:rsidRPr="001213F7">
        <w:lastRenderedPageBreak/>
        <w:t xml:space="preserve">To quantify the effects of a more persistent global oil shock and the domestic responses to a prolonged conflict outlined above, this scenario simultaneously applies several shocks. These are: </w:t>
      </w:r>
    </w:p>
    <w:p w14:paraId="1CC05BD5" w14:textId="77777777" w:rsidR="00900469" w:rsidRPr="001213F7" w:rsidRDefault="00900469" w:rsidP="00D20C0A">
      <w:pPr>
        <w:pStyle w:val="ListBullet"/>
        <w:numPr>
          <w:ilvl w:val="0"/>
          <w:numId w:val="13"/>
        </w:numPr>
      </w:pPr>
      <w:r w:rsidRPr="001213F7">
        <w:t>an increase in global crude oil prices above the base case forecasts (equivalent to a West Texas Intermediate oil price of about USD130 per barrel in the June quarter 2026, easing to around pre-conflict levels by mid-2029; this compares with the base case assumption of a 50 per cent increase in oil prices to about USD100 per barrel in the June quarter 2026, which eases to near pre-conflict levels by end 2026 and reaches pre-conflict levels by mid-2027), as well as partial flow-through to LNG and refined petroleum prices</w:t>
      </w:r>
    </w:p>
    <w:p w14:paraId="1A8FAA8F" w14:textId="77777777" w:rsidR="00900469" w:rsidRPr="001213F7" w:rsidRDefault="00900469" w:rsidP="00D20C0A">
      <w:pPr>
        <w:pStyle w:val="ListBullet"/>
        <w:numPr>
          <w:ilvl w:val="0"/>
          <w:numId w:val="13"/>
        </w:numPr>
      </w:pPr>
      <w:r w:rsidRPr="001213F7">
        <w:t>a reduction in the household savings ratio as consumers save less of their incomes due to rising prices</w:t>
      </w:r>
    </w:p>
    <w:p w14:paraId="148F01EC" w14:textId="77777777" w:rsidR="00900469" w:rsidRPr="001213F7" w:rsidRDefault="00900469" w:rsidP="00D20C0A">
      <w:pPr>
        <w:pStyle w:val="ListBullet"/>
        <w:numPr>
          <w:ilvl w:val="0"/>
          <w:numId w:val="13"/>
        </w:numPr>
      </w:pPr>
      <w:r w:rsidRPr="001213F7">
        <w:t>slightly weaker productivity due to heightened investor risk aversion and uncertainty, affecting innovation; in the scenario, these shocks peak in mid-to-late 2026 before gradually returning to zero by mid</w:t>
      </w:r>
      <w:r w:rsidRPr="001213F7">
        <w:noBreakHyphen/>
        <w:t>2029.</w:t>
      </w:r>
    </w:p>
    <w:p w14:paraId="4D4989A2" w14:textId="77777777" w:rsidR="00900469" w:rsidRPr="001213F7" w:rsidRDefault="00900469">
      <w:r w:rsidRPr="001213F7">
        <w:t xml:space="preserve">In this scenario, higher oil prices and a prolonged conflict in the Middle East weigh on the Victorian economy, with the peak negative economic impact occurring in 2026-27, as consumers face a fall in real incomes due to higher prices and as productivity falls due to dampened innovation. Household consumption falls, although this is partially mitigated by households saving less of their income than they did before. </w:t>
      </w:r>
    </w:p>
    <w:p w14:paraId="1931EFF5" w14:textId="77777777" w:rsidR="00900469" w:rsidRPr="001213F7" w:rsidRDefault="00900469">
      <w:r w:rsidRPr="001213F7">
        <w:t xml:space="preserve">The impact on net trade is negative because higher prices (which also partly flow to higher nominal wages from 2026-27 to 2028-29) and weaker productivity result in a loss in Australia’s relative competitiveness. This appreciation of the real exchange rate, alongside a fall in aggregate production and some diversion from exports to meet domestic consumer demand, cause exports to fall below the base case. Imports also fall, driven by weaker domestic household consumption and weaker industry demand as economic activity slows. The fall in exports outweighs the fall in imports, meaning that net trade falls, further contributing to the fall in GSP (see Chart 6.1). </w:t>
      </w:r>
    </w:p>
    <w:p w14:paraId="2BCF5742" w14:textId="77777777" w:rsidR="00900469" w:rsidRPr="001213F7" w:rsidRDefault="00900469">
      <w:pPr>
        <w:ind w:right="-37"/>
      </w:pPr>
      <w:r w:rsidRPr="001213F7">
        <w:t>However, a recovery occurs from 2028-29, aided by lower real wage growth which reduces costs for businesses and enables more goods and services to be produced. While nominal wages initially increase in the forecast period, they ease back toward base case levels by 2028-29; however, with inflation rising more strongly, real wages are lower across the forward estimates. This results in a reduction in real labour costs that improves Australia’s cost competitiveness, placing downward pressure on the real exchange rate, which depreciates relative to the base case from 2027</w:t>
      </w:r>
      <w:r w:rsidRPr="001213F7">
        <w:noBreakHyphen/>
        <w:t xml:space="preserve">28 onwards. Shocks to prices ease and productivity gradually returns to base case levels, driving a recovery in economic activity in 2028-29. </w:t>
      </w:r>
    </w:p>
    <w:p w14:paraId="4C533CDE" w14:textId="3DA60D5F" w:rsidR="00900469" w:rsidRPr="001213F7" w:rsidRDefault="00900469">
      <w:pPr>
        <w:ind w:right="143"/>
      </w:pPr>
      <w:r w:rsidRPr="001213F7">
        <w:lastRenderedPageBreak/>
        <w:t>In reality, the impact of the Middle East conflict on inflation is uncertain. The RBA noted in February that this supply shock could add to inflationary pressures</w:t>
      </w:r>
      <w:r w:rsidR="007740D2" w:rsidRPr="001213F7">
        <w:t>;</w:t>
      </w:r>
      <w:r w:rsidRPr="001213F7">
        <w:t xml:space="preserve">  conversely</w:t>
      </w:r>
      <w:r w:rsidR="00571EEF" w:rsidRPr="001213F7">
        <w:t>,</w:t>
      </w:r>
      <w:r w:rsidRPr="001213F7">
        <w:t xml:space="preserve"> a prolonged impact on energy markets could also adversely impact global economic activity, resulting in downward pressure on inflation. In the modelled scenario presented here, the inflationary impacts of higher global energy prices more than offset the downward pressure on prices stemming from weaker consumer spending and business investment, leading to higher domestic inflation than in the base case. Yet this should be viewed as purely illustrative, given different magnitudes of the various economic shocks are also plausible, which could lead to different results for domestic economic growth and inflation.</w:t>
      </w:r>
    </w:p>
    <w:p w14:paraId="3052EBD6" w14:textId="4AD54E8F" w:rsidR="00900469" w:rsidRPr="001213F7" w:rsidRDefault="00900469" w:rsidP="00C506CD">
      <w:pPr>
        <w:ind w:right="-127"/>
      </w:pPr>
      <w:r w:rsidRPr="001213F7">
        <w:t>In this scenario, real business investment falls by 0.60 per cent in 2026-27 and 0.06 per cent in 2027-28, compared with the base case, before recovering to 0.11 per cent above the base case in 2028-29 and 2029-30. Real household consumption falls by 0.62 per cent in 2026-27 and 0.16 per cent in 2027-28, relative to base case forecasts, recovering from 2028-29 onwards. Collectively, these shocks result in the level of Victoria’s real GSP being 0.72</w:t>
      </w:r>
      <w:r w:rsidR="00C506CD">
        <w:t> </w:t>
      </w:r>
      <w:r w:rsidRPr="001213F7">
        <w:t>per</w:t>
      </w:r>
      <w:r w:rsidR="00C506CD">
        <w:t> </w:t>
      </w:r>
      <w:r w:rsidRPr="001213F7">
        <w:t>cent weaker than the base case in 2026-27 and 0.24 per cent weaker than the base case in 2027-28. As the shocks dissipate from late 2026 to mid</w:t>
      </w:r>
      <w:r w:rsidRPr="001213F7">
        <w:noBreakHyphen/>
        <w:t>2029, Victoria’s GSP recovers in 2028-29, also driven by falls in the real exchange rate and real wages.</w:t>
      </w:r>
    </w:p>
    <w:p w14:paraId="782E4CC0" w14:textId="4C8E63FB" w:rsidR="00900469" w:rsidRPr="001213F7" w:rsidRDefault="00900469">
      <w:pPr>
        <w:ind w:right="53"/>
      </w:pPr>
      <w:r w:rsidRPr="001213F7">
        <w:t>The overall fall in economic activity, coupled with a near-term rise in nominal wages due</w:t>
      </w:r>
      <w:r w:rsidR="00C506CD">
        <w:t> </w:t>
      </w:r>
      <w:r w:rsidRPr="001213F7">
        <w:t>to higher inflation, both decrease labour demand which results in the unemployment rate being 0.57 percentage points higher in 2026-27 than the base case. This higher unemployment rate places downward pressure later in the projection period on real wages</w:t>
      </w:r>
      <w:r w:rsidR="00C506CD">
        <w:t> </w:t>
      </w:r>
      <w:r w:rsidRPr="001213F7">
        <w:t xml:space="preserve">growth, hence over time making labour more attractive to firms. Therefore, the unemployment rate recovers to 0.15 percentage points below the base case in 2028-29, further improving to 0.18 percentage points below the base case in 2029-30. The level of employment falls by 0.50 per cent in 2026-27 and 0.07 per cent in 2027-28 compared with the base case, before recovering by 2028-29. Consumer prices peak, in year-average terms, at 1.28 per cent higher than the base case in 2026-27 and, although inflationary impacts ease as oil prices return to the base case, consumer prices remain above base case forecasts across the entire period. </w:t>
      </w:r>
    </w:p>
    <w:p w14:paraId="2343640D" w14:textId="77777777" w:rsidR="00900469" w:rsidRPr="001213F7" w:rsidRDefault="00900469">
      <w:pPr>
        <w:ind w:right="151"/>
      </w:pPr>
      <w:r w:rsidRPr="001213F7">
        <w:t xml:space="preserve">This scenario assumes that government consumption remains unchanged, with no further discretionary fiscal expenditure in response to the shock. In practice, though, governments and the RBA may intervene to mitigate the shock’s impacts. </w:t>
      </w:r>
    </w:p>
    <w:p w14:paraId="6B621BC4" w14:textId="77777777" w:rsidR="00900469" w:rsidRPr="001213F7" w:rsidRDefault="00900469">
      <w:r w:rsidRPr="001213F7">
        <w:t xml:space="preserve">Table 6.1 details the effects of this scenario. </w:t>
      </w:r>
    </w:p>
    <w:p w14:paraId="2DD00E43" w14:textId="77777777" w:rsidR="00900469" w:rsidRPr="001213F7" w:rsidRDefault="00900469">
      <w:pPr>
        <w:ind w:right="151"/>
      </w:pPr>
    </w:p>
    <w:p w14:paraId="21BFF516" w14:textId="77777777" w:rsidR="00900469" w:rsidRPr="001213F7" w:rsidRDefault="00900469">
      <w:pPr>
        <w:pStyle w:val="TableHeading"/>
      </w:pPr>
      <w:r w:rsidRPr="001213F7">
        <w:lastRenderedPageBreak/>
        <w:t xml:space="preserve">Chart 6.1: </w:t>
      </w:r>
      <w:r w:rsidRPr="001213F7">
        <w:tab/>
        <w:t>The impact of a more prolonged conflict in the Middle East and more persistent global oil shock on select variables</w:t>
      </w:r>
    </w:p>
    <w:p w14:paraId="5C2A112D" w14:textId="77777777" w:rsidR="00900469" w:rsidRPr="001213F7" w:rsidRDefault="00900469">
      <w:pPr>
        <w:pStyle w:val="TableHeading"/>
      </w:pPr>
    </w:p>
    <w:p w14:paraId="54E1D06D" w14:textId="77777777" w:rsidR="00900469" w:rsidRPr="001213F7" w:rsidRDefault="00900469">
      <w:r w:rsidRPr="001213F7">
        <w:rPr>
          <w:noProof/>
        </w:rPr>
        <w:drawing>
          <wp:inline distT="0" distB="0" distL="0" distR="0" wp14:anchorId="244EC433" wp14:editId="7CC98EB2">
            <wp:extent cx="4796366" cy="2552700"/>
            <wp:effectExtent l="0" t="0" r="4445" b="0"/>
            <wp:docPr id="1342991419" name="Chart 1">
              <a:extLst xmlns:a="http://schemas.openxmlformats.org/drawingml/2006/main">
                <a:ext uri="{FF2B5EF4-FFF2-40B4-BE49-F238E27FC236}">
                  <a16:creationId xmlns:a16="http://schemas.microsoft.com/office/drawing/2014/main" id="{00000000-0008-0000-0000-00001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7605C0B5" w14:textId="77777777" w:rsidR="00900469" w:rsidRPr="001213F7" w:rsidRDefault="00900469">
      <w:pPr>
        <w:pStyle w:val="Source"/>
      </w:pPr>
      <w:r w:rsidRPr="001213F7">
        <w:t>Sources: Centre of Policy Studies; Department of Treasury and Finance</w:t>
      </w:r>
    </w:p>
    <w:p w14:paraId="55BEDB29" w14:textId="77777777" w:rsidR="00900469" w:rsidRPr="001213F7" w:rsidRDefault="00900469">
      <w:pPr>
        <w:pStyle w:val="Source"/>
      </w:pPr>
    </w:p>
    <w:p w14:paraId="15EA9408" w14:textId="77777777" w:rsidR="00900469" w:rsidRPr="001213F7" w:rsidRDefault="00900469">
      <w:pPr>
        <w:pStyle w:val="TableHeading"/>
      </w:pPr>
      <w:r w:rsidRPr="001213F7">
        <w:t>Table 6.1:</w:t>
      </w:r>
      <w:r w:rsidRPr="001213F7">
        <w:tab/>
        <w:t>Projected impact of a more prolonged conflict in the Middle East and more persistent global oil shock on major economic parameters</w:t>
      </w:r>
      <w:r w:rsidRPr="001213F7">
        <w:rPr>
          <w:vertAlign w:val="superscript"/>
        </w:rPr>
        <w:t>(a)</w:t>
      </w:r>
      <w:r w:rsidRPr="001213F7">
        <w:tab/>
      </w:r>
    </w:p>
    <w:p w14:paraId="633DAC1B" w14:textId="77777777" w:rsidR="00900469" w:rsidRPr="001213F7" w:rsidRDefault="00900469">
      <w:pPr>
        <w:pStyle w:val="TableHeading"/>
      </w:pPr>
      <w:r w:rsidRPr="001213F7">
        <w:tab/>
      </w:r>
      <w:r w:rsidRPr="001213F7">
        <w:tab/>
        <w:t>(per cent)</w:t>
      </w:r>
    </w:p>
    <w:tbl>
      <w:tblPr>
        <w:tblStyle w:val="DTFTableNumeric1"/>
        <w:tblW w:w="7770" w:type="dxa"/>
        <w:tblLayout w:type="fixed"/>
        <w:tblLook w:val="06E0" w:firstRow="1" w:lastRow="1" w:firstColumn="1" w:lastColumn="0" w:noHBand="1" w:noVBand="1"/>
      </w:tblPr>
      <w:tblGrid>
        <w:gridCol w:w="3686"/>
        <w:gridCol w:w="1276"/>
        <w:gridCol w:w="992"/>
        <w:gridCol w:w="850"/>
        <w:gridCol w:w="966"/>
      </w:tblGrid>
      <w:tr w:rsidR="00900469" w:rsidRPr="001213F7" w14:paraId="66DA1576" w14:textId="77777777">
        <w:trPr>
          <w:cnfStyle w:val="100000000000" w:firstRow="1" w:lastRow="0" w:firstColumn="0" w:lastColumn="0" w:oddVBand="0" w:evenVBand="0" w:oddHBand="0"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3686" w:type="dxa"/>
            <w:hideMark/>
          </w:tcPr>
          <w:p w14:paraId="5000604C" w14:textId="77777777" w:rsidR="00900469" w:rsidRPr="001213F7" w:rsidRDefault="00900469">
            <w:pPr>
              <w:autoSpaceDE w:val="0"/>
              <w:autoSpaceDN w:val="0"/>
              <w:adjustRightInd w:val="0"/>
              <w:rPr>
                <w:rFonts w:ascii="Garamond" w:eastAsia="MS Mincho" w:hAnsi="Garamond" w:cs="Calibri"/>
                <w:iCs/>
                <w:szCs w:val="17"/>
                <w:lang w:eastAsia="en-AU"/>
              </w:rPr>
            </w:pPr>
          </w:p>
          <w:p w14:paraId="397B314E" w14:textId="77777777" w:rsidR="00900469" w:rsidRPr="001213F7" w:rsidRDefault="00900469">
            <w:pPr>
              <w:autoSpaceDE w:val="0"/>
              <w:autoSpaceDN w:val="0"/>
              <w:adjustRightInd w:val="0"/>
              <w:rPr>
                <w:rFonts w:ascii="Garamond" w:eastAsia="MS Mincho" w:hAnsi="Garamond" w:cs="Calibri"/>
                <w:iCs/>
                <w:szCs w:val="17"/>
                <w:lang w:eastAsia="en-AU"/>
              </w:rPr>
            </w:pPr>
            <w:r w:rsidRPr="001213F7">
              <w:rPr>
                <w:rFonts w:ascii="Garamond" w:eastAsia="MS Mincho" w:hAnsi="Garamond" w:cs="Calibri"/>
                <w:iCs/>
                <w:szCs w:val="17"/>
                <w:lang w:eastAsia="en-AU"/>
              </w:rPr>
              <w:t xml:space="preserve"> </w:t>
            </w:r>
          </w:p>
        </w:tc>
        <w:tc>
          <w:tcPr>
            <w:tcW w:w="1276" w:type="dxa"/>
            <w:hideMark/>
          </w:tcPr>
          <w:p w14:paraId="461F542E" w14:textId="77777777" w:rsidR="00900469" w:rsidRPr="001213F7" w:rsidRDefault="00900469">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Theme="majorHAnsi" w:eastAsia="MS Mincho" w:hAnsiTheme="majorHAnsi" w:cstheme="majorHAnsi"/>
                <w:iCs/>
                <w:szCs w:val="17"/>
                <w:lang w:eastAsia="en-AU"/>
              </w:rPr>
            </w:pPr>
            <w:r w:rsidRPr="001213F7">
              <w:rPr>
                <w:rFonts w:asciiTheme="majorHAnsi" w:eastAsia="MS Mincho" w:hAnsiTheme="majorHAnsi" w:cstheme="majorHAnsi"/>
                <w:iCs/>
                <w:szCs w:val="17"/>
                <w:lang w:eastAsia="en-AU"/>
              </w:rPr>
              <w:t>2026-27</w:t>
            </w:r>
            <w:r w:rsidRPr="001213F7">
              <w:rPr>
                <w:rFonts w:asciiTheme="majorHAnsi" w:eastAsia="MS Mincho" w:hAnsiTheme="majorHAnsi" w:cstheme="majorHAnsi"/>
                <w:iCs/>
                <w:szCs w:val="17"/>
                <w:lang w:eastAsia="en-AU"/>
              </w:rPr>
              <w:br/>
              <w:t>estimate</w:t>
            </w:r>
          </w:p>
        </w:tc>
        <w:tc>
          <w:tcPr>
            <w:tcW w:w="992" w:type="dxa"/>
          </w:tcPr>
          <w:p w14:paraId="3AED3031" w14:textId="77777777" w:rsidR="00900469" w:rsidRPr="001213F7" w:rsidRDefault="00900469">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Theme="majorHAnsi" w:eastAsia="MS Mincho" w:hAnsiTheme="majorHAnsi" w:cstheme="majorHAnsi"/>
                <w:iCs/>
                <w:szCs w:val="17"/>
                <w:lang w:eastAsia="en-AU"/>
              </w:rPr>
            </w:pPr>
            <w:r w:rsidRPr="001213F7">
              <w:rPr>
                <w:rFonts w:asciiTheme="majorHAnsi" w:eastAsia="MS Mincho" w:hAnsiTheme="majorHAnsi" w:cstheme="majorHAnsi"/>
                <w:iCs/>
                <w:szCs w:val="17"/>
                <w:lang w:eastAsia="en-AU"/>
              </w:rPr>
              <w:t>2027-28</w:t>
            </w:r>
            <w:r w:rsidRPr="001213F7">
              <w:rPr>
                <w:rFonts w:asciiTheme="majorHAnsi" w:eastAsia="MS Mincho" w:hAnsiTheme="majorHAnsi" w:cstheme="majorHAnsi"/>
                <w:iCs/>
                <w:szCs w:val="17"/>
                <w:lang w:eastAsia="en-AU"/>
              </w:rPr>
              <w:br/>
              <w:t>estimate</w:t>
            </w:r>
          </w:p>
        </w:tc>
        <w:tc>
          <w:tcPr>
            <w:tcW w:w="850" w:type="dxa"/>
          </w:tcPr>
          <w:p w14:paraId="385EAC95" w14:textId="77777777" w:rsidR="00900469" w:rsidRPr="001213F7" w:rsidRDefault="00900469">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Theme="majorHAnsi" w:eastAsia="MS Mincho" w:hAnsiTheme="majorHAnsi" w:cstheme="majorHAnsi"/>
                <w:iCs/>
                <w:szCs w:val="17"/>
                <w:lang w:eastAsia="en-AU"/>
              </w:rPr>
            </w:pPr>
            <w:r w:rsidRPr="001213F7">
              <w:rPr>
                <w:rFonts w:asciiTheme="majorHAnsi" w:eastAsia="MS Mincho" w:hAnsiTheme="majorHAnsi" w:cstheme="majorHAnsi"/>
                <w:iCs/>
                <w:szCs w:val="17"/>
                <w:lang w:eastAsia="en-AU"/>
              </w:rPr>
              <w:t>2028-29</w:t>
            </w:r>
          </w:p>
          <w:p w14:paraId="230F8F5F" w14:textId="77777777" w:rsidR="00900469" w:rsidRPr="001213F7" w:rsidRDefault="00900469">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Theme="majorHAnsi" w:eastAsia="MS Mincho" w:hAnsiTheme="majorHAnsi" w:cstheme="majorHAnsi"/>
                <w:iCs/>
                <w:szCs w:val="17"/>
                <w:lang w:eastAsia="en-AU"/>
              </w:rPr>
            </w:pPr>
            <w:r w:rsidRPr="001213F7">
              <w:rPr>
                <w:rFonts w:asciiTheme="majorHAnsi" w:eastAsia="MS Mincho" w:hAnsiTheme="majorHAnsi" w:cstheme="majorHAnsi"/>
                <w:iCs/>
                <w:szCs w:val="17"/>
                <w:lang w:eastAsia="en-AU"/>
              </w:rPr>
              <w:t>estimate</w:t>
            </w:r>
          </w:p>
        </w:tc>
        <w:tc>
          <w:tcPr>
            <w:tcW w:w="966" w:type="dxa"/>
          </w:tcPr>
          <w:p w14:paraId="26FBEEAE" w14:textId="77777777" w:rsidR="00900469" w:rsidRPr="001213F7" w:rsidRDefault="00900469">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Theme="majorHAnsi" w:eastAsia="MS Mincho" w:hAnsiTheme="majorHAnsi" w:cstheme="majorHAnsi"/>
                <w:iCs/>
                <w:szCs w:val="17"/>
                <w:lang w:eastAsia="en-AU"/>
              </w:rPr>
            </w:pPr>
            <w:r w:rsidRPr="001213F7">
              <w:rPr>
                <w:rFonts w:asciiTheme="majorHAnsi" w:eastAsia="MS Mincho" w:hAnsiTheme="majorHAnsi" w:cstheme="majorHAnsi"/>
                <w:iCs/>
                <w:szCs w:val="17"/>
                <w:lang w:eastAsia="en-AU"/>
              </w:rPr>
              <w:t>2029-30</w:t>
            </w:r>
          </w:p>
          <w:p w14:paraId="2A004169" w14:textId="77777777" w:rsidR="00900469" w:rsidRPr="001213F7" w:rsidRDefault="00900469">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Theme="majorHAnsi" w:eastAsia="MS Mincho" w:hAnsiTheme="majorHAnsi" w:cstheme="majorHAnsi"/>
                <w:iCs/>
                <w:szCs w:val="17"/>
                <w:lang w:eastAsia="en-AU"/>
              </w:rPr>
            </w:pPr>
            <w:r w:rsidRPr="001213F7">
              <w:rPr>
                <w:rFonts w:asciiTheme="majorHAnsi" w:eastAsia="MS Mincho" w:hAnsiTheme="majorHAnsi" w:cstheme="majorHAnsi"/>
                <w:iCs/>
                <w:szCs w:val="17"/>
                <w:lang w:eastAsia="en-AU"/>
              </w:rPr>
              <w:t>estimate</w:t>
            </w:r>
          </w:p>
        </w:tc>
      </w:tr>
      <w:tr w:rsidR="00900469" w:rsidRPr="001213F7" w14:paraId="3C17D9C8" w14:textId="77777777">
        <w:tc>
          <w:tcPr>
            <w:cnfStyle w:val="001000000000" w:firstRow="0" w:lastRow="0" w:firstColumn="1" w:lastColumn="0" w:oddVBand="0" w:evenVBand="0" w:oddHBand="0" w:evenHBand="0" w:firstRowFirstColumn="0" w:firstRowLastColumn="0" w:lastRowFirstColumn="0" w:lastRowLastColumn="0"/>
            <w:tcW w:w="3686" w:type="dxa"/>
            <w:hideMark/>
          </w:tcPr>
          <w:p w14:paraId="5776322C" w14:textId="77777777" w:rsidR="00900469" w:rsidRPr="001213F7" w:rsidRDefault="00900469">
            <w:pPr>
              <w:autoSpaceDE w:val="0"/>
              <w:autoSpaceDN w:val="0"/>
              <w:adjustRightInd w:val="0"/>
              <w:rPr>
                <w:rFonts w:asciiTheme="majorHAnsi" w:eastAsia="MS Mincho" w:hAnsiTheme="majorHAnsi" w:cstheme="majorHAnsi"/>
                <w:szCs w:val="17"/>
                <w:lang w:eastAsia="en-AU"/>
              </w:rPr>
            </w:pPr>
            <w:r w:rsidRPr="001213F7">
              <w:rPr>
                <w:rFonts w:asciiTheme="majorHAnsi" w:eastAsia="MS Mincho" w:hAnsiTheme="majorHAnsi" w:cstheme="majorHAnsi"/>
                <w:szCs w:val="17"/>
                <w:lang w:eastAsia="en-AU"/>
              </w:rPr>
              <w:t>Real GSP</w:t>
            </w:r>
          </w:p>
        </w:tc>
        <w:tc>
          <w:tcPr>
            <w:tcW w:w="1276" w:type="dxa"/>
            <w:vAlign w:val="center"/>
          </w:tcPr>
          <w:p w14:paraId="6C6FA7CF" w14:textId="77777777" w:rsidR="00900469" w:rsidRPr="001213F7" w:rsidRDefault="00900469">
            <w:pPr>
              <w:cnfStyle w:val="000000000000" w:firstRow="0" w:lastRow="0" w:firstColumn="0" w:lastColumn="0" w:oddVBand="0" w:evenVBand="0" w:oddHBand="0" w:evenHBand="0" w:firstRowFirstColumn="0" w:firstRowLastColumn="0" w:lastRowFirstColumn="0" w:lastRowLastColumn="0"/>
              <w:rPr>
                <w:rFonts w:ascii="Garamond" w:eastAsia="Garamond" w:hAnsi="Garamond" w:cs="Calibri"/>
                <w:szCs w:val="17"/>
              </w:rPr>
            </w:pPr>
            <w:r w:rsidRPr="001213F7">
              <w:rPr>
                <w:rFonts w:eastAsia="Garamond" w:cs="Calibri"/>
                <w:color w:val="232B39"/>
                <w:szCs w:val="17"/>
              </w:rPr>
              <w:t>(0.72)</w:t>
            </w:r>
          </w:p>
        </w:tc>
        <w:tc>
          <w:tcPr>
            <w:tcW w:w="992" w:type="dxa"/>
            <w:vAlign w:val="center"/>
          </w:tcPr>
          <w:p w14:paraId="1285AAA3" w14:textId="77777777" w:rsidR="00900469" w:rsidRPr="001213F7" w:rsidRDefault="00900469">
            <w:pPr>
              <w:cnfStyle w:val="000000000000" w:firstRow="0" w:lastRow="0" w:firstColumn="0" w:lastColumn="0" w:oddVBand="0" w:evenVBand="0" w:oddHBand="0" w:evenHBand="0" w:firstRowFirstColumn="0" w:firstRowLastColumn="0" w:lastRowFirstColumn="0" w:lastRowLastColumn="0"/>
              <w:rPr>
                <w:rFonts w:ascii="Garamond" w:eastAsia="Garamond" w:hAnsi="Garamond" w:cs="Calibri"/>
                <w:szCs w:val="17"/>
              </w:rPr>
            </w:pPr>
            <w:r w:rsidRPr="001213F7">
              <w:rPr>
                <w:rFonts w:eastAsia="Garamond" w:cs="Calibri"/>
                <w:color w:val="232B39"/>
                <w:szCs w:val="17"/>
              </w:rPr>
              <w:t>(0.24)</w:t>
            </w:r>
          </w:p>
        </w:tc>
        <w:tc>
          <w:tcPr>
            <w:tcW w:w="850" w:type="dxa"/>
            <w:vAlign w:val="center"/>
          </w:tcPr>
          <w:p w14:paraId="2CEFDB33" w14:textId="77777777" w:rsidR="00900469" w:rsidRPr="001213F7" w:rsidRDefault="00900469">
            <w:pPr>
              <w:cnfStyle w:val="000000000000" w:firstRow="0" w:lastRow="0" w:firstColumn="0" w:lastColumn="0" w:oddVBand="0" w:evenVBand="0" w:oddHBand="0" w:evenHBand="0" w:firstRowFirstColumn="0" w:firstRowLastColumn="0" w:lastRowFirstColumn="0" w:lastRowLastColumn="0"/>
              <w:rPr>
                <w:rFonts w:ascii="Garamond" w:eastAsia="Garamond" w:hAnsi="Garamond" w:cs="Calibri"/>
                <w:szCs w:val="17"/>
              </w:rPr>
            </w:pPr>
            <w:r w:rsidRPr="001213F7">
              <w:rPr>
                <w:rFonts w:eastAsia="Garamond" w:cs="Calibri"/>
                <w:color w:val="232B39"/>
                <w:szCs w:val="17"/>
              </w:rPr>
              <w:t>(0.02)</w:t>
            </w:r>
          </w:p>
        </w:tc>
        <w:tc>
          <w:tcPr>
            <w:tcW w:w="966" w:type="dxa"/>
            <w:vAlign w:val="center"/>
          </w:tcPr>
          <w:p w14:paraId="08B8FEE9" w14:textId="77777777" w:rsidR="00900469" w:rsidRPr="001213F7" w:rsidRDefault="00900469">
            <w:pPr>
              <w:cnfStyle w:val="000000000000" w:firstRow="0" w:lastRow="0" w:firstColumn="0" w:lastColumn="0" w:oddVBand="0" w:evenVBand="0" w:oddHBand="0" w:evenHBand="0" w:firstRowFirstColumn="0" w:firstRowLastColumn="0" w:lastRowFirstColumn="0" w:lastRowLastColumn="0"/>
              <w:rPr>
                <w:rFonts w:ascii="Garamond" w:eastAsia="Garamond" w:hAnsi="Garamond" w:cs="Calibri"/>
                <w:szCs w:val="17"/>
              </w:rPr>
            </w:pPr>
            <w:r w:rsidRPr="001213F7">
              <w:rPr>
                <w:rFonts w:eastAsia="Garamond" w:cs="Calibri"/>
                <w:color w:val="232B39"/>
                <w:szCs w:val="17"/>
              </w:rPr>
              <w:t>0.05</w:t>
            </w:r>
          </w:p>
        </w:tc>
      </w:tr>
      <w:tr w:rsidR="00900469" w:rsidRPr="001213F7" w14:paraId="55B93A29" w14:textId="77777777">
        <w:tc>
          <w:tcPr>
            <w:cnfStyle w:val="001000000000" w:firstRow="0" w:lastRow="0" w:firstColumn="1" w:lastColumn="0" w:oddVBand="0" w:evenVBand="0" w:oddHBand="0" w:evenHBand="0" w:firstRowFirstColumn="0" w:firstRowLastColumn="0" w:lastRowFirstColumn="0" w:lastRowLastColumn="0"/>
            <w:tcW w:w="3686" w:type="dxa"/>
            <w:hideMark/>
          </w:tcPr>
          <w:p w14:paraId="7A0A9CC7" w14:textId="77777777" w:rsidR="00900469" w:rsidRPr="001213F7" w:rsidRDefault="00900469">
            <w:pPr>
              <w:autoSpaceDE w:val="0"/>
              <w:autoSpaceDN w:val="0"/>
              <w:adjustRightInd w:val="0"/>
              <w:rPr>
                <w:rFonts w:asciiTheme="majorHAnsi" w:eastAsia="MS Mincho" w:hAnsiTheme="majorHAnsi" w:cstheme="majorHAnsi"/>
                <w:szCs w:val="17"/>
                <w:lang w:eastAsia="en-AU"/>
              </w:rPr>
            </w:pPr>
            <w:r w:rsidRPr="001213F7">
              <w:rPr>
                <w:rFonts w:asciiTheme="majorHAnsi" w:eastAsia="MS Mincho" w:hAnsiTheme="majorHAnsi" w:cstheme="majorHAnsi"/>
                <w:szCs w:val="17"/>
                <w:lang w:eastAsia="en-AU"/>
              </w:rPr>
              <w:t>Employment (levels)</w:t>
            </w:r>
          </w:p>
        </w:tc>
        <w:tc>
          <w:tcPr>
            <w:tcW w:w="1276" w:type="dxa"/>
            <w:vAlign w:val="center"/>
          </w:tcPr>
          <w:p w14:paraId="042D774E" w14:textId="77777777" w:rsidR="00900469" w:rsidRPr="001213F7" w:rsidRDefault="00900469">
            <w:pPr>
              <w:cnfStyle w:val="000000000000" w:firstRow="0" w:lastRow="0" w:firstColumn="0" w:lastColumn="0" w:oddVBand="0" w:evenVBand="0" w:oddHBand="0" w:evenHBand="0" w:firstRowFirstColumn="0" w:firstRowLastColumn="0" w:lastRowFirstColumn="0" w:lastRowLastColumn="0"/>
              <w:rPr>
                <w:rFonts w:ascii="Garamond" w:eastAsia="Garamond" w:hAnsi="Garamond" w:cs="Calibri"/>
                <w:szCs w:val="17"/>
              </w:rPr>
            </w:pPr>
            <w:r w:rsidRPr="001213F7">
              <w:rPr>
                <w:rFonts w:eastAsia="Garamond" w:cs="Calibri"/>
                <w:color w:val="232B39"/>
                <w:szCs w:val="17"/>
              </w:rPr>
              <w:t>(0.50)</w:t>
            </w:r>
          </w:p>
        </w:tc>
        <w:tc>
          <w:tcPr>
            <w:tcW w:w="992" w:type="dxa"/>
            <w:vAlign w:val="center"/>
          </w:tcPr>
          <w:p w14:paraId="5F46AC4C" w14:textId="77777777" w:rsidR="00900469" w:rsidRPr="001213F7" w:rsidRDefault="00900469">
            <w:pPr>
              <w:cnfStyle w:val="000000000000" w:firstRow="0" w:lastRow="0" w:firstColumn="0" w:lastColumn="0" w:oddVBand="0" w:evenVBand="0" w:oddHBand="0" w:evenHBand="0" w:firstRowFirstColumn="0" w:firstRowLastColumn="0" w:lastRowFirstColumn="0" w:lastRowLastColumn="0"/>
              <w:rPr>
                <w:rFonts w:ascii="Garamond" w:eastAsia="Garamond" w:hAnsi="Garamond" w:cs="Calibri"/>
                <w:szCs w:val="17"/>
              </w:rPr>
            </w:pPr>
            <w:r w:rsidRPr="001213F7">
              <w:rPr>
                <w:rFonts w:eastAsia="Garamond" w:cs="Calibri"/>
                <w:color w:val="232B39"/>
                <w:szCs w:val="17"/>
              </w:rPr>
              <w:t>(0.07)</w:t>
            </w:r>
          </w:p>
        </w:tc>
        <w:tc>
          <w:tcPr>
            <w:tcW w:w="850" w:type="dxa"/>
            <w:vAlign w:val="center"/>
          </w:tcPr>
          <w:p w14:paraId="354CCBF5" w14:textId="77777777" w:rsidR="00900469" w:rsidRPr="001213F7" w:rsidRDefault="00900469">
            <w:pPr>
              <w:cnfStyle w:val="000000000000" w:firstRow="0" w:lastRow="0" w:firstColumn="0" w:lastColumn="0" w:oddVBand="0" w:evenVBand="0" w:oddHBand="0" w:evenHBand="0" w:firstRowFirstColumn="0" w:firstRowLastColumn="0" w:lastRowFirstColumn="0" w:lastRowLastColumn="0"/>
              <w:rPr>
                <w:rFonts w:ascii="Garamond" w:eastAsia="Garamond" w:hAnsi="Garamond" w:cs="Calibri"/>
                <w:szCs w:val="17"/>
              </w:rPr>
            </w:pPr>
            <w:r w:rsidRPr="001213F7">
              <w:rPr>
                <w:rFonts w:eastAsia="Garamond" w:cs="Calibri"/>
                <w:color w:val="232B39"/>
                <w:szCs w:val="17"/>
              </w:rPr>
              <w:t>0.10</w:t>
            </w:r>
          </w:p>
        </w:tc>
        <w:tc>
          <w:tcPr>
            <w:tcW w:w="966" w:type="dxa"/>
            <w:vAlign w:val="center"/>
          </w:tcPr>
          <w:p w14:paraId="5E394281" w14:textId="77777777" w:rsidR="00900469" w:rsidRPr="001213F7" w:rsidRDefault="00900469">
            <w:pPr>
              <w:cnfStyle w:val="000000000000" w:firstRow="0" w:lastRow="0" w:firstColumn="0" w:lastColumn="0" w:oddVBand="0" w:evenVBand="0" w:oddHBand="0" w:evenHBand="0" w:firstRowFirstColumn="0" w:firstRowLastColumn="0" w:lastRowFirstColumn="0" w:lastRowLastColumn="0"/>
              <w:rPr>
                <w:rFonts w:ascii="Garamond" w:eastAsia="Garamond" w:hAnsi="Garamond" w:cs="Calibri"/>
                <w:szCs w:val="17"/>
              </w:rPr>
            </w:pPr>
            <w:r w:rsidRPr="001213F7">
              <w:rPr>
                <w:rFonts w:eastAsia="Garamond" w:cs="Calibri"/>
                <w:color w:val="232B39"/>
                <w:szCs w:val="17"/>
              </w:rPr>
              <w:t>0.14</w:t>
            </w:r>
          </w:p>
        </w:tc>
      </w:tr>
      <w:tr w:rsidR="00900469" w:rsidRPr="001213F7" w14:paraId="176125E4" w14:textId="77777777">
        <w:tc>
          <w:tcPr>
            <w:cnfStyle w:val="001000000000" w:firstRow="0" w:lastRow="0" w:firstColumn="1" w:lastColumn="0" w:oddVBand="0" w:evenVBand="0" w:oddHBand="0" w:evenHBand="0" w:firstRowFirstColumn="0" w:firstRowLastColumn="0" w:lastRowFirstColumn="0" w:lastRowLastColumn="0"/>
            <w:tcW w:w="3686" w:type="dxa"/>
            <w:hideMark/>
          </w:tcPr>
          <w:p w14:paraId="3DF914EE" w14:textId="77777777" w:rsidR="00900469" w:rsidRPr="001213F7" w:rsidRDefault="00900469">
            <w:pPr>
              <w:autoSpaceDE w:val="0"/>
              <w:autoSpaceDN w:val="0"/>
              <w:adjustRightInd w:val="0"/>
              <w:rPr>
                <w:rFonts w:asciiTheme="majorHAnsi" w:eastAsia="MS Mincho" w:hAnsiTheme="majorHAnsi" w:cstheme="majorHAnsi"/>
                <w:szCs w:val="17"/>
                <w:lang w:eastAsia="en-AU"/>
              </w:rPr>
            </w:pPr>
            <w:r w:rsidRPr="001213F7">
              <w:rPr>
                <w:rFonts w:asciiTheme="majorHAnsi" w:eastAsia="MS Mincho" w:hAnsiTheme="majorHAnsi" w:cstheme="majorHAnsi"/>
                <w:szCs w:val="17"/>
                <w:lang w:eastAsia="en-AU"/>
              </w:rPr>
              <w:t>Consumer price index</w:t>
            </w:r>
          </w:p>
        </w:tc>
        <w:tc>
          <w:tcPr>
            <w:tcW w:w="1276" w:type="dxa"/>
            <w:vAlign w:val="center"/>
          </w:tcPr>
          <w:p w14:paraId="17A4C6BB" w14:textId="77777777" w:rsidR="00900469" w:rsidRPr="001213F7" w:rsidRDefault="00900469">
            <w:pPr>
              <w:cnfStyle w:val="000000000000" w:firstRow="0" w:lastRow="0" w:firstColumn="0" w:lastColumn="0" w:oddVBand="0" w:evenVBand="0" w:oddHBand="0" w:evenHBand="0" w:firstRowFirstColumn="0" w:firstRowLastColumn="0" w:lastRowFirstColumn="0" w:lastRowLastColumn="0"/>
              <w:rPr>
                <w:rFonts w:ascii="Garamond" w:eastAsia="Garamond" w:hAnsi="Garamond" w:cs="Calibri"/>
                <w:szCs w:val="17"/>
              </w:rPr>
            </w:pPr>
            <w:r w:rsidRPr="001213F7">
              <w:rPr>
                <w:rFonts w:eastAsia="Garamond" w:cs="Calibri"/>
                <w:color w:val="232B39"/>
                <w:szCs w:val="17"/>
              </w:rPr>
              <w:t>1.28</w:t>
            </w:r>
          </w:p>
        </w:tc>
        <w:tc>
          <w:tcPr>
            <w:tcW w:w="992" w:type="dxa"/>
            <w:vAlign w:val="center"/>
          </w:tcPr>
          <w:p w14:paraId="2768A65D" w14:textId="77777777" w:rsidR="00900469" w:rsidRPr="001213F7" w:rsidRDefault="00900469">
            <w:pPr>
              <w:cnfStyle w:val="000000000000" w:firstRow="0" w:lastRow="0" w:firstColumn="0" w:lastColumn="0" w:oddVBand="0" w:evenVBand="0" w:oddHBand="0" w:evenHBand="0" w:firstRowFirstColumn="0" w:firstRowLastColumn="0" w:lastRowFirstColumn="0" w:lastRowLastColumn="0"/>
              <w:rPr>
                <w:rFonts w:ascii="Garamond" w:eastAsia="Garamond" w:hAnsi="Garamond" w:cs="Calibri"/>
                <w:szCs w:val="17"/>
              </w:rPr>
            </w:pPr>
            <w:r w:rsidRPr="001213F7">
              <w:rPr>
                <w:rFonts w:eastAsia="Garamond" w:cs="Calibri"/>
                <w:color w:val="232B39"/>
                <w:szCs w:val="17"/>
              </w:rPr>
              <w:t>0.78</w:t>
            </w:r>
          </w:p>
        </w:tc>
        <w:tc>
          <w:tcPr>
            <w:tcW w:w="850" w:type="dxa"/>
            <w:vAlign w:val="center"/>
          </w:tcPr>
          <w:p w14:paraId="74C2FAA0" w14:textId="77777777" w:rsidR="00900469" w:rsidRPr="001213F7" w:rsidRDefault="00900469">
            <w:pPr>
              <w:cnfStyle w:val="000000000000" w:firstRow="0" w:lastRow="0" w:firstColumn="0" w:lastColumn="0" w:oddVBand="0" w:evenVBand="0" w:oddHBand="0" w:evenHBand="0" w:firstRowFirstColumn="0" w:firstRowLastColumn="0" w:lastRowFirstColumn="0" w:lastRowLastColumn="0"/>
              <w:rPr>
                <w:rFonts w:ascii="Garamond" w:eastAsia="Garamond" w:hAnsi="Garamond" w:cs="Calibri"/>
                <w:szCs w:val="17"/>
              </w:rPr>
            </w:pPr>
            <w:r w:rsidRPr="001213F7">
              <w:rPr>
                <w:rFonts w:eastAsia="Garamond" w:cs="Calibri"/>
                <w:color w:val="232B39"/>
                <w:szCs w:val="17"/>
              </w:rPr>
              <w:t>0.38</w:t>
            </w:r>
          </w:p>
        </w:tc>
        <w:tc>
          <w:tcPr>
            <w:tcW w:w="966" w:type="dxa"/>
            <w:vAlign w:val="center"/>
          </w:tcPr>
          <w:p w14:paraId="7715B8D8" w14:textId="77777777" w:rsidR="00900469" w:rsidRPr="001213F7" w:rsidRDefault="00900469">
            <w:pPr>
              <w:cnfStyle w:val="000000000000" w:firstRow="0" w:lastRow="0" w:firstColumn="0" w:lastColumn="0" w:oddVBand="0" w:evenVBand="0" w:oddHBand="0" w:evenHBand="0" w:firstRowFirstColumn="0" w:firstRowLastColumn="0" w:lastRowFirstColumn="0" w:lastRowLastColumn="0"/>
              <w:rPr>
                <w:rFonts w:ascii="Garamond" w:eastAsia="Garamond" w:hAnsi="Garamond" w:cs="Calibri"/>
                <w:szCs w:val="17"/>
              </w:rPr>
            </w:pPr>
            <w:r w:rsidRPr="001213F7">
              <w:rPr>
                <w:rFonts w:eastAsia="Garamond" w:cs="Calibri"/>
                <w:color w:val="232B39"/>
                <w:szCs w:val="17"/>
              </w:rPr>
              <w:t>0.10</w:t>
            </w:r>
          </w:p>
        </w:tc>
      </w:tr>
      <w:tr w:rsidR="00900469" w:rsidRPr="001213F7" w14:paraId="7E573F59" w14:textId="77777777">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tcBorders>
              <w:bottom w:val="single" w:sz="12" w:space="0" w:color="auto"/>
            </w:tcBorders>
            <w:hideMark/>
          </w:tcPr>
          <w:p w14:paraId="04F75334" w14:textId="77777777" w:rsidR="00900469" w:rsidRPr="001213F7" w:rsidRDefault="00900469">
            <w:pPr>
              <w:autoSpaceDE w:val="0"/>
              <w:autoSpaceDN w:val="0"/>
              <w:adjustRightInd w:val="0"/>
              <w:rPr>
                <w:rFonts w:asciiTheme="majorHAnsi" w:eastAsia="MS Mincho" w:hAnsiTheme="majorHAnsi" w:cstheme="majorHAnsi"/>
                <w:b w:val="0"/>
                <w:bCs/>
                <w:szCs w:val="17"/>
                <w:lang w:eastAsia="en-AU"/>
              </w:rPr>
            </w:pPr>
            <w:r w:rsidRPr="001213F7">
              <w:rPr>
                <w:rFonts w:asciiTheme="majorHAnsi" w:eastAsia="MS Mincho" w:hAnsiTheme="majorHAnsi" w:cstheme="majorHAnsi"/>
                <w:b w:val="0"/>
                <w:bCs/>
                <w:szCs w:val="17"/>
                <w:lang w:eastAsia="en-AU"/>
              </w:rPr>
              <w:t>Wage price index</w:t>
            </w:r>
          </w:p>
        </w:tc>
        <w:tc>
          <w:tcPr>
            <w:tcW w:w="1276" w:type="dxa"/>
            <w:tcBorders>
              <w:bottom w:val="single" w:sz="12" w:space="0" w:color="auto"/>
            </w:tcBorders>
            <w:vAlign w:val="center"/>
          </w:tcPr>
          <w:p w14:paraId="1F3FAE49" w14:textId="77777777" w:rsidR="00900469" w:rsidRPr="001213F7" w:rsidRDefault="00900469">
            <w:pPr>
              <w:cnfStyle w:val="010000000000" w:firstRow="0" w:lastRow="1" w:firstColumn="0" w:lastColumn="0" w:oddVBand="0" w:evenVBand="0" w:oddHBand="0" w:evenHBand="0" w:firstRowFirstColumn="0" w:firstRowLastColumn="0" w:lastRowFirstColumn="0" w:lastRowLastColumn="0"/>
              <w:rPr>
                <w:rFonts w:ascii="Garamond" w:eastAsia="Garamond" w:hAnsi="Garamond" w:cs="Calibri"/>
                <w:b w:val="0"/>
                <w:bCs/>
                <w:szCs w:val="17"/>
              </w:rPr>
            </w:pPr>
            <w:r w:rsidRPr="001213F7">
              <w:rPr>
                <w:rFonts w:eastAsia="Garamond" w:cs="Calibri"/>
                <w:b w:val="0"/>
                <w:bCs/>
                <w:color w:val="232B39"/>
                <w:szCs w:val="17"/>
              </w:rPr>
              <w:t>1.03</w:t>
            </w:r>
          </w:p>
        </w:tc>
        <w:tc>
          <w:tcPr>
            <w:tcW w:w="992" w:type="dxa"/>
            <w:tcBorders>
              <w:bottom w:val="single" w:sz="12" w:space="0" w:color="auto"/>
            </w:tcBorders>
            <w:vAlign w:val="center"/>
          </w:tcPr>
          <w:p w14:paraId="690DE96E" w14:textId="77777777" w:rsidR="00900469" w:rsidRPr="001213F7" w:rsidRDefault="00900469">
            <w:pPr>
              <w:cnfStyle w:val="010000000000" w:firstRow="0" w:lastRow="1" w:firstColumn="0" w:lastColumn="0" w:oddVBand="0" w:evenVBand="0" w:oddHBand="0" w:evenHBand="0" w:firstRowFirstColumn="0" w:firstRowLastColumn="0" w:lastRowFirstColumn="0" w:lastRowLastColumn="0"/>
              <w:rPr>
                <w:rFonts w:ascii="Garamond" w:eastAsia="Garamond" w:hAnsi="Garamond" w:cs="Calibri"/>
                <w:b w:val="0"/>
                <w:bCs/>
                <w:szCs w:val="17"/>
              </w:rPr>
            </w:pPr>
            <w:r w:rsidRPr="001213F7">
              <w:rPr>
                <w:rFonts w:eastAsia="Garamond" w:cs="Calibri"/>
                <w:b w:val="0"/>
                <w:bCs/>
                <w:color w:val="232B39"/>
                <w:szCs w:val="17"/>
              </w:rPr>
              <w:t>0.40</w:t>
            </w:r>
          </w:p>
        </w:tc>
        <w:tc>
          <w:tcPr>
            <w:tcW w:w="850" w:type="dxa"/>
            <w:tcBorders>
              <w:bottom w:val="single" w:sz="12" w:space="0" w:color="auto"/>
            </w:tcBorders>
            <w:vAlign w:val="center"/>
          </w:tcPr>
          <w:p w14:paraId="55C102AB" w14:textId="77777777" w:rsidR="00900469" w:rsidRPr="001213F7" w:rsidRDefault="00900469">
            <w:pPr>
              <w:cnfStyle w:val="010000000000" w:firstRow="0" w:lastRow="1" w:firstColumn="0" w:lastColumn="0" w:oddVBand="0" w:evenVBand="0" w:oddHBand="0" w:evenHBand="0" w:firstRowFirstColumn="0" w:firstRowLastColumn="0" w:lastRowFirstColumn="0" w:lastRowLastColumn="0"/>
              <w:rPr>
                <w:rFonts w:ascii="Garamond" w:eastAsia="Garamond" w:hAnsi="Garamond" w:cs="Calibri"/>
                <w:b w:val="0"/>
                <w:bCs/>
                <w:szCs w:val="17"/>
              </w:rPr>
            </w:pPr>
            <w:r w:rsidRPr="001213F7">
              <w:rPr>
                <w:rFonts w:eastAsia="Garamond" w:cs="Calibri"/>
                <w:b w:val="0"/>
                <w:bCs/>
                <w:color w:val="232B39"/>
                <w:szCs w:val="17"/>
              </w:rPr>
              <w:t>0.03</w:t>
            </w:r>
          </w:p>
        </w:tc>
        <w:tc>
          <w:tcPr>
            <w:tcW w:w="966" w:type="dxa"/>
            <w:tcBorders>
              <w:bottom w:val="single" w:sz="12" w:space="0" w:color="auto"/>
            </w:tcBorders>
            <w:vAlign w:val="center"/>
          </w:tcPr>
          <w:p w14:paraId="68902E90" w14:textId="77777777" w:rsidR="00900469" w:rsidRPr="001213F7" w:rsidRDefault="00900469">
            <w:pPr>
              <w:cnfStyle w:val="010000000000" w:firstRow="0" w:lastRow="1" w:firstColumn="0" w:lastColumn="0" w:oddVBand="0" w:evenVBand="0" w:oddHBand="0" w:evenHBand="0" w:firstRowFirstColumn="0" w:firstRowLastColumn="0" w:lastRowFirstColumn="0" w:lastRowLastColumn="0"/>
              <w:rPr>
                <w:rFonts w:ascii="Garamond" w:eastAsia="Garamond" w:hAnsi="Garamond" w:cs="Calibri"/>
                <w:b w:val="0"/>
                <w:bCs/>
                <w:szCs w:val="17"/>
              </w:rPr>
            </w:pPr>
            <w:r w:rsidRPr="001213F7">
              <w:rPr>
                <w:rFonts w:eastAsia="Garamond" w:cs="Calibri"/>
                <w:b w:val="0"/>
                <w:bCs/>
                <w:color w:val="232B39"/>
                <w:szCs w:val="17"/>
              </w:rPr>
              <w:t>(0.16)</w:t>
            </w:r>
          </w:p>
        </w:tc>
      </w:tr>
    </w:tbl>
    <w:p w14:paraId="74262EE4" w14:textId="77777777" w:rsidR="00900469" w:rsidRPr="001213F7" w:rsidRDefault="00900469">
      <w:pPr>
        <w:pStyle w:val="Note"/>
      </w:pPr>
      <w:r w:rsidRPr="001213F7">
        <w:t xml:space="preserve">Note: </w:t>
      </w:r>
    </w:p>
    <w:p w14:paraId="77E1E0E1" w14:textId="77777777" w:rsidR="00900469" w:rsidRPr="001213F7" w:rsidRDefault="00900469">
      <w:pPr>
        <w:pStyle w:val="Note"/>
      </w:pPr>
      <w:r w:rsidRPr="001213F7">
        <w:t>(a)</w:t>
      </w:r>
      <w:r w:rsidRPr="001213F7">
        <w:tab/>
        <w:t xml:space="preserve">Figures reported are the change in the level of each parameter relative to the baseline forecasts as presented in Chapter 2 </w:t>
      </w:r>
      <w:r w:rsidRPr="001213F7">
        <w:rPr>
          <w:i w:val="0"/>
        </w:rPr>
        <w:t>Economic context</w:t>
      </w:r>
      <w:r w:rsidRPr="001213F7">
        <w:t xml:space="preserve">. </w:t>
      </w:r>
    </w:p>
    <w:p w14:paraId="2F7D01EA" w14:textId="77777777" w:rsidR="00900469" w:rsidRPr="001213F7" w:rsidRDefault="00900469">
      <w:pPr>
        <w:pStyle w:val="Note"/>
      </w:pPr>
    </w:p>
    <w:p w14:paraId="69BF3051" w14:textId="77777777" w:rsidR="00900469" w:rsidRPr="001213F7" w:rsidRDefault="00900469">
      <w:r w:rsidRPr="001213F7">
        <w:t>Table 6.2 details the negative impact of the shock on the State’s finances in 2026-27 and 2027-28, before the net result from transactions becomes positive in 2028-29 and 2029</w:t>
      </w:r>
      <w:r w:rsidRPr="001213F7">
        <w:noBreakHyphen/>
        <w:t xml:space="preserve">30. </w:t>
      </w:r>
    </w:p>
    <w:p w14:paraId="66AD8A1C" w14:textId="77777777" w:rsidR="00900469" w:rsidRPr="001213F7" w:rsidRDefault="00900469">
      <w:r w:rsidRPr="001213F7">
        <w:lastRenderedPageBreak/>
        <w:t>Revenue is higher in this scenario. Despite</w:t>
      </w:r>
      <w:r w:rsidRPr="001213F7" w:rsidDel="00733FAC">
        <w:t xml:space="preserve"> </w:t>
      </w:r>
      <w:r w:rsidRPr="001213F7">
        <w:t xml:space="preserve">lower employment and weaker real wages, wages are higher in nominal terms in response to higher CPI, which leads to a rise in payroll tax revenue. Similarly, household consumption is higher in nominal terms, which results in a larger national GST pool and hence higher GST grant revenue for Victoria. Higher prices lead to higher land taxes, stamp duty on motor vehicles, sales of goods and services, and other taxes. This is partially offset by a fall in land transfer duty in 2026-27, as transaction volumes are initially expected to fall due to lower consumer sentiment, lower real wage growth and lower real consumption; land transfer duty then rises above the baseline from 2027-28 onwards as transaction volumes begin to recover and prices rise amid the broader rise in inflation. Overall, government income from transactions is higher across the forward estimates, although the result is smaller in 2029-30 as the shocks dissipate and several revenue sources (including sales of goods and services, payroll tax and motor vehicle stamp duty) broadly return to the baseline, while land transfer duty and GST grants also ease but remain above the baseline, and land tax continues to rise. </w:t>
      </w:r>
    </w:p>
    <w:p w14:paraId="2A984996" w14:textId="0C11BF7C" w:rsidR="00900469" w:rsidRPr="001213F7" w:rsidRDefault="00900469">
      <w:r w:rsidRPr="001213F7">
        <w:t>Expenses from transactions are higher</w:t>
      </w:r>
      <w:r w:rsidRPr="001213F7" w:rsidDel="00936727">
        <w:t xml:space="preserve"> </w:t>
      </w:r>
      <w:r w:rsidRPr="001213F7">
        <w:t>overall under this scenario, with higher nominal</w:t>
      </w:r>
      <w:r w:rsidRPr="001213F7" w:rsidDel="00936727">
        <w:t xml:space="preserve"> </w:t>
      </w:r>
      <w:r w:rsidRPr="001213F7">
        <w:t xml:space="preserve">wage growth putting upward pressure on public sector employment expenses. These estimated impacts on expenses reflect the assumed relationship between public and private sector wages in the model: namely that public sector wage growth corresponds to private sector wage growth in the medium to long term. Other operating expenses also rise in line with higher CPI. </w:t>
      </w:r>
      <w:r w:rsidR="005578B1" w:rsidRPr="001213F7">
        <w:t>Overall,</w:t>
      </w:r>
      <w:r w:rsidRPr="001213F7">
        <w:t xml:space="preserve"> in 2026-27 and 2027-28, expenses rise by</w:t>
      </w:r>
      <w:r w:rsidRPr="001213F7" w:rsidDel="00BE5682">
        <w:t xml:space="preserve"> </w:t>
      </w:r>
      <w:r w:rsidRPr="001213F7">
        <w:t xml:space="preserve">more than revenue in this scenario, resulting in a negative impact on the net result from transactions. Net debt is therefore higher in 2026-27 and 2027-28. </w:t>
      </w:r>
    </w:p>
    <w:p w14:paraId="2F4BCB2C" w14:textId="77777777" w:rsidR="00900469" w:rsidRPr="001213F7" w:rsidRDefault="00900469">
      <w:r w:rsidRPr="001213F7">
        <w:t>Later in the projection period, expenses return towards the baseline,</w:t>
      </w:r>
      <w:r w:rsidRPr="001213F7" w:rsidDel="00091BCB">
        <w:t xml:space="preserve"> </w:t>
      </w:r>
      <w:r w:rsidRPr="001213F7">
        <w:t>mainly driven by dissipating CPI and wage impacts, which flow on to easing operating, employee, and grant expenses. Interest expenses decline below baseline levels due to a lower level of debt</w:t>
      </w:r>
      <w:r w:rsidRPr="001213F7">
        <w:rPr>
          <w:i/>
        </w:rPr>
        <w:t xml:space="preserve">. </w:t>
      </w:r>
      <w:r w:rsidRPr="001213F7">
        <w:rPr>
          <w:iCs/>
        </w:rPr>
        <w:t>Net debt declines in 2027-28 despite the negative net result, and improves by more than the improvement in the net result in 2028-29 and 2029-30, since the net result includes the effect of higher non-cash superannuation expenses but these do not affect net debt.</w:t>
      </w:r>
      <w:r w:rsidRPr="001213F7">
        <w:rPr>
          <w:i/>
        </w:rPr>
        <w:t xml:space="preserve"> </w:t>
      </w:r>
    </w:p>
    <w:p w14:paraId="09BE1BFF" w14:textId="77777777" w:rsidR="00900469" w:rsidRPr="001213F7" w:rsidRDefault="00900469">
      <w:pPr>
        <w:pStyle w:val="TableHeading"/>
        <w:rPr>
          <w:vertAlign w:val="superscript"/>
        </w:rPr>
      </w:pPr>
      <w:r w:rsidRPr="001213F7">
        <w:t>Table 6.2:</w:t>
      </w:r>
      <w:r w:rsidRPr="001213F7">
        <w:tab/>
        <w:t xml:space="preserve">Projected impact of a more prolonged conflict in the Middle East and more persistent global oil shock on fiscal parameters </w:t>
      </w:r>
      <w:r w:rsidRPr="001213F7">
        <w:rPr>
          <w:vertAlign w:val="superscript"/>
        </w:rPr>
        <w:t>(a)</w:t>
      </w:r>
    </w:p>
    <w:p w14:paraId="5D44C446" w14:textId="77777777" w:rsidR="00900469" w:rsidRPr="001213F7" w:rsidRDefault="00900469">
      <w:pPr>
        <w:pStyle w:val="TableHeading"/>
        <w:rPr>
          <w:b w:val="0"/>
          <w:bCs/>
        </w:rPr>
      </w:pPr>
      <w:r w:rsidRPr="001213F7">
        <w:rPr>
          <w:vertAlign w:val="superscript"/>
        </w:rPr>
        <w:tab/>
      </w:r>
      <w:r w:rsidRPr="001213F7">
        <w:rPr>
          <w:vertAlign w:val="superscript"/>
        </w:rPr>
        <w:tab/>
      </w:r>
      <w:r w:rsidRPr="001213F7">
        <w:t>($ million)</w:t>
      </w:r>
    </w:p>
    <w:tbl>
      <w:tblPr>
        <w:tblStyle w:val="DTFTable"/>
        <w:tblW w:w="7711" w:type="dxa"/>
        <w:tblLayout w:type="fixed"/>
        <w:tblLook w:val="06E0" w:firstRow="1" w:lastRow="1" w:firstColumn="1" w:lastColumn="0" w:noHBand="1" w:noVBand="1"/>
      </w:tblPr>
      <w:tblGrid>
        <w:gridCol w:w="4332"/>
        <w:gridCol w:w="844"/>
        <w:gridCol w:w="845"/>
        <w:gridCol w:w="845"/>
        <w:gridCol w:w="845"/>
      </w:tblGrid>
      <w:tr w:rsidR="00900469" w:rsidRPr="001213F7" w14:paraId="09158318" w14:textId="77777777" w:rsidTr="002548E5">
        <w:trPr>
          <w:cnfStyle w:val="100000000000" w:firstRow="1" w:lastRow="0" w:firstColumn="0" w:lastColumn="0" w:oddVBand="0" w:evenVBand="0" w:oddHBand="0" w:evenHBand="0" w:firstRowFirstColumn="0" w:firstRowLastColumn="0" w:lastRowFirstColumn="0" w:lastRowLastColumn="0"/>
          <w:trHeight w:val="495"/>
          <w:tblHeader/>
        </w:trPr>
        <w:tc>
          <w:tcPr>
            <w:cnfStyle w:val="001000000000" w:firstRow="0" w:lastRow="0" w:firstColumn="1" w:lastColumn="0" w:oddVBand="0" w:evenVBand="0" w:oddHBand="0" w:evenHBand="0" w:firstRowFirstColumn="0" w:firstRowLastColumn="0" w:lastRowFirstColumn="0" w:lastRowLastColumn="0"/>
            <w:tcW w:w="4332" w:type="dxa"/>
            <w:tcBorders>
              <w:bottom w:val="nil"/>
            </w:tcBorders>
          </w:tcPr>
          <w:p w14:paraId="322AABF0" w14:textId="77777777" w:rsidR="00900469" w:rsidRPr="001213F7" w:rsidRDefault="00900469">
            <w:pPr>
              <w:autoSpaceDE w:val="0"/>
              <w:autoSpaceDN w:val="0"/>
              <w:adjustRightInd w:val="0"/>
              <w:rPr>
                <w:rFonts w:ascii="Calibri" w:eastAsia="Times New Roman" w:hAnsi="Calibri" w:cs="Calibri"/>
                <w:iCs/>
                <w:color w:val="000000"/>
                <w:szCs w:val="17"/>
                <w:lang w:eastAsia="en-AU"/>
              </w:rPr>
            </w:pPr>
          </w:p>
        </w:tc>
        <w:tc>
          <w:tcPr>
            <w:tcW w:w="844" w:type="dxa"/>
            <w:tcBorders>
              <w:bottom w:val="nil"/>
            </w:tcBorders>
            <w:hideMark/>
          </w:tcPr>
          <w:p w14:paraId="2A12EF5B" w14:textId="77777777" w:rsidR="00900469" w:rsidRPr="001213F7" w:rsidRDefault="00900469">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17"/>
                <w:lang w:eastAsia="en-AU"/>
              </w:rPr>
            </w:pPr>
            <w:r w:rsidRPr="001213F7">
              <w:rPr>
                <w:rFonts w:eastAsiaTheme="minorEastAsia" w:cs="Calibri"/>
                <w:iCs/>
                <w:szCs w:val="17"/>
                <w:lang w:eastAsia="en-AU"/>
              </w:rPr>
              <w:t>2026-27</w:t>
            </w:r>
            <w:r w:rsidRPr="001213F7">
              <w:rPr>
                <w:rFonts w:eastAsiaTheme="minorEastAsia" w:cstheme="majorHAnsi"/>
                <w:szCs w:val="17"/>
                <w:lang w:eastAsia="en-AU"/>
              </w:rPr>
              <w:br/>
              <w:t>estimate</w:t>
            </w:r>
          </w:p>
        </w:tc>
        <w:tc>
          <w:tcPr>
            <w:tcW w:w="845" w:type="dxa"/>
            <w:tcBorders>
              <w:bottom w:val="nil"/>
            </w:tcBorders>
            <w:hideMark/>
          </w:tcPr>
          <w:p w14:paraId="33752F61" w14:textId="77777777" w:rsidR="00900469" w:rsidRPr="001213F7" w:rsidRDefault="00900469">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17"/>
                <w:lang w:eastAsia="en-AU"/>
              </w:rPr>
            </w:pPr>
            <w:r w:rsidRPr="001213F7">
              <w:rPr>
                <w:rFonts w:eastAsiaTheme="minorEastAsia" w:cstheme="majorHAnsi"/>
                <w:iCs/>
                <w:szCs w:val="17"/>
                <w:lang w:eastAsia="en-AU"/>
              </w:rPr>
              <w:t>2027-28</w:t>
            </w:r>
            <w:r w:rsidRPr="001213F7">
              <w:rPr>
                <w:rFonts w:eastAsiaTheme="minorEastAsia" w:cstheme="majorHAnsi"/>
                <w:szCs w:val="17"/>
                <w:lang w:eastAsia="en-AU"/>
              </w:rPr>
              <w:t xml:space="preserve"> estimate</w:t>
            </w:r>
          </w:p>
        </w:tc>
        <w:tc>
          <w:tcPr>
            <w:tcW w:w="845" w:type="dxa"/>
            <w:tcBorders>
              <w:bottom w:val="nil"/>
            </w:tcBorders>
            <w:hideMark/>
          </w:tcPr>
          <w:p w14:paraId="31A7745B" w14:textId="77777777" w:rsidR="00900469" w:rsidRPr="001213F7" w:rsidRDefault="00900469">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17"/>
                <w:lang w:eastAsia="en-AU"/>
              </w:rPr>
            </w:pPr>
            <w:r w:rsidRPr="001213F7">
              <w:rPr>
                <w:rFonts w:eastAsiaTheme="minorEastAsia" w:cstheme="majorHAnsi"/>
                <w:iCs/>
                <w:szCs w:val="17"/>
                <w:lang w:eastAsia="en-AU"/>
              </w:rPr>
              <w:t>2028-29</w:t>
            </w:r>
            <w:r w:rsidRPr="001213F7">
              <w:rPr>
                <w:rFonts w:eastAsiaTheme="minorEastAsia" w:cstheme="majorHAnsi"/>
                <w:szCs w:val="17"/>
                <w:lang w:eastAsia="en-AU"/>
              </w:rPr>
              <w:t xml:space="preserve"> estimate</w:t>
            </w:r>
          </w:p>
        </w:tc>
        <w:tc>
          <w:tcPr>
            <w:tcW w:w="845" w:type="dxa"/>
            <w:tcBorders>
              <w:bottom w:val="nil"/>
            </w:tcBorders>
            <w:hideMark/>
          </w:tcPr>
          <w:p w14:paraId="002791EB" w14:textId="77777777" w:rsidR="00900469" w:rsidRPr="001213F7" w:rsidRDefault="00900469">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17"/>
                <w:lang w:eastAsia="en-AU"/>
              </w:rPr>
            </w:pPr>
            <w:r w:rsidRPr="001213F7">
              <w:rPr>
                <w:rFonts w:eastAsiaTheme="minorEastAsia" w:cstheme="majorHAnsi"/>
                <w:iCs/>
                <w:szCs w:val="17"/>
                <w:lang w:eastAsia="en-AU"/>
              </w:rPr>
              <w:t>2029-30</w:t>
            </w:r>
            <w:r w:rsidRPr="001213F7">
              <w:rPr>
                <w:rFonts w:eastAsiaTheme="minorEastAsia" w:cstheme="majorHAnsi"/>
                <w:szCs w:val="17"/>
                <w:lang w:eastAsia="en-AU"/>
              </w:rPr>
              <w:t xml:space="preserve"> estimate</w:t>
            </w:r>
          </w:p>
        </w:tc>
      </w:tr>
      <w:tr w:rsidR="00900469" w:rsidRPr="001213F7" w14:paraId="24CF37A5" w14:textId="77777777">
        <w:tc>
          <w:tcPr>
            <w:cnfStyle w:val="001000000000" w:firstRow="0" w:lastRow="0" w:firstColumn="1" w:lastColumn="0" w:oddVBand="0" w:evenVBand="0" w:oddHBand="0" w:evenHBand="0" w:firstRowFirstColumn="0" w:firstRowLastColumn="0" w:lastRowFirstColumn="0" w:lastRowLastColumn="0"/>
            <w:tcW w:w="4332" w:type="dxa"/>
            <w:tcBorders>
              <w:top w:val="nil"/>
              <w:left w:val="nil"/>
              <w:bottom w:val="nil"/>
              <w:right w:val="nil"/>
            </w:tcBorders>
            <w:shd w:val="clear" w:color="000000" w:fill="FFFFFF"/>
            <w:vAlign w:val="bottom"/>
            <w:hideMark/>
          </w:tcPr>
          <w:p w14:paraId="1952F555" w14:textId="77777777" w:rsidR="00900469" w:rsidRPr="001213F7" w:rsidRDefault="00900469">
            <w:pPr>
              <w:autoSpaceDE w:val="0"/>
              <w:autoSpaceDN w:val="0"/>
              <w:adjustRightInd w:val="0"/>
              <w:rPr>
                <w:rFonts w:ascii="Calibri" w:eastAsia="Times New Roman" w:hAnsi="Calibri" w:cs="Calibri"/>
                <w:color w:val="000000"/>
                <w:szCs w:val="17"/>
                <w:lang w:eastAsia="en-AU"/>
              </w:rPr>
            </w:pPr>
            <w:r w:rsidRPr="001213F7">
              <w:rPr>
                <w:rFonts w:ascii="Calibri" w:eastAsia="Garamond" w:hAnsi="Calibri" w:cs="Calibri"/>
                <w:szCs w:val="17"/>
              </w:rPr>
              <w:t>Income from transactions</w:t>
            </w:r>
          </w:p>
        </w:tc>
        <w:tc>
          <w:tcPr>
            <w:tcW w:w="844" w:type="dxa"/>
            <w:tcBorders>
              <w:bottom w:val="nil"/>
            </w:tcBorders>
          </w:tcPr>
          <w:p w14:paraId="1E9A75EB" w14:textId="77777777" w:rsidR="00900469" w:rsidRPr="001213F7" w:rsidRDefault="00900469">
            <w:pPr>
              <w:cnfStyle w:val="000000000000" w:firstRow="0" w:lastRow="0" w:firstColumn="0" w:lastColumn="0" w:oddVBand="0" w:evenVBand="0" w:oddHBand="0" w:evenHBand="0" w:firstRowFirstColumn="0" w:firstRowLastColumn="0" w:lastRowFirstColumn="0" w:lastRowLastColumn="0"/>
              <w:rPr>
                <w:rFonts w:ascii="Calibri" w:eastAsia="Garamond" w:hAnsi="Calibri"/>
                <w:szCs w:val="17"/>
              </w:rPr>
            </w:pPr>
            <w:r w:rsidRPr="001213F7">
              <w:t>304.4</w:t>
            </w:r>
          </w:p>
        </w:tc>
        <w:tc>
          <w:tcPr>
            <w:tcW w:w="845" w:type="dxa"/>
            <w:tcBorders>
              <w:bottom w:val="nil"/>
            </w:tcBorders>
          </w:tcPr>
          <w:p w14:paraId="26AA7DDE" w14:textId="77777777" w:rsidR="00900469" w:rsidRPr="001213F7" w:rsidRDefault="00900469">
            <w:pPr>
              <w:cnfStyle w:val="000000000000" w:firstRow="0" w:lastRow="0" w:firstColumn="0" w:lastColumn="0" w:oddVBand="0" w:evenVBand="0" w:oddHBand="0" w:evenHBand="0" w:firstRowFirstColumn="0" w:firstRowLastColumn="0" w:lastRowFirstColumn="0" w:lastRowLastColumn="0"/>
              <w:rPr>
                <w:rFonts w:ascii="Calibri" w:eastAsia="Garamond" w:hAnsi="Calibri"/>
                <w:szCs w:val="17"/>
              </w:rPr>
            </w:pPr>
            <w:r w:rsidRPr="001213F7">
              <w:t>403.8</w:t>
            </w:r>
          </w:p>
        </w:tc>
        <w:tc>
          <w:tcPr>
            <w:tcW w:w="845" w:type="dxa"/>
            <w:tcBorders>
              <w:bottom w:val="nil"/>
            </w:tcBorders>
          </w:tcPr>
          <w:p w14:paraId="75AB8666" w14:textId="77777777" w:rsidR="00900469" w:rsidRPr="001213F7" w:rsidRDefault="00900469">
            <w:pPr>
              <w:cnfStyle w:val="000000000000" w:firstRow="0" w:lastRow="0" w:firstColumn="0" w:lastColumn="0" w:oddVBand="0" w:evenVBand="0" w:oddHBand="0" w:evenHBand="0" w:firstRowFirstColumn="0" w:firstRowLastColumn="0" w:lastRowFirstColumn="0" w:lastRowLastColumn="0"/>
              <w:rPr>
                <w:rFonts w:ascii="Calibri" w:eastAsia="Garamond" w:hAnsi="Calibri"/>
                <w:szCs w:val="17"/>
              </w:rPr>
            </w:pPr>
            <w:r w:rsidRPr="001213F7">
              <w:t>328.1</w:t>
            </w:r>
          </w:p>
        </w:tc>
        <w:tc>
          <w:tcPr>
            <w:tcW w:w="845" w:type="dxa"/>
            <w:tcBorders>
              <w:bottom w:val="nil"/>
            </w:tcBorders>
          </w:tcPr>
          <w:p w14:paraId="504FE9F5" w14:textId="77777777" w:rsidR="00900469" w:rsidRPr="001213F7" w:rsidRDefault="00900469">
            <w:pPr>
              <w:cnfStyle w:val="000000000000" w:firstRow="0" w:lastRow="0" w:firstColumn="0" w:lastColumn="0" w:oddVBand="0" w:evenVBand="0" w:oddHBand="0" w:evenHBand="0" w:firstRowFirstColumn="0" w:firstRowLastColumn="0" w:lastRowFirstColumn="0" w:lastRowLastColumn="0"/>
              <w:rPr>
                <w:rFonts w:ascii="Calibri" w:eastAsia="Garamond" w:hAnsi="Calibri"/>
                <w:szCs w:val="17"/>
              </w:rPr>
            </w:pPr>
            <w:r w:rsidRPr="001213F7">
              <w:t>140.1</w:t>
            </w:r>
          </w:p>
        </w:tc>
      </w:tr>
      <w:tr w:rsidR="00900469" w:rsidRPr="001213F7" w14:paraId="42F8CE0C" w14:textId="77777777">
        <w:tc>
          <w:tcPr>
            <w:cnfStyle w:val="001000000000" w:firstRow="0" w:lastRow="0" w:firstColumn="1" w:lastColumn="0" w:oddVBand="0" w:evenVBand="0" w:oddHBand="0" w:evenHBand="0" w:firstRowFirstColumn="0" w:firstRowLastColumn="0" w:lastRowFirstColumn="0" w:lastRowLastColumn="0"/>
            <w:tcW w:w="4332" w:type="dxa"/>
            <w:tcBorders>
              <w:top w:val="nil"/>
              <w:left w:val="nil"/>
              <w:bottom w:val="nil"/>
              <w:right w:val="nil"/>
            </w:tcBorders>
            <w:shd w:val="clear" w:color="000000" w:fill="FFFFFF"/>
            <w:vAlign w:val="bottom"/>
            <w:hideMark/>
          </w:tcPr>
          <w:p w14:paraId="3C966E0A" w14:textId="77777777" w:rsidR="00900469" w:rsidRPr="001213F7" w:rsidRDefault="00900469">
            <w:pPr>
              <w:autoSpaceDE w:val="0"/>
              <w:autoSpaceDN w:val="0"/>
              <w:adjustRightInd w:val="0"/>
              <w:rPr>
                <w:rFonts w:ascii="Calibri" w:eastAsia="Times New Roman" w:hAnsi="Calibri" w:cs="Calibri"/>
                <w:color w:val="000000"/>
                <w:szCs w:val="17"/>
                <w:lang w:eastAsia="en-AU"/>
              </w:rPr>
            </w:pPr>
            <w:r w:rsidRPr="001213F7">
              <w:rPr>
                <w:rFonts w:ascii="Calibri" w:eastAsia="Garamond" w:hAnsi="Calibri" w:cs="Calibri"/>
                <w:szCs w:val="17"/>
              </w:rPr>
              <w:t>Expenses from transactions</w:t>
            </w:r>
          </w:p>
        </w:tc>
        <w:tc>
          <w:tcPr>
            <w:tcW w:w="844" w:type="dxa"/>
            <w:tcBorders>
              <w:top w:val="nil"/>
              <w:bottom w:val="single" w:sz="4" w:space="0" w:color="auto"/>
            </w:tcBorders>
          </w:tcPr>
          <w:p w14:paraId="720838D7" w14:textId="77777777" w:rsidR="00900469" w:rsidRPr="001213F7" w:rsidRDefault="00900469">
            <w:pPr>
              <w:cnfStyle w:val="000000000000" w:firstRow="0" w:lastRow="0" w:firstColumn="0" w:lastColumn="0" w:oddVBand="0" w:evenVBand="0" w:oddHBand="0" w:evenHBand="0" w:firstRowFirstColumn="0" w:firstRowLastColumn="0" w:lastRowFirstColumn="0" w:lastRowLastColumn="0"/>
              <w:rPr>
                <w:rFonts w:ascii="Calibri" w:eastAsia="Garamond" w:hAnsi="Calibri"/>
                <w:szCs w:val="17"/>
              </w:rPr>
            </w:pPr>
            <w:r w:rsidRPr="001213F7">
              <w:t>435.9</w:t>
            </w:r>
          </w:p>
        </w:tc>
        <w:tc>
          <w:tcPr>
            <w:tcW w:w="845" w:type="dxa"/>
            <w:tcBorders>
              <w:top w:val="nil"/>
              <w:bottom w:val="single" w:sz="4" w:space="0" w:color="auto"/>
            </w:tcBorders>
          </w:tcPr>
          <w:p w14:paraId="40798DB0" w14:textId="77777777" w:rsidR="00900469" w:rsidRPr="001213F7" w:rsidRDefault="00900469">
            <w:pPr>
              <w:cnfStyle w:val="000000000000" w:firstRow="0" w:lastRow="0" w:firstColumn="0" w:lastColumn="0" w:oddVBand="0" w:evenVBand="0" w:oddHBand="0" w:evenHBand="0" w:firstRowFirstColumn="0" w:firstRowLastColumn="0" w:lastRowFirstColumn="0" w:lastRowLastColumn="0"/>
              <w:rPr>
                <w:rFonts w:ascii="Calibri" w:eastAsia="Garamond" w:hAnsi="Calibri"/>
                <w:szCs w:val="17"/>
              </w:rPr>
            </w:pPr>
            <w:r w:rsidRPr="001213F7">
              <w:t>478.5</w:t>
            </w:r>
          </w:p>
        </w:tc>
        <w:tc>
          <w:tcPr>
            <w:tcW w:w="845" w:type="dxa"/>
            <w:tcBorders>
              <w:top w:val="nil"/>
              <w:bottom w:val="single" w:sz="4" w:space="0" w:color="auto"/>
            </w:tcBorders>
          </w:tcPr>
          <w:p w14:paraId="123D5CE7" w14:textId="77777777" w:rsidR="00900469" w:rsidRPr="001213F7" w:rsidRDefault="00900469">
            <w:pPr>
              <w:cnfStyle w:val="000000000000" w:firstRow="0" w:lastRow="0" w:firstColumn="0" w:lastColumn="0" w:oddVBand="0" w:evenVBand="0" w:oddHBand="0" w:evenHBand="0" w:firstRowFirstColumn="0" w:firstRowLastColumn="0" w:lastRowFirstColumn="0" w:lastRowLastColumn="0"/>
              <w:rPr>
                <w:rFonts w:ascii="Calibri" w:eastAsia="Garamond" w:hAnsi="Calibri"/>
                <w:szCs w:val="17"/>
              </w:rPr>
            </w:pPr>
            <w:r w:rsidRPr="001213F7">
              <w:t>201.</w:t>
            </w:r>
            <w:r w:rsidRPr="001213F7" w:rsidDel="003B5774">
              <w:t>4</w:t>
            </w:r>
          </w:p>
        </w:tc>
        <w:tc>
          <w:tcPr>
            <w:tcW w:w="845" w:type="dxa"/>
            <w:tcBorders>
              <w:top w:val="nil"/>
              <w:bottom w:val="single" w:sz="4" w:space="0" w:color="auto"/>
            </w:tcBorders>
          </w:tcPr>
          <w:p w14:paraId="5721B3BA" w14:textId="77777777" w:rsidR="00900469" w:rsidRPr="001213F7" w:rsidRDefault="00900469">
            <w:pPr>
              <w:cnfStyle w:val="000000000000" w:firstRow="0" w:lastRow="0" w:firstColumn="0" w:lastColumn="0" w:oddVBand="0" w:evenVBand="0" w:oddHBand="0" w:evenHBand="0" w:firstRowFirstColumn="0" w:firstRowLastColumn="0" w:lastRowFirstColumn="0" w:lastRowLastColumn="0"/>
              <w:rPr>
                <w:rFonts w:ascii="Calibri" w:eastAsia="Garamond" w:hAnsi="Calibri"/>
                <w:szCs w:val="17"/>
              </w:rPr>
            </w:pPr>
            <w:r w:rsidRPr="001213F7">
              <w:t>(46.2)</w:t>
            </w:r>
          </w:p>
        </w:tc>
      </w:tr>
      <w:tr w:rsidR="00900469" w:rsidRPr="001213F7" w14:paraId="75C0BE9C" w14:textId="77777777">
        <w:tc>
          <w:tcPr>
            <w:cnfStyle w:val="001000000000" w:firstRow="0" w:lastRow="0" w:firstColumn="1" w:lastColumn="0" w:oddVBand="0" w:evenVBand="0" w:oddHBand="0" w:evenHBand="0" w:firstRowFirstColumn="0" w:firstRowLastColumn="0" w:lastRowFirstColumn="0" w:lastRowLastColumn="0"/>
            <w:tcW w:w="4332" w:type="dxa"/>
            <w:tcBorders>
              <w:top w:val="single" w:sz="4" w:space="0" w:color="auto"/>
              <w:left w:val="nil"/>
              <w:bottom w:val="single" w:sz="4" w:space="0" w:color="auto"/>
              <w:right w:val="nil"/>
            </w:tcBorders>
            <w:shd w:val="clear" w:color="000000" w:fill="FFFFFF"/>
            <w:vAlign w:val="bottom"/>
            <w:hideMark/>
          </w:tcPr>
          <w:p w14:paraId="5E057647" w14:textId="77777777" w:rsidR="00900469" w:rsidRPr="001213F7" w:rsidRDefault="00900469">
            <w:pPr>
              <w:autoSpaceDE w:val="0"/>
              <w:autoSpaceDN w:val="0"/>
              <w:adjustRightInd w:val="0"/>
              <w:rPr>
                <w:rFonts w:ascii="Calibri" w:eastAsia="Times New Roman" w:hAnsi="Calibri" w:cs="Calibri"/>
                <w:b/>
                <w:color w:val="000000"/>
                <w:szCs w:val="17"/>
                <w:lang w:eastAsia="en-AU"/>
              </w:rPr>
            </w:pPr>
            <w:r w:rsidRPr="001213F7">
              <w:rPr>
                <w:rFonts w:ascii="Calibri" w:eastAsia="Garamond" w:hAnsi="Calibri" w:cs="Calibri"/>
                <w:b/>
                <w:szCs w:val="17"/>
              </w:rPr>
              <w:t>Net result from transactions</w:t>
            </w:r>
          </w:p>
        </w:tc>
        <w:tc>
          <w:tcPr>
            <w:tcW w:w="844" w:type="dxa"/>
            <w:tcBorders>
              <w:top w:val="single" w:sz="4" w:space="0" w:color="auto"/>
              <w:bottom w:val="single" w:sz="4" w:space="0" w:color="auto"/>
            </w:tcBorders>
          </w:tcPr>
          <w:p w14:paraId="12976C6B" w14:textId="77777777" w:rsidR="00900469" w:rsidRPr="001213F7" w:rsidRDefault="00900469">
            <w:pPr>
              <w:cnfStyle w:val="000000000000" w:firstRow="0" w:lastRow="0" w:firstColumn="0" w:lastColumn="0" w:oddVBand="0" w:evenVBand="0" w:oddHBand="0" w:evenHBand="0" w:firstRowFirstColumn="0" w:firstRowLastColumn="0" w:lastRowFirstColumn="0" w:lastRowLastColumn="0"/>
              <w:rPr>
                <w:rFonts w:ascii="Calibri" w:eastAsia="Garamond" w:hAnsi="Calibri"/>
                <w:b/>
                <w:bCs/>
                <w:szCs w:val="17"/>
              </w:rPr>
            </w:pPr>
            <w:r w:rsidRPr="001213F7">
              <w:rPr>
                <w:b/>
              </w:rPr>
              <w:t>(131.5</w:t>
            </w:r>
            <w:r w:rsidRPr="001213F7" w:rsidDel="003B5774">
              <w:rPr>
                <w:b/>
              </w:rPr>
              <w:t>)</w:t>
            </w:r>
          </w:p>
        </w:tc>
        <w:tc>
          <w:tcPr>
            <w:tcW w:w="845" w:type="dxa"/>
            <w:tcBorders>
              <w:top w:val="single" w:sz="4" w:space="0" w:color="auto"/>
              <w:bottom w:val="single" w:sz="4" w:space="0" w:color="auto"/>
            </w:tcBorders>
          </w:tcPr>
          <w:p w14:paraId="56270A8E" w14:textId="77777777" w:rsidR="00900469" w:rsidRPr="001213F7" w:rsidRDefault="00900469">
            <w:pPr>
              <w:cnfStyle w:val="000000000000" w:firstRow="0" w:lastRow="0" w:firstColumn="0" w:lastColumn="0" w:oddVBand="0" w:evenVBand="0" w:oddHBand="0" w:evenHBand="0" w:firstRowFirstColumn="0" w:firstRowLastColumn="0" w:lastRowFirstColumn="0" w:lastRowLastColumn="0"/>
              <w:rPr>
                <w:rFonts w:ascii="Calibri" w:eastAsia="Garamond" w:hAnsi="Calibri"/>
                <w:b/>
                <w:bCs/>
                <w:szCs w:val="17"/>
              </w:rPr>
            </w:pPr>
            <w:r w:rsidRPr="001213F7">
              <w:rPr>
                <w:b/>
              </w:rPr>
              <w:t>(74.7</w:t>
            </w:r>
            <w:r w:rsidRPr="001213F7" w:rsidDel="003B5774">
              <w:rPr>
                <w:b/>
              </w:rPr>
              <w:t>)</w:t>
            </w:r>
          </w:p>
        </w:tc>
        <w:tc>
          <w:tcPr>
            <w:tcW w:w="845" w:type="dxa"/>
            <w:tcBorders>
              <w:top w:val="single" w:sz="4" w:space="0" w:color="auto"/>
              <w:bottom w:val="single" w:sz="4" w:space="0" w:color="auto"/>
            </w:tcBorders>
          </w:tcPr>
          <w:p w14:paraId="32CCC094" w14:textId="77777777" w:rsidR="00900469" w:rsidRPr="001213F7" w:rsidRDefault="00900469">
            <w:pPr>
              <w:cnfStyle w:val="000000000000" w:firstRow="0" w:lastRow="0" w:firstColumn="0" w:lastColumn="0" w:oddVBand="0" w:evenVBand="0" w:oddHBand="0" w:evenHBand="0" w:firstRowFirstColumn="0" w:firstRowLastColumn="0" w:lastRowFirstColumn="0" w:lastRowLastColumn="0"/>
              <w:rPr>
                <w:rFonts w:ascii="Calibri" w:eastAsia="Garamond" w:hAnsi="Calibri"/>
                <w:b/>
                <w:bCs/>
                <w:szCs w:val="17"/>
              </w:rPr>
            </w:pPr>
            <w:r w:rsidRPr="001213F7">
              <w:rPr>
                <w:b/>
              </w:rPr>
              <w:t>126.</w:t>
            </w:r>
            <w:r w:rsidRPr="001213F7">
              <w:rPr>
                <w:b/>
                <w:bCs/>
              </w:rPr>
              <w:t>7</w:t>
            </w:r>
          </w:p>
        </w:tc>
        <w:tc>
          <w:tcPr>
            <w:tcW w:w="845" w:type="dxa"/>
            <w:tcBorders>
              <w:top w:val="single" w:sz="4" w:space="0" w:color="auto"/>
              <w:bottom w:val="single" w:sz="4" w:space="0" w:color="auto"/>
            </w:tcBorders>
          </w:tcPr>
          <w:p w14:paraId="7404C32E" w14:textId="77777777" w:rsidR="00900469" w:rsidRPr="001213F7" w:rsidRDefault="00900469">
            <w:pPr>
              <w:cnfStyle w:val="000000000000" w:firstRow="0" w:lastRow="0" w:firstColumn="0" w:lastColumn="0" w:oddVBand="0" w:evenVBand="0" w:oddHBand="0" w:evenHBand="0" w:firstRowFirstColumn="0" w:firstRowLastColumn="0" w:lastRowFirstColumn="0" w:lastRowLastColumn="0"/>
              <w:rPr>
                <w:rFonts w:ascii="Calibri" w:eastAsia="Garamond" w:hAnsi="Calibri"/>
                <w:b/>
                <w:bCs/>
                <w:szCs w:val="17"/>
              </w:rPr>
            </w:pPr>
            <w:r w:rsidRPr="001213F7">
              <w:rPr>
                <w:b/>
              </w:rPr>
              <w:t>186.3</w:t>
            </w:r>
          </w:p>
        </w:tc>
      </w:tr>
      <w:tr w:rsidR="00900469" w:rsidRPr="001213F7" w14:paraId="7E29B1E0" w14:textId="77777777">
        <w:tc>
          <w:tcPr>
            <w:cnfStyle w:val="001000000000" w:firstRow="0" w:lastRow="0" w:firstColumn="1" w:lastColumn="0" w:oddVBand="0" w:evenVBand="0" w:oddHBand="0" w:evenHBand="0" w:firstRowFirstColumn="0" w:firstRowLastColumn="0" w:lastRowFirstColumn="0" w:lastRowLastColumn="0"/>
            <w:tcW w:w="4332" w:type="dxa"/>
            <w:tcBorders>
              <w:top w:val="nil"/>
              <w:left w:val="nil"/>
              <w:bottom w:val="single" w:sz="4" w:space="0" w:color="auto"/>
              <w:right w:val="nil"/>
            </w:tcBorders>
            <w:shd w:val="clear" w:color="auto" w:fill="FFFFFF" w:themeFill="background1"/>
            <w:vAlign w:val="bottom"/>
            <w:hideMark/>
          </w:tcPr>
          <w:p w14:paraId="7E5D4D18" w14:textId="77777777" w:rsidR="00900469" w:rsidRPr="001213F7" w:rsidRDefault="00900469">
            <w:pPr>
              <w:autoSpaceDE w:val="0"/>
              <w:autoSpaceDN w:val="0"/>
              <w:adjustRightInd w:val="0"/>
              <w:rPr>
                <w:rFonts w:ascii="Calibri" w:eastAsia="Times New Roman" w:hAnsi="Calibri" w:cs="Calibri"/>
                <w:color w:val="000000"/>
                <w:szCs w:val="17"/>
                <w:lang w:eastAsia="en-AU"/>
              </w:rPr>
            </w:pPr>
            <w:r w:rsidRPr="001213F7">
              <w:rPr>
                <w:rFonts w:ascii="Calibri" w:eastAsia="Garamond" w:hAnsi="Calibri" w:cs="Calibri"/>
                <w:szCs w:val="17"/>
              </w:rPr>
              <w:t>Other economic flows</w:t>
            </w:r>
          </w:p>
        </w:tc>
        <w:tc>
          <w:tcPr>
            <w:tcW w:w="844" w:type="dxa"/>
            <w:tcBorders>
              <w:top w:val="nil"/>
              <w:left w:val="nil"/>
              <w:bottom w:val="nil"/>
              <w:right w:val="nil"/>
            </w:tcBorders>
            <w:shd w:val="clear" w:color="auto" w:fill="FFFFFF" w:themeFill="background1"/>
          </w:tcPr>
          <w:p w14:paraId="5C639D9C" w14:textId="77777777" w:rsidR="00900469" w:rsidRPr="001213F7" w:rsidRDefault="00900469">
            <w:pPr>
              <w:cnfStyle w:val="000000000000" w:firstRow="0" w:lastRow="0" w:firstColumn="0" w:lastColumn="0" w:oddVBand="0" w:evenVBand="0" w:oddHBand="0" w:evenHBand="0" w:firstRowFirstColumn="0" w:firstRowLastColumn="0" w:lastRowFirstColumn="0" w:lastRowLastColumn="0"/>
              <w:rPr>
                <w:rFonts w:ascii="Calibri" w:eastAsia="Garamond" w:hAnsi="Calibri"/>
                <w:szCs w:val="17"/>
              </w:rPr>
            </w:pPr>
            <w:r w:rsidRPr="001213F7">
              <w:t>5.4</w:t>
            </w:r>
          </w:p>
        </w:tc>
        <w:tc>
          <w:tcPr>
            <w:tcW w:w="845" w:type="dxa"/>
            <w:tcBorders>
              <w:top w:val="nil"/>
              <w:left w:val="nil"/>
              <w:bottom w:val="nil"/>
              <w:right w:val="nil"/>
            </w:tcBorders>
            <w:shd w:val="clear" w:color="auto" w:fill="FFFFFF" w:themeFill="background1"/>
          </w:tcPr>
          <w:p w14:paraId="74A2484E" w14:textId="77777777" w:rsidR="00900469" w:rsidRPr="001213F7" w:rsidRDefault="00900469">
            <w:pPr>
              <w:cnfStyle w:val="000000000000" w:firstRow="0" w:lastRow="0" w:firstColumn="0" w:lastColumn="0" w:oddVBand="0" w:evenVBand="0" w:oddHBand="0" w:evenHBand="0" w:firstRowFirstColumn="0" w:firstRowLastColumn="0" w:lastRowFirstColumn="0" w:lastRowLastColumn="0"/>
              <w:rPr>
                <w:rFonts w:ascii="Calibri" w:eastAsia="Garamond" w:hAnsi="Calibri"/>
                <w:szCs w:val="17"/>
              </w:rPr>
            </w:pPr>
            <w:r w:rsidRPr="001213F7">
              <w:t>5.5</w:t>
            </w:r>
          </w:p>
        </w:tc>
        <w:tc>
          <w:tcPr>
            <w:tcW w:w="845" w:type="dxa"/>
            <w:tcBorders>
              <w:top w:val="nil"/>
              <w:left w:val="nil"/>
              <w:bottom w:val="nil"/>
              <w:right w:val="nil"/>
            </w:tcBorders>
            <w:shd w:val="clear" w:color="auto" w:fill="FFFFFF" w:themeFill="background1"/>
          </w:tcPr>
          <w:p w14:paraId="10BCC1FD" w14:textId="77777777" w:rsidR="00900469" w:rsidRPr="001213F7" w:rsidRDefault="00900469">
            <w:pPr>
              <w:cnfStyle w:val="000000000000" w:firstRow="0" w:lastRow="0" w:firstColumn="0" w:lastColumn="0" w:oddVBand="0" w:evenVBand="0" w:oddHBand="0" w:evenHBand="0" w:firstRowFirstColumn="0" w:firstRowLastColumn="0" w:lastRowFirstColumn="0" w:lastRowLastColumn="0"/>
              <w:rPr>
                <w:rFonts w:ascii="Calibri" w:eastAsia="Garamond" w:hAnsi="Calibri"/>
                <w:szCs w:val="17"/>
              </w:rPr>
            </w:pPr>
            <w:r w:rsidRPr="001213F7">
              <w:t>4.9</w:t>
            </w:r>
          </w:p>
        </w:tc>
        <w:tc>
          <w:tcPr>
            <w:tcW w:w="845" w:type="dxa"/>
            <w:tcBorders>
              <w:top w:val="nil"/>
              <w:left w:val="nil"/>
              <w:bottom w:val="nil"/>
              <w:right w:val="nil"/>
            </w:tcBorders>
            <w:shd w:val="clear" w:color="auto" w:fill="FFFFFF" w:themeFill="background1"/>
          </w:tcPr>
          <w:p w14:paraId="346ABEE2" w14:textId="77777777" w:rsidR="00900469" w:rsidRPr="001213F7" w:rsidRDefault="00900469">
            <w:pPr>
              <w:cnfStyle w:val="000000000000" w:firstRow="0" w:lastRow="0" w:firstColumn="0" w:lastColumn="0" w:oddVBand="0" w:evenVBand="0" w:oddHBand="0" w:evenHBand="0" w:firstRowFirstColumn="0" w:firstRowLastColumn="0" w:lastRowFirstColumn="0" w:lastRowLastColumn="0"/>
              <w:rPr>
                <w:rFonts w:ascii="Calibri" w:eastAsia="Garamond" w:hAnsi="Calibri"/>
                <w:szCs w:val="17"/>
              </w:rPr>
            </w:pPr>
            <w:r w:rsidRPr="001213F7">
              <w:t>1.8</w:t>
            </w:r>
          </w:p>
        </w:tc>
      </w:tr>
      <w:tr w:rsidR="00900469" w:rsidRPr="001213F7" w14:paraId="4103636F" w14:textId="77777777">
        <w:tc>
          <w:tcPr>
            <w:cnfStyle w:val="001000000000" w:firstRow="0" w:lastRow="0" w:firstColumn="1" w:lastColumn="0" w:oddVBand="0" w:evenVBand="0" w:oddHBand="0" w:evenHBand="0" w:firstRowFirstColumn="0" w:firstRowLastColumn="0" w:lastRowFirstColumn="0" w:lastRowLastColumn="0"/>
            <w:tcW w:w="4332" w:type="dxa"/>
            <w:tcBorders>
              <w:top w:val="single" w:sz="4" w:space="0" w:color="auto"/>
              <w:left w:val="nil"/>
              <w:bottom w:val="single" w:sz="4" w:space="0" w:color="auto"/>
              <w:right w:val="nil"/>
            </w:tcBorders>
            <w:shd w:val="clear" w:color="000000" w:fill="FFFFFF"/>
            <w:vAlign w:val="bottom"/>
            <w:hideMark/>
          </w:tcPr>
          <w:p w14:paraId="2099CD0C" w14:textId="77777777" w:rsidR="00900469" w:rsidRPr="001213F7" w:rsidRDefault="00900469">
            <w:pPr>
              <w:autoSpaceDE w:val="0"/>
              <w:autoSpaceDN w:val="0"/>
              <w:adjustRightInd w:val="0"/>
              <w:rPr>
                <w:rFonts w:ascii="Calibri" w:eastAsia="Times New Roman" w:hAnsi="Calibri" w:cs="Calibri"/>
                <w:b/>
                <w:color w:val="000000"/>
                <w:szCs w:val="17"/>
                <w:lang w:eastAsia="en-AU"/>
              </w:rPr>
            </w:pPr>
            <w:r w:rsidRPr="001213F7">
              <w:rPr>
                <w:rFonts w:ascii="Calibri" w:eastAsia="Garamond" w:hAnsi="Calibri" w:cs="Calibri"/>
                <w:b/>
                <w:szCs w:val="17"/>
              </w:rPr>
              <w:t>Net result</w:t>
            </w:r>
          </w:p>
        </w:tc>
        <w:tc>
          <w:tcPr>
            <w:tcW w:w="844" w:type="dxa"/>
            <w:tcBorders>
              <w:top w:val="single" w:sz="4" w:space="0" w:color="auto"/>
              <w:left w:val="nil"/>
              <w:bottom w:val="single" w:sz="4" w:space="0" w:color="auto"/>
              <w:right w:val="nil"/>
            </w:tcBorders>
            <w:shd w:val="clear" w:color="000000" w:fill="FFFFFF"/>
          </w:tcPr>
          <w:p w14:paraId="475C03C6" w14:textId="77777777" w:rsidR="00900469" w:rsidRPr="001213F7" w:rsidRDefault="00900469">
            <w:pPr>
              <w:cnfStyle w:val="000000000000" w:firstRow="0" w:lastRow="0" w:firstColumn="0" w:lastColumn="0" w:oddVBand="0" w:evenVBand="0" w:oddHBand="0" w:evenHBand="0" w:firstRowFirstColumn="0" w:firstRowLastColumn="0" w:lastRowFirstColumn="0" w:lastRowLastColumn="0"/>
              <w:rPr>
                <w:rFonts w:ascii="Calibri" w:eastAsia="Garamond" w:hAnsi="Calibri"/>
                <w:b/>
                <w:bCs/>
                <w:szCs w:val="17"/>
              </w:rPr>
            </w:pPr>
            <w:r w:rsidRPr="001213F7">
              <w:rPr>
                <w:b/>
              </w:rPr>
              <w:t>(126.1</w:t>
            </w:r>
            <w:r w:rsidRPr="001213F7" w:rsidDel="003B5774">
              <w:rPr>
                <w:b/>
              </w:rPr>
              <w:t>)</w:t>
            </w:r>
          </w:p>
        </w:tc>
        <w:tc>
          <w:tcPr>
            <w:tcW w:w="845" w:type="dxa"/>
            <w:tcBorders>
              <w:top w:val="single" w:sz="4" w:space="0" w:color="auto"/>
              <w:left w:val="nil"/>
              <w:bottom w:val="single" w:sz="4" w:space="0" w:color="auto"/>
              <w:right w:val="nil"/>
            </w:tcBorders>
            <w:shd w:val="clear" w:color="000000" w:fill="FFFFFF"/>
          </w:tcPr>
          <w:p w14:paraId="3009A889" w14:textId="77777777" w:rsidR="00900469" w:rsidRPr="001213F7" w:rsidRDefault="00900469">
            <w:pPr>
              <w:cnfStyle w:val="000000000000" w:firstRow="0" w:lastRow="0" w:firstColumn="0" w:lastColumn="0" w:oddVBand="0" w:evenVBand="0" w:oddHBand="0" w:evenHBand="0" w:firstRowFirstColumn="0" w:firstRowLastColumn="0" w:lastRowFirstColumn="0" w:lastRowLastColumn="0"/>
              <w:rPr>
                <w:rFonts w:ascii="Calibri" w:eastAsia="Garamond" w:hAnsi="Calibri"/>
                <w:b/>
                <w:bCs/>
                <w:szCs w:val="17"/>
              </w:rPr>
            </w:pPr>
            <w:r w:rsidRPr="001213F7">
              <w:rPr>
                <w:b/>
              </w:rPr>
              <w:t>(69.2</w:t>
            </w:r>
            <w:r w:rsidRPr="001213F7" w:rsidDel="003B5774">
              <w:rPr>
                <w:b/>
              </w:rPr>
              <w:t>)</w:t>
            </w:r>
          </w:p>
        </w:tc>
        <w:tc>
          <w:tcPr>
            <w:tcW w:w="845" w:type="dxa"/>
            <w:tcBorders>
              <w:top w:val="single" w:sz="4" w:space="0" w:color="auto"/>
              <w:left w:val="nil"/>
              <w:bottom w:val="single" w:sz="4" w:space="0" w:color="auto"/>
              <w:right w:val="nil"/>
            </w:tcBorders>
            <w:shd w:val="clear" w:color="000000" w:fill="FFFFFF"/>
          </w:tcPr>
          <w:p w14:paraId="7D934EEE" w14:textId="77777777" w:rsidR="00900469" w:rsidRPr="001213F7" w:rsidRDefault="00900469">
            <w:pPr>
              <w:cnfStyle w:val="000000000000" w:firstRow="0" w:lastRow="0" w:firstColumn="0" w:lastColumn="0" w:oddVBand="0" w:evenVBand="0" w:oddHBand="0" w:evenHBand="0" w:firstRowFirstColumn="0" w:firstRowLastColumn="0" w:lastRowFirstColumn="0" w:lastRowLastColumn="0"/>
              <w:rPr>
                <w:rFonts w:ascii="Calibri" w:eastAsia="Garamond" w:hAnsi="Calibri"/>
                <w:b/>
                <w:bCs/>
                <w:szCs w:val="17"/>
              </w:rPr>
            </w:pPr>
            <w:r w:rsidRPr="001213F7">
              <w:rPr>
                <w:b/>
              </w:rPr>
              <w:t>131.</w:t>
            </w:r>
            <w:r w:rsidRPr="001213F7">
              <w:rPr>
                <w:b/>
                <w:bCs/>
              </w:rPr>
              <w:t>6</w:t>
            </w:r>
          </w:p>
        </w:tc>
        <w:tc>
          <w:tcPr>
            <w:tcW w:w="845" w:type="dxa"/>
            <w:tcBorders>
              <w:top w:val="single" w:sz="4" w:space="0" w:color="auto"/>
              <w:left w:val="nil"/>
              <w:bottom w:val="single" w:sz="4" w:space="0" w:color="auto"/>
              <w:right w:val="nil"/>
            </w:tcBorders>
            <w:shd w:val="clear" w:color="000000" w:fill="FFFFFF"/>
          </w:tcPr>
          <w:p w14:paraId="17480563" w14:textId="77777777" w:rsidR="00900469" w:rsidRPr="001213F7" w:rsidRDefault="00900469">
            <w:pPr>
              <w:cnfStyle w:val="000000000000" w:firstRow="0" w:lastRow="0" w:firstColumn="0" w:lastColumn="0" w:oddVBand="0" w:evenVBand="0" w:oddHBand="0" w:evenHBand="0" w:firstRowFirstColumn="0" w:firstRowLastColumn="0" w:lastRowFirstColumn="0" w:lastRowLastColumn="0"/>
              <w:rPr>
                <w:rFonts w:ascii="Calibri" w:eastAsia="Garamond" w:hAnsi="Calibri"/>
                <w:b/>
                <w:bCs/>
                <w:szCs w:val="17"/>
              </w:rPr>
            </w:pPr>
            <w:r w:rsidRPr="001213F7">
              <w:rPr>
                <w:b/>
              </w:rPr>
              <w:t>188.1</w:t>
            </w:r>
          </w:p>
        </w:tc>
      </w:tr>
      <w:tr w:rsidR="00900469" w:rsidRPr="001213F7" w14:paraId="7911BFD0" w14:textId="77777777">
        <w:tc>
          <w:tcPr>
            <w:cnfStyle w:val="001000000000" w:firstRow="0" w:lastRow="0" w:firstColumn="1" w:lastColumn="0" w:oddVBand="0" w:evenVBand="0" w:oddHBand="0" w:evenHBand="0" w:firstRowFirstColumn="0" w:firstRowLastColumn="0" w:lastRowFirstColumn="0" w:lastRowLastColumn="0"/>
            <w:tcW w:w="4332" w:type="dxa"/>
            <w:tcBorders>
              <w:top w:val="single" w:sz="4" w:space="0" w:color="auto"/>
              <w:left w:val="nil"/>
              <w:bottom w:val="single" w:sz="4" w:space="0" w:color="auto"/>
              <w:right w:val="nil"/>
            </w:tcBorders>
            <w:shd w:val="clear" w:color="000000" w:fill="FFFFFF"/>
            <w:vAlign w:val="bottom"/>
            <w:hideMark/>
          </w:tcPr>
          <w:p w14:paraId="3A0A6334" w14:textId="77777777" w:rsidR="00900469" w:rsidRPr="001213F7" w:rsidRDefault="00900469">
            <w:pPr>
              <w:autoSpaceDE w:val="0"/>
              <w:autoSpaceDN w:val="0"/>
              <w:adjustRightInd w:val="0"/>
              <w:rPr>
                <w:rFonts w:ascii="Calibri" w:eastAsia="Times New Roman" w:hAnsi="Calibri" w:cs="Calibri"/>
                <w:b/>
                <w:color w:val="000000"/>
                <w:szCs w:val="17"/>
                <w:lang w:eastAsia="en-AU"/>
              </w:rPr>
            </w:pPr>
            <w:r w:rsidRPr="001213F7">
              <w:rPr>
                <w:rFonts w:ascii="Calibri" w:eastAsia="Garamond" w:hAnsi="Calibri" w:cs="Calibri"/>
                <w:b/>
                <w:szCs w:val="17"/>
              </w:rPr>
              <w:t>Net debt (cumulative)</w:t>
            </w:r>
          </w:p>
        </w:tc>
        <w:tc>
          <w:tcPr>
            <w:tcW w:w="844" w:type="dxa"/>
            <w:tcBorders>
              <w:top w:val="single" w:sz="4" w:space="0" w:color="auto"/>
              <w:left w:val="nil"/>
              <w:bottom w:val="single" w:sz="4" w:space="0" w:color="auto"/>
              <w:right w:val="nil"/>
            </w:tcBorders>
            <w:shd w:val="clear" w:color="000000" w:fill="FFFFFF"/>
          </w:tcPr>
          <w:p w14:paraId="3B8C9F7A" w14:textId="77777777" w:rsidR="00900469" w:rsidRPr="001213F7" w:rsidRDefault="00900469">
            <w:pPr>
              <w:cnfStyle w:val="000000000000" w:firstRow="0" w:lastRow="0" w:firstColumn="0" w:lastColumn="0" w:oddVBand="0" w:evenVBand="0" w:oddHBand="0" w:evenHBand="0" w:firstRowFirstColumn="0" w:firstRowLastColumn="0" w:lastRowFirstColumn="0" w:lastRowLastColumn="0"/>
              <w:rPr>
                <w:rFonts w:ascii="Calibri" w:eastAsia="Garamond" w:hAnsi="Calibri"/>
                <w:b/>
                <w:bCs/>
                <w:szCs w:val="17"/>
              </w:rPr>
            </w:pPr>
            <w:r w:rsidRPr="001213F7">
              <w:rPr>
                <w:b/>
              </w:rPr>
              <w:t>126.</w:t>
            </w:r>
            <w:r w:rsidRPr="001213F7">
              <w:rPr>
                <w:b/>
                <w:bCs/>
              </w:rPr>
              <w:t>1</w:t>
            </w:r>
          </w:p>
        </w:tc>
        <w:tc>
          <w:tcPr>
            <w:tcW w:w="845" w:type="dxa"/>
            <w:tcBorders>
              <w:top w:val="single" w:sz="4" w:space="0" w:color="auto"/>
              <w:left w:val="nil"/>
              <w:bottom w:val="single" w:sz="4" w:space="0" w:color="auto"/>
              <w:right w:val="nil"/>
            </w:tcBorders>
            <w:shd w:val="clear" w:color="000000" w:fill="FFFFFF"/>
          </w:tcPr>
          <w:p w14:paraId="1CCEE024" w14:textId="77777777" w:rsidR="00900469" w:rsidRPr="001213F7" w:rsidRDefault="00900469">
            <w:pPr>
              <w:cnfStyle w:val="000000000000" w:firstRow="0" w:lastRow="0" w:firstColumn="0" w:lastColumn="0" w:oddVBand="0" w:evenVBand="0" w:oddHBand="0" w:evenHBand="0" w:firstRowFirstColumn="0" w:firstRowLastColumn="0" w:lastRowFirstColumn="0" w:lastRowLastColumn="0"/>
              <w:rPr>
                <w:rFonts w:ascii="Calibri" w:eastAsia="Garamond" w:hAnsi="Calibri"/>
                <w:b/>
                <w:bCs/>
                <w:szCs w:val="17"/>
              </w:rPr>
            </w:pPr>
            <w:r w:rsidRPr="001213F7">
              <w:rPr>
                <w:b/>
              </w:rPr>
              <w:t>67.</w:t>
            </w:r>
            <w:r w:rsidRPr="001213F7" w:rsidDel="003B5774">
              <w:rPr>
                <w:b/>
              </w:rPr>
              <w:t>3</w:t>
            </w:r>
          </w:p>
        </w:tc>
        <w:tc>
          <w:tcPr>
            <w:tcW w:w="845" w:type="dxa"/>
            <w:tcBorders>
              <w:top w:val="single" w:sz="4" w:space="0" w:color="auto"/>
              <w:left w:val="nil"/>
              <w:bottom w:val="single" w:sz="4" w:space="0" w:color="auto"/>
              <w:right w:val="nil"/>
            </w:tcBorders>
            <w:shd w:val="clear" w:color="000000" w:fill="FFFFFF"/>
          </w:tcPr>
          <w:p w14:paraId="4779903B" w14:textId="77777777" w:rsidR="00900469" w:rsidRPr="001213F7" w:rsidRDefault="00900469">
            <w:pPr>
              <w:cnfStyle w:val="000000000000" w:firstRow="0" w:lastRow="0" w:firstColumn="0" w:lastColumn="0" w:oddVBand="0" w:evenVBand="0" w:oddHBand="0" w:evenHBand="0" w:firstRowFirstColumn="0" w:firstRowLastColumn="0" w:lastRowFirstColumn="0" w:lastRowLastColumn="0"/>
              <w:rPr>
                <w:rFonts w:ascii="Calibri" w:eastAsia="Garamond" w:hAnsi="Calibri"/>
                <w:b/>
                <w:bCs/>
                <w:szCs w:val="17"/>
              </w:rPr>
            </w:pPr>
            <w:r w:rsidRPr="001213F7">
              <w:rPr>
                <w:b/>
              </w:rPr>
              <w:t>(126.7)</w:t>
            </w:r>
          </w:p>
        </w:tc>
        <w:tc>
          <w:tcPr>
            <w:tcW w:w="845" w:type="dxa"/>
            <w:tcBorders>
              <w:top w:val="single" w:sz="4" w:space="0" w:color="auto"/>
              <w:left w:val="nil"/>
              <w:bottom w:val="single" w:sz="4" w:space="0" w:color="auto"/>
              <w:right w:val="nil"/>
            </w:tcBorders>
          </w:tcPr>
          <w:p w14:paraId="1D9F0865" w14:textId="77777777" w:rsidR="00900469" w:rsidRPr="001213F7" w:rsidRDefault="00900469">
            <w:pPr>
              <w:cnfStyle w:val="000000000000" w:firstRow="0" w:lastRow="0" w:firstColumn="0" w:lastColumn="0" w:oddVBand="0" w:evenVBand="0" w:oddHBand="0" w:evenHBand="0" w:firstRowFirstColumn="0" w:firstRowLastColumn="0" w:lastRowFirstColumn="0" w:lastRowLastColumn="0"/>
              <w:rPr>
                <w:rFonts w:ascii="Calibri" w:eastAsia="Garamond" w:hAnsi="Calibri"/>
                <w:b/>
                <w:bCs/>
                <w:szCs w:val="17"/>
              </w:rPr>
            </w:pPr>
            <w:r w:rsidRPr="001213F7">
              <w:rPr>
                <w:b/>
              </w:rPr>
              <w:t>(323.5)</w:t>
            </w:r>
          </w:p>
        </w:tc>
      </w:tr>
      <w:tr w:rsidR="00900469" w:rsidRPr="001213F7" w14:paraId="0D310DD9" w14:textId="77777777">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32" w:type="dxa"/>
            <w:tcBorders>
              <w:top w:val="single" w:sz="4" w:space="0" w:color="auto"/>
              <w:bottom w:val="single" w:sz="8" w:space="0" w:color="auto"/>
            </w:tcBorders>
            <w:shd w:val="clear" w:color="000000" w:fill="FFFFFF"/>
            <w:hideMark/>
          </w:tcPr>
          <w:p w14:paraId="38F88673" w14:textId="77777777" w:rsidR="00900469" w:rsidRPr="001213F7" w:rsidRDefault="00900469">
            <w:pPr>
              <w:autoSpaceDE w:val="0"/>
              <w:autoSpaceDN w:val="0"/>
              <w:adjustRightInd w:val="0"/>
              <w:rPr>
                <w:rFonts w:ascii="Calibri" w:eastAsia="Times New Roman" w:hAnsi="Calibri" w:cs="Calibri"/>
                <w:b w:val="0"/>
                <w:color w:val="000000"/>
                <w:szCs w:val="17"/>
                <w:lang w:eastAsia="en-AU"/>
              </w:rPr>
            </w:pPr>
            <w:r w:rsidRPr="001213F7">
              <w:rPr>
                <w:rFonts w:ascii="Calibri" w:eastAsia="Garamond" w:hAnsi="Calibri" w:cs="Calibri"/>
                <w:b w:val="0"/>
                <w:szCs w:val="17"/>
              </w:rPr>
              <w:t>Net debt to GSP ratio (percentage point difference)</w:t>
            </w:r>
          </w:p>
        </w:tc>
        <w:tc>
          <w:tcPr>
            <w:tcW w:w="844" w:type="dxa"/>
            <w:tcBorders>
              <w:top w:val="single" w:sz="4" w:space="0" w:color="auto"/>
              <w:bottom w:val="single" w:sz="8" w:space="0" w:color="auto"/>
            </w:tcBorders>
            <w:shd w:val="clear" w:color="000000" w:fill="FFFFFF"/>
          </w:tcPr>
          <w:p w14:paraId="314AB53B" w14:textId="77777777" w:rsidR="00900469" w:rsidRPr="001213F7" w:rsidRDefault="00900469">
            <w:pPr>
              <w:cnfStyle w:val="010000000000" w:firstRow="0" w:lastRow="1" w:firstColumn="0" w:lastColumn="0" w:oddVBand="0" w:evenVBand="0" w:oddHBand="0" w:evenHBand="0" w:firstRowFirstColumn="0" w:firstRowLastColumn="0" w:lastRowFirstColumn="0" w:lastRowLastColumn="0"/>
              <w:rPr>
                <w:rFonts w:ascii="Calibri" w:eastAsia="Garamond" w:hAnsi="Calibri"/>
                <w:b w:val="0"/>
                <w:bCs/>
                <w:szCs w:val="17"/>
              </w:rPr>
            </w:pPr>
            <w:r w:rsidRPr="001213F7">
              <w:t>0.02</w:t>
            </w:r>
          </w:p>
        </w:tc>
        <w:tc>
          <w:tcPr>
            <w:tcW w:w="845" w:type="dxa"/>
            <w:tcBorders>
              <w:top w:val="single" w:sz="4" w:space="0" w:color="auto"/>
              <w:bottom w:val="single" w:sz="8" w:space="0" w:color="auto"/>
            </w:tcBorders>
            <w:shd w:val="clear" w:color="000000" w:fill="FFFFFF"/>
          </w:tcPr>
          <w:p w14:paraId="1A176EE7" w14:textId="77777777" w:rsidR="00900469" w:rsidRPr="001213F7" w:rsidRDefault="00900469">
            <w:pPr>
              <w:cnfStyle w:val="010000000000" w:firstRow="0" w:lastRow="1" w:firstColumn="0" w:lastColumn="0" w:oddVBand="0" w:evenVBand="0" w:oddHBand="0" w:evenHBand="0" w:firstRowFirstColumn="0" w:firstRowLastColumn="0" w:lastRowFirstColumn="0" w:lastRowLastColumn="0"/>
              <w:rPr>
                <w:rFonts w:ascii="Calibri" w:eastAsia="Garamond" w:hAnsi="Calibri"/>
                <w:b w:val="0"/>
                <w:bCs/>
                <w:szCs w:val="17"/>
              </w:rPr>
            </w:pPr>
            <w:r w:rsidRPr="001213F7">
              <w:t>0.01</w:t>
            </w:r>
          </w:p>
        </w:tc>
        <w:tc>
          <w:tcPr>
            <w:tcW w:w="845" w:type="dxa"/>
            <w:tcBorders>
              <w:top w:val="single" w:sz="4" w:space="0" w:color="auto"/>
              <w:bottom w:val="single" w:sz="8" w:space="0" w:color="auto"/>
            </w:tcBorders>
            <w:shd w:val="clear" w:color="000000" w:fill="FFFFFF"/>
          </w:tcPr>
          <w:p w14:paraId="10065EED" w14:textId="77777777" w:rsidR="00900469" w:rsidRPr="001213F7" w:rsidRDefault="00900469">
            <w:pPr>
              <w:cnfStyle w:val="010000000000" w:firstRow="0" w:lastRow="1" w:firstColumn="0" w:lastColumn="0" w:oddVBand="0" w:evenVBand="0" w:oddHBand="0" w:evenHBand="0" w:firstRowFirstColumn="0" w:firstRowLastColumn="0" w:lastRowFirstColumn="0" w:lastRowLastColumn="0"/>
              <w:rPr>
                <w:rFonts w:ascii="Calibri" w:eastAsia="Garamond" w:hAnsi="Calibri"/>
                <w:b w:val="0"/>
                <w:bCs/>
                <w:szCs w:val="17"/>
              </w:rPr>
            </w:pPr>
            <w:r w:rsidRPr="001213F7">
              <w:t>–0.02</w:t>
            </w:r>
          </w:p>
        </w:tc>
        <w:tc>
          <w:tcPr>
            <w:tcW w:w="845" w:type="dxa"/>
            <w:tcBorders>
              <w:top w:val="single" w:sz="4" w:space="0" w:color="auto"/>
              <w:bottom w:val="single" w:sz="8" w:space="0" w:color="auto"/>
            </w:tcBorders>
            <w:shd w:val="clear" w:color="000000" w:fill="FFFFFF"/>
          </w:tcPr>
          <w:p w14:paraId="5F7456C1" w14:textId="77777777" w:rsidR="00900469" w:rsidRPr="001213F7" w:rsidRDefault="00900469">
            <w:pPr>
              <w:cnfStyle w:val="010000000000" w:firstRow="0" w:lastRow="1" w:firstColumn="0" w:lastColumn="0" w:oddVBand="0" w:evenVBand="0" w:oddHBand="0" w:evenHBand="0" w:firstRowFirstColumn="0" w:firstRowLastColumn="0" w:lastRowFirstColumn="0" w:lastRowLastColumn="0"/>
              <w:rPr>
                <w:rFonts w:ascii="Calibri" w:eastAsia="Garamond" w:hAnsi="Calibri"/>
                <w:b w:val="0"/>
                <w:bCs/>
                <w:szCs w:val="17"/>
              </w:rPr>
            </w:pPr>
            <w:r w:rsidRPr="001213F7">
              <w:t>–0.04</w:t>
            </w:r>
          </w:p>
        </w:tc>
      </w:tr>
    </w:tbl>
    <w:p w14:paraId="2DECE83E" w14:textId="77777777" w:rsidR="00900469" w:rsidRPr="001213F7" w:rsidRDefault="00900469">
      <w:pPr>
        <w:tabs>
          <w:tab w:val="left" w:pos="284"/>
        </w:tabs>
        <w:spacing w:before="60"/>
        <w:ind w:left="284" w:hanging="284"/>
        <w:contextualSpacing/>
        <w:rPr>
          <w:rFonts w:ascii="Calibri" w:eastAsia="Garamond" w:hAnsi="Calibri"/>
          <w:i/>
          <w:sz w:val="14"/>
        </w:rPr>
      </w:pPr>
      <w:r w:rsidRPr="001213F7">
        <w:rPr>
          <w:rFonts w:ascii="Calibri" w:eastAsia="Garamond" w:hAnsi="Calibri"/>
          <w:i/>
          <w:sz w:val="14"/>
        </w:rPr>
        <w:t xml:space="preserve">Note: </w:t>
      </w:r>
    </w:p>
    <w:p w14:paraId="74966504" w14:textId="77777777" w:rsidR="00900469" w:rsidRPr="001213F7" w:rsidRDefault="00900469">
      <w:pPr>
        <w:tabs>
          <w:tab w:val="left" w:pos="284"/>
        </w:tabs>
        <w:spacing w:before="60"/>
        <w:ind w:left="284" w:hanging="284"/>
        <w:contextualSpacing/>
        <w:rPr>
          <w:rFonts w:ascii="Calibri" w:eastAsia="Garamond" w:hAnsi="Calibri"/>
          <w:i/>
          <w:sz w:val="14"/>
        </w:rPr>
      </w:pPr>
      <w:r w:rsidRPr="001213F7">
        <w:rPr>
          <w:rFonts w:ascii="Calibri" w:eastAsia="Garamond" w:hAnsi="Calibri"/>
          <w:i/>
          <w:sz w:val="14"/>
        </w:rPr>
        <w:t>(a)</w:t>
      </w:r>
      <w:r w:rsidRPr="001213F7">
        <w:rPr>
          <w:rFonts w:ascii="Calibri" w:eastAsia="Garamond" w:hAnsi="Calibri"/>
          <w:i/>
          <w:sz w:val="14"/>
        </w:rPr>
        <w:tab/>
        <w:t>Figures may not add due to rounding.</w:t>
      </w:r>
    </w:p>
    <w:p w14:paraId="48AE4A21" w14:textId="77777777" w:rsidR="00900469" w:rsidRPr="001213F7" w:rsidRDefault="00900469">
      <w:pPr>
        <w:pStyle w:val="Heading2"/>
      </w:pPr>
      <w:r w:rsidRPr="001213F7">
        <w:lastRenderedPageBreak/>
        <w:t>Scenario B: A lower trend unemployment rate in Victoria</w:t>
      </w:r>
    </w:p>
    <w:p w14:paraId="615EC19B" w14:textId="39ABF22B" w:rsidR="00900469" w:rsidRPr="001213F7" w:rsidRDefault="00900469">
      <w:pPr>
        <w:rPr>
          <w:rFonts w:ascii="Garamond" w:hAnsi="Garamond"/>
        </w:rPr>
      </w:pPr>
      <w:r w:rsidRPr="001213F7">
        <w:rPr>
          <w:rFonts w:ascii="Garamond" w:hAnsi="Garamond"/>
        </w:rPr>
        <w:t xml:space="preserve">As discussed in Chapter 2 </w:t>
      </w:r>
      <w:r w:rsidRPr="001213F7">
        <w:rPr>
          <w:rFonts w:ascii="Garamond" w:hAnsi="Garamond"/>
          <w:i/>
        </w:rPr>
        <w:t>Economic context</w:t>
      </w:r>
      <w:r w:rsidRPr="001213F7">
        <w:rPr>
          <w:rFonts w:ascii="Garamond" w:hAnsi="Garamond"/>
        </w:rPr>
        <w:t>, the unemployment rate is forecast to remain at</w:t>
      </w:r>
      <w:r w:rsidR="00F22169" w:rsidRPr="001213F7">
        <w:rPr>
          <w:rFonts w:ascii="Garamond" w:hAnsi="Garamond"/>
        </w:rPr>
        <w:t> </w:t>
      </w:r>
      <w:r w:rsidRPr="001213F7">
        <w:rPr>
          <w:rFonts w:ascii="Garamond" w:hAnsi="Garamond"/>
        </w:rPr>
        <w:t xml:space="preserve">4.75 per cent in 2026-27 and for the remainder of the forecast period. This is the trend unemployment rate of the Victorian economy or, more technically, the non-accelerating inflation rate of unemployment (NAIRU) – the unemployment rate that is consistent with stable inflation. The Department of Treasury and Finance’s current estimate of the Victorian NAIRU is 4.75 per cent. </w:t>
      </w:r>
    </w:p>
    <w:p w14:paraId="0B364D8D" w14:textId="77777777" w:rsidR="00900469" w:rsidRPr="001213F7" w:rsidRDefault="00900469">
      <w:pPr>
        <w:rPr>
          <w:rFonts w:ascii="Garamond" w:hAnsi="Garamond"/>
        </w:rPr>
      </w:pPr>
      <w:r w:rsidRPr="001213F7">
        <w:rPr>
          <w:rFonts w:ascii="Garamond" w:hAnsi="Garamond"/>
        </w:rPr>
        <w:t xml:space="preserve">Economic theory suggests that when the unemployment rate is below the NAIRU, there is a shortage of workers, resulting in competition between firms to attract and retain employees, putting upward pressure on wages and inflation. Conversely, when the unemployment rate is above the NAIRU, there is an excess supply of workers, which reduces competition between firms and puts downward pressure on wages and inflation. </w:t>
      </w:r>
    </w:p>
    <w:p w14:paraId="3D49BF76" w14:textId="77777777" w:rsidR="00900469" w:rsidRPr="001213F7" w:rsidRDefault="00900469">
      <w:pPr>
        <w:rPr>
          <w:rFonts w:ascii="Garamond" w:hAnsi="Garamond"/>
        </w:rPr>
      </w:pPr>
      <w:r w:rsidRPr="001213F7">
        <w:rPr>
          <w:rFonts w:ascii="Garamond" w:hAnsi="Garamond"/>
        </w:rPr>
        <w:t>The NAIRU is subject to uncertainty, due to several factors. For example, it can vary over time as the structure of the economy evolves or depending on changes in economic policies or other labour market trends. Additionally, it cannot be observed directly and must be modelled statistically, leading to uncertainty around statistical estimates. These factors are discussed further below.</w:t>
      </w:r>
    </w:p>
    <w:p w14:paraId="5142F645" w14:textId="77777777" w:rsidR="00900469" w:rsidRPr="001213F7" w:rsidRDefault="00900469">
      <w:pPr>
        <w:rPr>
          <w:rFonts w:ascii="Garamond" w:hAnsi="Garamond"/>
        </w:rPr>
      </w:pPr>
      <w:r w:rsidRPr="001213F7">
        <w:rPr>
          <w:rFonts w:ascii="Garamond" w:hAnsi="Garamond"/>
        </w:rPr>
        <w:t>First, there are several reasons the NAIRU can change over time, including changes in the nature of workplace bargaining and improved labour market efficiency (for example, through better technology and job-matching). Estimates of Australia’s NAIRU have declined over the past few decades.</w:t>
      </w:r>
      <w:r w:rsidRPr="001213F7">
        <w:rPr>
          <w:rStyle w:val="FootnoteReference"/>
        </w:rPr>
        <w:footnoteReference w:id="4"/>
      </w:r>
      <w:r w:rsidRPr="001213F7">
        <w:rPr>
          <w:rFonts w:ascii="Garamond" w:hAnsi="Garamond"/>
        </w:rPr>
        <w:t xml:space="preserve"> Over the past five years, the Department of Treasury and Finance has also revised down its estimate of Victoria’s NAIRU. It is possible, though, that the NAIRU has declined even further. </w:t>
      </w:r>
    </w:p>
    <w:p w14:paraId="10EE9E32" w14:textId="77777777" w:rsidR="00900469" w:rsidRPr="001213F7" w:rsidRDefault="00900469">
      <w:pPr>
        <w:rPr>
          <w:rFonts w:ascii="Garamond" w:hAnsi="Garamond"/>
        </w:rPr>
      </w:pPr>
      <w:r w:rsidRPr="001213F7">
        <w:rPr>
          <w:rFonts w:ascii="Garamond" w:hAnsi="Garamond"/>
        </w:rPr>
        <w:t>One recent factor that could have contributed to a further decline is the strength of the labour market over the past three years, which may have lowered the rate of structural unemployment. The Victorian labour market recovered strongly from the COVID-19 pandemic and conditions remain stronger than they were in the years before the pandemic. The share of working-age Victorians in employment is high and the unemployment rate is low by historical standards. Importantly, for considerations of the NAIRU, rates of long</w:t>
      </w:r>
      <w:r w:rsidRPr="001213F7">
        <w:rPr>
          <w:rFonts w:ascii="Garamond" w:hAnsi="Garamond"/>
        </w:rPr>
        <w:noBreakHyphen/>
        <w:t>term unemployment (those unemployed for more than a year) are below pre</w:t>
      </w:r>
      <w:r w:rsidRPr="001213F7">
        <w:rPr>
          <w:rFonts w:ascii="Garamond" w:hAnsi="Garamond"/>
        </w:rPr>
        <w:noBreakHyphen/>
        <w:t xml:space="preserve">pandemic levels (see Chart 6.2), meaning that some Victorians who previously found it hard to gain employment have now found a job. Having found employment, many of these workers may have gained the skills and experience they need to stay employed in their current roles, or they may find themselves more employable in the future with the transferrable skills they have gained. </w:t>
      </w:r>
    </w:p>
    <w:p w14:paraId="2D379192" w14:textId="77777777" w:rsidR="00900469" w:rsidRPr="001213F7" w:rsidRDefault="00900469">
      <w:pPr>
        <w:rPr>
          <w:rFonts w:ascii="Garamond" w:hAnsi="Garamond"/>
        </w:rPr>
      </w:pPr>
      <w:r w:rsidRPr="001213F7">
        <w:rPr>
          <w:rFonts w:ascii="Garamond" w:hAnsi="Garamond"/>
        </w:rPr>
        <w:t>The ‘matching’ process between employees and jobs may have also improved in recent years, given technological developments and the growth of flexible and remote work. Additionally, female participation in the labour market has continued to increase strongly over time and underemployment has trended downwards, both contributing to higher long-run levels of labour supply.</w:t>
      </w:r>
    </w:p>
    <w:p w14:paraId="47D86ABA" w14:textId="77777777" w:rsidR="00900469" w:rsidRPr="001213F7" w:rsidRDefault="00900469">
      <w:pPr>
        <w:rPr>
          <w:rFonts w:ascii="Garamond" w:hAnsi="Garamond"/>
        </w:rPr>
      </w:pPr>
      <w:r w:rsidRPr="001213F7">
        <w:rPr>
          <w:rFonts w:ascii="Garamond" w:hAnsi="Garamond"/>
        </w:rPr>
        <w:lastRenderedPageBreak/>
        <w:t>All of these factors imply the effective pool of workers who are appropriately skilled for available jobs may be larger than in previous years. This suggests there has been some decline in the level of structural unemployment – that is, the rate of unemployment that persists through economic cycles due to mismatches between workers’ skills or location and the available jobs. This places less upward pressure on wages, and ultimately inflation, for a given unemployment rate. In other words, a lasting reduction in long-term unemployment may have lowered the NAIRU.</w:t>
      </w:r>
    </w:p>
    <w:p w14:paraId="54832F7F" w14:textId="77777777" w:rsidR="00900469" w:rsidRPr="001213F7" w:rsidRDefault="00900469">
      <w:pPr>
        <w:pStyle w:val="TableHeading"/>
      </w:pPr>
      <w:r w:rsidRPr="001213F7">
        <w:t xml:space="preserve">Chart 6.2: </w:t>
      </w:r>
      <w:r w:rsidRPr="001213F7">
        <w:tab/>
        <w:t xml:space="preserve">Victorian unemployment rates by duration </w:t>
      </w:r>
      <w:r w:rsidRPr="001213F7">
        <w:rPr>
          <w:vertAlign w:val="superscript"/>
        </w:rPr>
        <w:t>(a)</w:t>
      </w:r>
    </w:p>
    <w:p w14:paraId="47C1F161" w14:textId="77777777" w:rsidR="00900469" w:rsidRPr="001213F7" w:rsidRDefault="00900469">
      <w:r w:rsidRPr="001213F7">
        <w:rPr>
          <w:noProof/>
        </w:rPr>
        <w:drawing>
          <wp:inline distT="0" distB="0" distL="0" distR="0" wp14:anchorId="5B744F61" wp14:editId="18161AE0">
            <wp:extent cx="4530090" cy="2602865"/>
            <wp:effectExtent l="0" t="0" r="3810" b="6985"/>
            <wp:docPr id="855051452" name="Chart 1">
              <a:extLst xmlns:a="http://schemas.openxmlformats.org/drawingml/2006/main">
                <a:ext uri="{FF2B5EF4-FFF2-40B4-BE49-F238E27FC236}">
                  <a16:creationId xmlns:a16="http://schemas.microsoft.com/office/drawing/2014/main" id="{919E5BA3-502F-470D-937D-CBF680891C8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7655F2B2" w14:textId="77777777" w:rsidR="00900469" w:rsidRPr="001213F7" w:rsidRDefault="00900469">
      <w:pPr>
        <w:rPr>
          <w:rFonts w:asciiTheme="majorHAnsi" w:hAnsiTheme="majorHAnsi"/>
          <w:i/>
          <w:sz w:val="14"/>
        </w:rPr>
      </w:pPr>
      <w:r w:rsidRPr="001213F7">
        <w:rPr>
          <w:rFonts w:asciiTheme="majorHAnsi" w:hAnsiTheme="majorHAnsi"/>
          <w:i/>
          <w:sz w:val="14"/>
        </w:rPr>
        <w:t>Source: Australian Bureau of Statistics</w:t>
      </w:r>
    </w:p>
    <w:p w14:paraId="5A4C9C69" w14:textId="77777777" w:rsidR="00900469" w:rsidRPr="001213F7" w:rsidRDefault="00900469">
      <w:pPr>
        <w:spacing w:before="60"/>
        <w:rPr>
          <w:rFonts w:asciiTheme="majorHAnsi" w:hAnsiTheme="majorHAnsi"/>
          <w:i/>
          <w:sz w:val="14"/>
        </w:rPr>
      </w:pPr>
      <w:r w:rsidRPr="001213F7">
        <w:rPr>
          <w:rFonts w:asciiTheme="majorHAnsi" w:hAnsiTheme="majorHAnsi"/>
          <w:i/>
          <w:sz w:val="14"/>
        </w:rPr>
        <w:t xml:space="preserve">Note: </w:t>
      </w:r>
    </w:p>
    <w:p w14:paraId="48194AD3" w14:textId="77777777" w:rsidR="00900469" w:rsidRPr="001213F7" w:rsidRDefault="00900469">
      <w:pPr>
        <w:spacing w:before="0"/>
        <w:ind w:left="284" w:hanging="284"/>
        <w:rPr>
          <w:rFonts w:asciiTheme="majorHAnsi" w:hAnsiTheme="majorHAnsi"/>
          <w:i/>
          <w:sz w:val="14"/>
        </w:rPr>
      </w:pPr>
      <w:r w:rsidRPr="001213F7">
        <w:rPr>
          <w:rFonts w:asciiTheme="majorHAnsi" w:hAnsiTheme="majorHAnsi"/>
          <w:i/>
          <w:sz w:val="14"/>
        </w:rPr>
        <w:t>(a)</w:t>
      </w:r>
      <w:r w:rsidRPr="001213F7">
        <w:rPr>
          <w:rFonts w:asciiTheme="majorHAnsi" w:hAnsiTheme="majorHAnsi"/>
          <w:i/>
          <w:sz w:val="14"/>
        </w:rPr>
        <w:tab/>
        <w:t>Data are 12-month moving averages.</w:t>
      </w:r>
    </w:p>
    <w:p w14:paraId="0D5862F6" w14:textId="77777777" w:rsidR="00900469" w:rsidRPr="001213F7" w:rsidRDefault="00900469">
      <w:r w:rsidRPr="001213F7">
        <w:t>The second potential reason the NAIRU may be lower than assumed in the baseline forecasts relates to uncertainty in measuring it. The NAIRU cannot be summarised by a single measure that can be observed directly, and can only be estimated using statistical models, which inherently lead to uncertain estimates. Further, there are several methods available to model the NAIRU in practice, and each method can provide different results. These issues are not unique to Victoria, with the Commonwealth Treasury and RBA also noting that there is considerable uncertainty around their respective NAIRU estimates.</w:t>
      </w:r>
      <w:r w:rsidRPr="001213F7">
        <w:rPr>
          <w:rStyle w:val="FootnoteReference"/>
        </w:rPr>
        <w:footnoteReference w:id="5"/>
      </w:r>
      <w:r w:rsidRPr="001213F7">
        <w:t xml:space="preserve"> </w:t>
      </w:r>
    </w:p>
    <w:p w14:paraId="12D936D6" w14:textId="77777777" w:rsidR="00900469" w:rsidRPr="001213F7" w:rsidRDefault="00900469">
      <w:pPr>
        <w:tabs>
          <w:tab w:val="left" w:pos="4770"/>
        </w:tabs>
      </w:pPr>
      <w:r w:rsidRPr="001213F7">
        <w:t>To quantify the effects of the NAIRU being lower than currently estimated, this scenario considers the economic and fiscal effects of Victoria’s trend unemployment rate being 4.25 per cent – that is, 0.5 percentage points below the rate assumed in the baseline economic projections. This scenario for Victoria is in line with the Commonwealth Treasury’s national NAIRU assumption.</w:t>
      </w:r>
      <w:r w:rsidRPr="001213F7">
        <w:rPr>
          <w:rStyle w:val="FootnoteReference"/>
        </w:rPr>
        <w:footnoteReference w:id="6"/>
      </w:r>
      <w:r w:rsidRPr="001213F7">
        <w:t xml:space="preserve"> The model also includes a positive shock to the household marginal propensity to save – that is, households are likely to save a higher proportion of the additional income earned.</w:t>
      </w:r>
    </w:p>
    <w:p w14:paraId="32195D73" w14:textId="7FB2669E" w:rsidR="00900469" w:rsidRPr="001213F7" w:rsidRDefault="00900469">
      <w:r w:rsidRPr="001213F7">
        <w:lastRenderedPageBreak/>
        <w:t>In this scenario, the unemployment rate, which is estimated to average 4.75 per cent in 2025-26, remains at 4.75 per cent in 2026-27 as per the base case forecasts, reflecting cyclical drivers of the economy and labour market as discussed in Chapter 2</w:t>
      </w:r>
      <w:r w:rsidRPr="001213F7">
        <w:rPr>
          <w:i/>
        </w:rPr>
        <w:t xml:space="preserve"> Economic </w:t>
      </w:r>
      <w:r w:rsidRPr="001213F7">
        <w:rPr>
          <w:i/>
          <w:iCs/>
        </w:rPr>
        <w:t>context</w:t>
      </w:r>
      <w:r w:rsidRPr="001213F7">
        <w:t xml:space="preserve">. However, whereas in the base case forecasts this unemployment rate is considered to be at the NAIRU (that is, there is no cyclical unemployment), in this scenario the same 4.75 per cent unemployment rate in 2026-27 is interpreted to represent some cyclical unemployment – because the NAIRU is assumed to be lower at 4.25 per cent. Subsequently, the unemployment rate is assumed to fall gradually from the start of 2028 to </w:t>
      </w:r>
      <w:r w:rsidR="00420871" w:rsidRPr="001213F7">
        <w:t xml:space="preserve">reach </w:t>
      </w:r>
      <w:r w:rsidRPr="001213F7">
        <w:t xml:space="preserve">4.25 per cent in 2028-29 </w:t>
      </w:r>
      <w:r w:rsidR="007B0B57" w:rsidRPr="001213F7">
        <w:t xml:space="preserve">(which is lower than the forecast outlined in Chapter 2) </w:t>
      </w:r>
      <w:r w:rsidRPr="001213F7">
        <w:t>as GSP growth returns to trend</w:t>
      </w:r>
      <w:r w:rsidR="00777986" w:rsidRPr="001213F7">
        <w:t>, and remain at this rate in 2029-30</w:t>
      </w:r>
      <w:r w:rsidRPr="001213F7">
        <w:t xml:space="preserve">. </w:t>
      </w:r>
    </w:p>
    <w:p w14:paraId="1222D6FA" w14:textId="36514DB6" w:rsidR="00900469" w:rsidRPr="001213F7" w:rsidRDefault="00900469">
      <w:r w:rsidRPr="001213F7">
        <w:t xml:space="preserve">Given the unemployment rate is assumed in this scenario to remain around </w:t>
      </w:r>
      <w:r w:rsidR="0068541B" w:rsidRPr="001213F7">
        <w:t>the level</w:t>
      </w:r>
      <w:r w:rsidR="00996617" w:rsidRPr="001213F7">
        <w:t>s</w:t>
      </w:r>
      <w:r w:rsidR="00C84130" w:rsidRPr="001213F7">
        <w:t xml:space="preserve"> </w:t>
      </w:r>
      <w:r w:rsidRPr="001213F7">
        <w:t xml:space="preserve">in the base case forecasts over the next couple of years, before declining towards this lower NAIRU </w:t>
      </w:r>
      <w:r w:rsidR="00EC119B" w:rsidRPr="001213F7">
        <w:t xml:space="preserve">later in the forward estimates </w:t>
      </w:r>
      <w:r w:rsidRPr="001213F7">
        <w:t>as economic growth picks up, the economic impacts of a lower NAIRU are assumed to occur mainly in the final two years of the forward estimates: 2028-29 and 2029-30.</w:t>
      </w:r>
    </w:p>
    <w:p w14:paraId="5D9DF243" w14:textId="77777777" w:rsidR="00900469" w:rsidRPr="001213F7" w:rsidRDefault="00900469">
      <w:r w:rsidRPr="001213F7">
        <w:t xml:space="preserve">The lower NAIRU leads to more employment, which is higher than the base case by 0.44 per cent in 2028-29, rising to be 0.51 per cent higher in 2029-30. Higher employment for a given level of capital stock means that labour is relatively less productive, putting downward pressure on wages. In this scenario, firms increase investment significantly as they recognise higher employment in the future will lead to higher returns to capital. This increases the capital stock and therefore labour productivity, somewhat mitigating this downward pressure on wages later in the period. These offsetting factors mean that wages are 0.60 per cent lower than the base case in 2028-29, before recovering slightly to be 0.54 per cent below the base case in 2029-30 as economic activity and labour demand continue to grow. Despite the decrease in wages in 2027-28 and 2028-29, aggregate household income is higher in all years relative to the base case, reflecting that the increase in employment more than offsets the decrease in wages. </w:t>
      </w:r>
    </w:p>
    <w:p w14:paraId="0F63CC16" w14:textId="77777777" w:rsidR="00900469" w:rsidRPr="001213F7" w:rsidRDefault="00900469">
      <w:r w:rsidRPr="001213F7">
        <w:t>Higher aggregate household income results in increased household spending, which is partly met by overseas goods, causing imports to rise – notwithstanding some downward pressure on imports from improved competitiveness of locally produced goods. The weaker real exchange rate makes Australian products more attractive, and local firms divert some production from meeting domestic demand to exports, causing exports to rise significantly alongside increased domestic production. The rise in exports outweighs the rise in imports, resulting in an improvement of the trade balance from 2026-27 to 2028-29, before this reverses in 2029-30 as demand for exports eases due to consumer prices rising a little above the base case. Overall, GSP is higher by 0.31 per cent in 2028</w:t>
      </w:r>
      <w:r w:rsidRPr="001213F7">
        <w:noBreakHyphen/>
        <w:t xml:space="preserve">29, increasing to be 0.38 per cent higher in 2029-30 compared with the base case. GSP, household consumption and business investment do not decline to return to base case levels throughout the forecast period, as the shock is assumed to affect long-run employment (see Chart 6.3). </w:t>
      </w:r>
    </w:p>
    <w:p w14:paraId="02991002" w14:textId="77777777" w:rsidR="00900469" w:rsidRPr="001213F7" w:rsidRDefault="00900469">
      <w:r w:rsidRPr="001213F7">
        <w:t>Table 6.3 summarises the economic effects of this shock.</w:t>
      </w:r>
    </w:p>
    <w:p w14:paraId="4507D00D" w14:textId="77777777" w:rsidR="00900469" w:rsidRPr="001213F7" w:rsidRDefault="00900469">
      <w:pPr>
        <w:pStyle w:val="TableHeading"/>
      </w:pPr>
      <w:r w:rsidRPr="001213F7">
        <w:lastRenderedPageBreak/>
        <w:t xml:space="preserve">Chart 6.3: </w:t>
      </w:r>
      <w:r w:rsidRPr="001213F7">
        <w:tab/>
        <w:t>The impact of a lower trend unemployment rate on select variables</w:t>
      </w:r>
    </w:p>
    <w:p w14:paraId="57C56CD3" w14:textId="77777777" w:rsidR="00900469" w:rsidRPr="001213F7" w:rsidRDefault="00900469">
      <w:pPr>
        <w:pStyle w:val="TableHeading"/>
      </w:pPr>
      <w:r w:rsidRPr="001213F7">
        <w:rPr>
          <w:noProof/>
        </w:rPr>
        <w:drawing>
          <wp:inline distT="0" distB="0" distL="0" distR="0" wp14:anchorId="2311C6AA" wp14:editId="7BFF1F93">
            <wp:extent cx="4867945" cy="2586768"/>
            <wp:effectExtent l="0" t="0" r="8890" b="4445"/>
            <wp:docPr id="1155647133" name="Chart 1">
              <a:extLst xmlns:a="http://schemas.openxmlformats.org/drawingml/2006/main">
                <a:ext uri="{FF2B5EF4-FFF2-40B4-BE49-F238E27FC236}">
                  <a16:creationId xmlns:a16="http://schemas.microsoft.com/office/drawing/2014/main" id="{00000000-0008-0000-03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4BECACEC" w14:textId="77777777" w:rsidR="00900469" w:rsidRPr="001213F7" w:rsidRDefault="00900469">
      <w:pPr>
        <w:rPr>
          <w:rFonts w:asciiTheme="majorHAnsi" w:hAnsiTheme="majorHAnsi" w:cstheme="majorHAnsi"/>
          <w:i/>
          <w:iCs/>
          <w:sz w:val="14"/>
          <w:szCs w:val="14"/>
        </w:rPr>
      </w:pPr>
      <w:r w:rsidRPr="001213F7">
        <w:rPr>
          <w:rFonts w:asciiTheme="majorHAnsi" w:hAnsiTheme="majorHAnsi" w:cstheme="majorHAnsi"/>
          <w:i/>
          <w:iCs/>
          <w:sz w:val="14"/>
          <w:szCs w:val="14"/>
        </w:rPr>
        <w:t>Sources: Centre of Policy Studies; Department of Treasury and Finance</w:t>
      </w:r>
    </w:p>
    <w:p w14:paraId="1605CE22" w14:textId="77777777" w:rsidR="00D20C0A" w:rsidRPr="001213F7" w:rsidRDefault="00D20C0A">
      <w:pPr>
        <w:rPr>
          <w:rFonts w:asciiTheme="majorHAnsi" w:hAnsiTheme="majorHAnsi" w:cstheme="majorHAnsi"/>
          <w:i/>
          <w:iCs/>
          <w:sz w:val="14"/>
          <w:szCs w:val="14"/>
        </w:rPr>
      </w:pPr>
    </w:p>
    <w:p w14:paraId="51B2C482" w14:textId="77777777" w:rsidR="00900469" w:rsidRPr="001213F7" w:rsidRDefault="00900469">
      <w:pPr>
        <w:pStyle w:val="TableHeading"/>
      </w:pPr>
      <w:r w:rsidRPr="001213F7">
        <w:t>Table 6.3:</w:t>
      </w:r>
      <w:r w:rsidRPr="001213F7">
        <w:tab/>
        <w:t xml:space="preserve">Projected impact of a lower trend unemployment rate on </w:t>
      </w:r>
    </w:p>
    <w:p w14:paraId="522982D9" w14:textId="77777777" w:rsidR="00900469" w:rsidRPr="001213F7" w:rsidRDefault="00900469">
      <w:pPr>
        <w:pStyle w:val="TableHeading"/>
        <w:ind w:hanging="28"/>
      </w:pPr>
      <w:r w:rsidRPr="001213F7">
        <w:t>major economic parameters</w:t>
      </w:r>
      <w:r w:rsidRPr="001213F7">
        <w:rPr>
          <w:vertAlign w:val="superscript"/>
        </w:rPr>
        <w:t>(a)</w:t>
      </w:r>
      <w:r w:rsidRPr="001213F7">
        <w:tab/>
        <w:t>(per cent)</w:t>
      </w:r>
    </w:p>
    <w:tbl>
      <w:tblPr>
        <w:tblStyle w:val="DTFTable"/>
        <w:tblW w:w="7770" w:type="dxa"/>
        <w:tblLayout w:type="fixed"/>
        <w:tblLook w:val="06E0" w:firstRow="1" w:lastRow="1" w:firstColumn="1" w:lastColumn="0" w:noHBand="1" w:noVBand="1"/>
      </w:tblPr>
      <w:tblGrid>
        <w:gridCol w:w="4370"/>
        <w:gridCol w:w="850"/>
        <w:gridCol w:w="850"/>
        <w:gridCol w:w="850"/>
        <w:gridCol w:w="850"/>
      </w:tblGrid>
      <w:tr w:rsidR="00900469" w:rsidRPr="001213F7" w14:paraId="540F9A55" w14:textId="77777777" w:rsidTr="002548E5">
        <w:trPr>
          <w:cnfStyle w:val="100000000000" w:firstRow="1" w:lastRow="0" w:firstColumn="0" w:lastColumn="0" w:oddVBand="0" w:evenVBand="0" w:oddHBand="0"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4370" w:type="dxa"/>
            <w:hideMark/>
          </w:tcPr>
          <w:p w14:paraId="1D8D8D96" w14:textId="77777777" w:rsidR="00900469" w:rsidRPr="001213F7" w:rsidRDefault="00900469">
            <w:pPr>
              <w:autoSpaceDE w:val="0"/>
              <w:autoSpaceDN w:val="0"/>
              <w:adjustRightInd w:val="0"/>
              <w:rPr>
                <w:rFonts w:eastAsiaTheme="minorEastAsia" w:cstheme="majorHAnsi"/>
                <w:i w:val="0"/>
                <w:iCs/>
                <w:szCs w:val="17"/>
                <w:lang w:eastAsia="en-AU"/>
              </w:rPr>
            </w:pPr>
          </w:p>
          <w:p w14:paraId="5A7D634C" w14:textId="77777777" w:rsidR="00900469" w:rsidRPr="001213F7" w:rsidRDefault="00900469">
            <w:pPr>
              <w:autoSpaceDE w:val="0"/>
              <w:autoSpaceDN w:val="0"/>
              <w:adjustRightInd w:val="0"/>
              <w:rPr>
                <w:rFonts w:eastAsiaTheme="minorEastAsia" w:cstheme="majorHAnsi"/>
                <w:iCs/>
                <w:szCs w:val="17"/>
                <w:lang w:eastAsia="en-AU"/>
              </w:rPr>
            </w:pPr>
            <w:r w:rsidRPr="001213F7">
              <w:rPr>
                <w:rFonts w:eastAsiaTheme="minorEastAsia" w:cstheme="majorHAnsi"/>
                <w:iCs/>
                <w:szCs w:val="17"/>
                <w:lang w:eastAsia="en-AU"/>
              </w:rPr>
              <w:t xml:space="preserve"> </w:t>
            </w:r>
          </w:p>
        </w:tc>
        <w:tc>
          <w:tcPr>
            <w:tcW w:w="850" w:type="dxa"/>
            <w:hideMark/>
          </w:tcPr>
          <w:p w14:paraId="1757301B" w14:textId="77777777" w:rsidR="00900469" w:rsidRPr="001213F7" w:rsidRDefault="00900469">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theme="majorHAnsi"/>
                <w:szCs w:val="17"/>
                <w:lang w:eastAsia="en-AU"/>
              </w:rPr>
            </w:pPr>
            <w:r w:rsidRPr="001213F7">
              <w:rPr>
                <w:rFonts w:eastAsiaTheme="minorEastAsia" w:cs="Calibri"/>
                <w:iCs/>
                <w:szCs w:val="17"/>
                <w:lang w:eastAsia="en-AU"/>
              </w:rPr>
              <w:t>2026-27</w:t>
            </w:r>
            <w:r w:rsidRPr="001213F7">
              <w:rPr>
                <w:rFonts w:eastAsiaTheme="minorEastAsia" w:cstheme="majorHAnsi"/>
                <w:szCs w:val="17"/>
                <w:lang w:eastAsia="en-AU"/>
              </w:rPr>
              <w:br/>
              <w:t>estimate</w:t>
            </w:r>
          </w:p>
        </w:tc>
        <w:tc>
          <w:tcPr>
            <w:tcW w:w="850" w:type="dxa"/>
          </w:tcPr>
          <w:p w14:paraId="06DD38F4" w14:textId="77777777" w:rsidR="00900469" w:rsidRPr="001213F7" w:rsidRDefault="00900469">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theme="majorHAnsi"/>
                <w:szCs w:val="17"/>
                <w:lang w:eastAsia="en-AU"/>
              </w:rPr>
            </w:pPr>
            <w:r w:rsidRPr="001213F7">
              <w:rPr>
                <w:rFonts w:eastAsiaTheme="minorEastAsia" w:cstheme="majorHAnsi"/>
                <w:iCs/>
                <w:szCs w:val="17"/>
                <w:lang w:eastAsia="en-AU"/>
              </w:rPr>
              <w:t>2027-28</w:t>
            </w:r>
            <w:r w:rsidRPr="001213F7">
              <w:rPr>
                <w:rFonts w:eastAsiaTheme="minorEastAsia" w:cstheme="majorHAnsi"/>
                <w:szCs w:val="17"/>
                <w:lang w:eastAsia="en-AU"/>
              </w:rPr>
              <w:t xml:space="preserve"> estimate</w:t>
            </w:r>
          </w:p>
        </w:tc>
        <w:tc>
          <w:tcPr>
            <w:tcW w:w="850" w:type="dxa"/>
          </w:tcPr>
          <w:p w14:paraId="6FDEA481" w14:textId="77777777" w:rsidR="00900469" w:rsidRPr="001213F7" w:rsidRDefault="00900469">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theme="majorHAnsi"/>
                <w:szCs w:val="17"/>
                <w:lang w:eastAsia="en-AU"/>
              </w:rPr>
            </w:pPr>
            <w:r w:rsidRPr="001213F7">
              <w:rPr>
                <w:rFonts w:eastAsiaTheme="minorEastAsia" w:cstheme="majorHAnsi"/>
                <w:iCs/>
                <w:szCs w:val="17"/>
                <w:lang w:eastAsia="en-AU"/>
              </w:rPr>
              <w:t>2028-29</w:t>
            </w:r>
            <w:r w:rsidRPr="001213F7">
              <w:rPr>
                <w:rFonts w:eastAsiaTheme="minorEastAsia" w:cstheme="majorHAnsi"/>
                <w:szCs w:val="17"/>
                <w:lang w:eastAsia="en-AU"/>
              </w:rPr>
              <w:t xml:space="preserve"> estimate</w:t>
            </w:r>
          </w:p>
        </w:tc>
        <w:tc>
          <w:tcPr>
            <w:tcW w:w="850" w:type="dxa"/>
          </w:tcPr>
          <w:p w14:paraId="4B59EE16" w14:textId="77777777" w:rsidR="00900469" w:rsidRPr="001213F7" w:rsidRDefault="00900469">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theme="majorHAnsi"/>
                <w:szCs w:val="17"/>
                <w:lang w:eastAsia="en-AU"/>
              </w:rPr>
            </w:pPr>
            <w:r w:rsidRPr="001213F7">
              <w:rPr>
                <w:rFonts w:eastAsiaTheme="minorEastAsia" w:cstheme="majorHAnsi"/>
                <w:iCs/>
                <w:szCs w:val="17"/>
                <w:lang w:eastAsia="en-AU"/>
              </w:rPr>
              <w:t>2029-30</w:t>
            </w:r>
            <w:r w:rsidRPr="001213F7">
              <w:rPr>
                <w:rFonts w:eastAsiaTheme="minorEastAsia" w:cstheme="majorHAnsi"/>
                <w:szCs w:val="17"/>
                <w:lang w:eastAsia="en-AU"/>
              </w:rPr>
              <w:t xml:space="preserve"> estimate</w:t>
            </w:r>
          </w:p>
        </w:tc>
      </w:tr>
      <w:tr w:rsidR="00900469" w:rsidRPr="001213F7" w14:paraId="274C9D29" w14:textId="77777777">
        <w:tc>
          <w:tcPr>
            <w:cnfStyle w:val="001000000000" w:firstRow="0" w:lastRow="0" w:firstColumn="1" w:lastColumn="0" w:oddVBand="0" w:evenVBand="0" w:oddHBand="0" w:evenHBand="0" w:firstRowFirstColumn="0" w:firstRowLastColumn="0" w:lastRowFirstColumn="0" w:lastRowLastColumn="0"/>
            <w:tcW w:w="4370" w:type="dxa"/>
            <w:hideMark/>
          </w:tcPr>
          <w:p w14:paraId="75A08EA2" w14:textId="77777777" w:rsidR="00900469" w:rsidRPr="001213F7" w:rsidRDefault="00900469">
            <w:pPr>
              <w:autoSpaceDE w:val="0"/>
              <w:autoSpaceDN w:val="0"/>
              <w:adjustRightInd w:val="0"/>
              <w:rPr>
                <w:rFonts w:eastAsiaTheme="minorEastAsia" w:cstheme="majorHAnsi"/>
                <w:szCs w:val="17"/>
                <w:lang w:eastAsia="en-AU"/>
              </w:rPr>
            </w:pPr>
            <w:r w:rsidRPr="001213F7">
              <w:rPr>
                <w:rFonts w:eastAsiaTheme="minorEastAsia" w:cstheme="majorHAnsi"/>
                <w:szCs w:val="17"/>
                <w:lang w:eastAsia="en-AU"/>
              </w:rPr>
              <w:t>Real GSP</w:t>
            </w:r>
          </w:p>
        </w:tc>
        <w:tc>
          <w:tcPr>
            <w:tcW w:w="850" w:type="dxa"/>
            <w:tcBorders>
              <w:top w:val="nil"/>
              <w:left w:val="nil"/>
              <w:bottom w:val="nil"/>
              <w:right w:val="nil"/>
            </w:tcBorders>
          </w:tcPr>
          <w:p w14:paraId="2B8CE24D" w14:textId="77777777" w:rsidR="00900469" w:rsidRPr="001213F7" w:rsidRDefault="00900469">
            <w:pPr>
              <w:cnfStyle w:val="000000000000" w:firstRow="0" w:lastRow="0" w:firstColumn="0" w:lastColumn="0" w:oddVBand="0" w:evenVBand="0" w:oddHBand="0" w:evenHBand="0" w:firstRowFirstColumn="0" w:firstRowLastColumn="0" w:lastRowFirstColumn="0" w:lastRowLastColumn="0"/>
              <w:rPr>
                <w:szCs w:val="17"/>
              </w:rPr>
            </w:pPr>
            <w:r w:rsidRPr="001213F7">
              <w:t>0.00</w:t>
            </w:r>
          </w:p>
        </w:tc>
        <w:tc>
          <w:tcPr>
            <w:tcW w:w="850" w:type="dxa"/>
            <w:tcBorders>
              <w:top w:val="nil"/>
              <w:left w:val="nil"/>
              <w:bottom w:val="nil"/>
              <w:right w:val="nil"/>
            </w:tcBorders>
          </w:tcPr>
          <w:p w14:paraId="56D26AC7" w14:textId="77777777" w:rsidR="00900469" w:rsidRPr="001213F7" w:rsidRDefault="00900469">
            <w:pPr>
              <w:cnfStyle w:val="000000000000" w:firstRow="0" w:lastRow="0" w:firstColumn="0" w:lastColumn="0" w:oddVBand="0" w:evenVBand="0" w:oddHBand="0" w:evenHBand="0" w:firstRowFirstColumn="0" w:firstRowLastColumn="0" w:lastRowFirstColumn="0" w:lastRowLastColumn="0"/>
              <w:rPr>
                <w:szCs w:val="17"/>
              </w:rPr>
            </w:pPr>
            <w:r w:rsidRPr="001213F7">
              <w:t>0.05</w:t>
            </w:r>
          </w:p>
        </w:tc>
        <w:tc>
          <w:tcPr>
            <w:tcW w:w="850" w:type="dxa"/>
            <w:tcBorders>
              <w:top w:val="nil"/>
              <w:left w:val="nil"/>
              <w:bottom w:val="nil"/>
              <w:right w:val="nil"/>
            </w:tcBorders>
          </w:tcPr>
          <w:p w14:paraId="61574715" w14:textId="77777777" w:rsidR="00900469" w:rsidRPr="001213F7" w:rsidRDefault="00900469">
            <w:pPr>
              <w:cnfStyle w:val="000000000000" w:firstRow="0" w:lastRow="0" w:firstColumn="0" w:lastColumn="0" w:oddVBand="0" w:evenVBand="0" w:oddHBand="0" w:evenHBand="0" w:firstRowFirstColumn="0" w:firstRowLastColumn="0" w:lastRowFirstColumn="0" w:lastRowLastColumn="0"/>
              <w:rPr>
                <w:szCs w:val="17"/>
              </w:rPr>
            </w:pPr>
            <w:r w:rsidRPr="001213F7">
              <w:t>0.31</w:t>
            </w:r>
          </w:p>
        </w:tc>
        <w:tc>
          <w:tcPr>
            <w:tcW w:w="850" w:type="dxa"/>
            <w:tcBorders>
              <w:top w:val="nil"/>
              <w:left w:val="nil"/>
              <w:bottom w:val="nil"/>
              <w:right w:val="nil"/>
            </w:tcBorders>
          </w:tcPr>
          <w:p w14:paraId="6C4ED4F5" w14:textId="77777777" w:rsidR="00900469" w:rsidRPr="001213F7" w:rsidRDefault="00900469">
            <w:pPr>
              <w:cnfStyle w:val="000000000000" w:firstRow="0" w:lastRow="0" w:firstColumn="0" w:lastColumn="0" w:oddVBand="0" w:evenVBand="0" w:oddHBand="0" w:evenHBand="0" w:firstRowFirstColumn="0" w:firstRowLastColumn="0" w:lastRowFirstColumn="0" w:lastRowLastColumn="0"/>
              <w:rPr>
                <w:szCs w:val="17"/>
              </w:rPr>
            </w:pPr>
            <w:r w:rsidRPr="001213F7">
              <w:t>0.38</w:t>
            </w:r>
          </w:p>
        </w:tc>
      </w:tr>
      <w:tr w:rsidR="00900469" w:rsidRPr="001213F7" w14:paraId="1E40E84D" w14:textId="77777777">
        <w:tc>
          <w:tcPr>
            <w:cnfStyle w:val="001000000000" w:firstRow="0" w:lastRow="0" w:firstColumn="1" w:lastColumn="0" w:oddVBand="0" w:evenVBand="0" w:oddHBand="0" w:evenHBand="0" w:firstRowFirstColumn="0" w:firstRowLastColumn="0" w:lastRowFirstColumn="0" w:lastRowLastColumn="0"/>
            <w:tcW w:w="4370" w:type="dxa"/>
            <w:hideMark/>
          </w:tcPr>
          <w:p w14:paraId="413605EF" w14:textId="77777777" w:rsidR="00900469" w:rsidRPr="001213F7" w:rsidRDefault="00900469">
            <w:pPr>
              <w:autoSpaceDE w:val="0"/>
              <w:autoSpaceDN w:val="0"/>
              <w:adjustRightInd w:val="0"/>
              <w:rPr>
                <w:rFonts w:eastAsiaTheme="minorEastAsia" w:cstheme="majorHAnsi"/>
                <w:szCs w:val="17"/>
                <w:lang w:eastAsia="en-AU"/>
              </w:rPr>
            </w:pPr>
            <w:r w:rsidRPr="001213F7">
              <w:rPr>
                <w:rFonts w:eastAsiaTheme="minorEastAsia" w:cstheme="majorHAnsi"/>
                <w:szCs w:val="17"/>
                <w:lang w:eastAsia="en-AU"/>
              </w:rPr>
              <w:t xml:space="preserve">Employment </w:t>
            </w:r>
          </w:p>
        </w:tc>
        <w:tc>
          <w:tcPr>
            <w:tcW w:w="850" w:type="dxa"/>
            <w:tcBorders>
              <w:top w:val="nil"/>
              <w:left w:val="nil"/>
              <w:bottom w:val="nil"/>
              <w:right w:val="nil"/>
            </w:tcBorders>
          </w:tcPr>
          <w:p w14:paraId="508E8C12" w14:textId="77777777" w:rsidR="00900469" w:rsidRPr="001213F7" w:rsidRDefault="00900469">
            <w:pPr>
              <w:cnfStyle w:val="000000000000" w:firstRow="0" w:lastRow="0" w:firstColumn="0" w:lastColumn="0" w:oddVBand="0" w:evenVBand="0" w:oddHBand="0" w:evenHBand="0" w:firstRowFirstColumn="0" w:firstRowLastColumn="0" w:lastRowFirstColumn="0" w:lastRowLastColumn="0"/>
              <w:rPr>
                <w:szCs w:val="17"/>
              </w:rPr>
            </w:pPr>
            <w:r w:rsidRPr="001213F7">
              <w:t>0.00</w:t>
            </w:r>
          </w:p>
        </w:tc>
        <w:tc>
          <w:tcPr>
            <w:tcW w:w="850" w:type="dxa"/>
            <w:tcBorders>
              <w:top w:val="nil"/>
              <w:left w:val="nil"/>
              <w:bottom w:val="nil"/>
              <w:right w:val="nil"/>
            </w:tcBorders>
          </w:tcPr>
          <w:p w14:paraId="07A07E1C" w14:textId="77777777" w:rsidR="00900469" w:rsidRPr="001213F7" w:rsidRDefault="00900469">
            <w:pPr>
              <w:cnfStyle w:val="000000000000" w:firstRow="0" w:lastRow="0" w:firstColumn="0" w:lastColumn="0" w:oddVBand="0" w:evenVBand="0" w:oddHBand="0" w:evenHBand="0" w:firstRowFirstColumn="0" w:firstRowLastColumn="0" w:lastRowFirstColumn="0" w:lastRowLastColumn="0"/>
              <w:rPr>
                <w:szCs w:val="17"/>
              </w:rPr>
            </w:pPr>
            <w:r w:rsidRPr="001213F7">
              <w:t>0.07</w:t>
            </w:r>
          </w:p>
        </w:tc>
        <w:tc>
          <w:tcPr>
            <w:tcW w:w="850" w:type="dxa"/>
            <w:tcBorders>
              <w:top w:val="nil"/>
              <w:left w:val="nil"/>
              <w:bottom w:val="nil"/>
              <w:right w:val="nil"/>
            </w:tcBorders>
          </w:tcPr>
          <w:p w14:paraId="3312BD68" w14:textId="77777777" w:rsidR="00900469" w:rsidRPr="001213F7" w:rsidRDefault="00900469">
            <w:pPr>
              <w:cnfStyle w:val="000000000000" w:firstRow="0" w:lastRow="0" w:firstColumn="0" w:lastColumn="0" w:oddVBand="0" w:evenVBand="0" w:oddHBand="0" w:evenHBand="0" w:firstRowFirstColumn="0" w:firstRowLastColumn="0" w:lastRowFirstColumn="0" w:lastRowLastColumn="0"/>
              <w:rPr>
                <w:szCs w:val="17"/>
              </w:rPr>
            </w:pPr>
            <w:r w:rsidRPr="001213F7">
              <w:t>0.44</w:t>
            </w:r>
          </w:p>
        </w:tc>
        <w:tc>
          <w:tcPr>
            <w:tcW w:w="850" w:type="dxa"/>
            <w:tcBorders>
              <w:top w:val="nil"/>
              <w:left w:val="nil"/>
              <w:bottom w:val="nil"/>
              <w:right w:val="nil"/>
            </w:tcBorders>
          </w:tcPr>
          <w:p w14:paraId="70F91253" w14:textId="77777777" w:rsidR="00900469" w:rsidRPr="001213F7" w:rsidRDefault="00900469">
            <w:pPr>
              <w:cnfStyle w:val="000000000000" w:firstRow="0" w:lastRow="0" w:firstColumn="0" w:lastColumn="0" w:oddVBand="0" w:evenVBand="0" w:oddHBand="0" w:evenHBand="0" w:firstRowFirstColumn="0" w:firstRowLastColumn="0" w:lastRowFirstColumn="0" w:lastRowLastColumn="0"/>
              <w:rPr>
                <w:szCs w:val="17"/>
              </w:rPr>
            </w:pPr>
            <w:r w:rsidRPr="001213F7">
              <w:t>0.51</w:t>
            </w:r>
          </w:p>
        </w:tc>
      </w:tr>
      <w:tr w:rsidR="00900469" w:rsidRPr="001213F7" w14:paraId="33200BB9" w14:textId="77777777">
        <w:tc>
          <w:tcPr>
            <w:cnfStyle w:val="001000000000" w:firstRow="0" w:lastRow="0" w:firstColumn="1" w:lastColumn="0" w:oddVBand="0" w:evenVBand="0" w:oddHBand="0" w:evenHBand="0" w:firstRowFirstColumn="0" w:firstRowLastColumn="0" w:lastRowFirstColumn="0" w:lastRowLastColumn="0"/>
            <w:tcW w:w="4370" w:type="dxa"/>
            <w:tcBorders>
              <w:bottom w:val="nil"/>
            </w:tcBorders>
            <w:hideMark/>
          </w:tcPr>
          <w:p w14:paraId="3B1C860C" w14:textId="77777777" w:rsidR="00900469" w:rsidRPr="001213F7" w:rsidRDefault="00900469">
            <w:pPr>
              <w:autoSpaceDE w:val="0"/>
              <w:autoSpaceDN w:val="0"/>
              <w:adjustRightInd w:val="0"/>
              <w:rPr>
                <w:rFonts w:eastAsiaTheme="minorEastAsia" w:cstheme="majorHAnsi"/>
                <w:szCs w:val="17"/>
                <w:lang w:eastAsia="en-AU"/>
              </w:rPr>
            </w:pPr>
            <w:r w:rsidRPr="001213F7">
              <w:rPr>
                <w:rFonts w:eastAsiaTheme="minorEastAsia" w:cstheme="majorHAnsi"/>
                <w:szCs w:val="17"/>
                <w:lang w:eastAsia="en-AU"/>
              </w:rPr>
              <w:t>Consumer price index</w:t>
            </w:r>
          </w:p>
        </w:tc>
        <w:tc>
          <w:tcPr>
            <w:tcW w:w="850" w:type="dxa"/>
            <w:tcBorders>
              <w:top w:val="nil"/>
              <w:left w:val="nil"/>
              <w:right w:val="nil"/>
            </w:tcBorders>
          </w:tcPr>
          <w:p w14:paraId="504F5D6A" w14:textId="77777777" w:rsidR="00900469" w:rsidRPr="001213F7" w:rsidRDefault="00900469">
            <w:pPr>
              <w:cnfStyle w:val="000000000000" w:firstRow="0" w:lastRow="0" w:firstColumn="0" w:lastColumn="0" w:oddVBand="0" w:evenVBand="0" w:oddHBand="0" w:evenHBand="0" w:firstRowFirstColumn="0" w:firstRowLastColumn="0" w:lastRowFirstColumn="0" w:lastRowLastColumn="0"/>
              <w:rPr>
                <w:szCs w:val="17"/>
              </w:rPr>
            </w:pPr>
            <w:r w:rsidRPr="001213F7">
              <w:t>0.00</w:t>
            </w:r>
          </w:p>
        </w:tc>
        <w:tc>
          <w:tcPr>
            <w:tcW w:w="850" w:type="dxa"/>
            <w:tcBorders>
              <w:top w:val="nil"/>
              <w:left w:val="nil"/>
              <w:right w:val="nil"/>
            </w:tcBorders>
          </w:tcPr>
          <w:p w14:paraId="0FBF8A4C" w14:textId="77777777" w:rsidR="00900469" w:rsidRPr="001213F7" w:rsidRDefault="00900469">
            <w:pPr>
              <w:cnfStyle w:val="000000000000" w:firstRow="0" w:lastRow="0" w:firstColumn="0" w:lastColumn="0" w:oddVBand="0" w:evenVBand="0" w:oddHBand="0" w:evenHBand="0" w:firstRowFirstColumn="0" w:firstRowLastColumn="0" w:lastRowFirstColumn="0" w:lastRowLastColumn="0"/>
              <w:rPr>
                <w:szCs w:val="17"/>
              </w:rPr>
            </w:pPr>
            <w:r w:rsidRPr="001213F7">
              <w:t>(0.02)</w:t>
            </w:r>
          </w:p>
        </w:tc>
        <w:tc>
          <w:tcPr>
            <w:tcW w:w="850" w:type="dxa"/>
            <w:tcBorders>
              <w:top w:val="nil"/>
              <w:left w:val="nil"/>
              <w:right w:val="nil"/>
            </w:tcBorders>
          </w:tcPr>
          <w:p w14:paraId="42293078" w14:textId="77777777" w:rsidR="00900469" w:rsidRPr="001213F7" w:rsidRDefault="00900469">
            <w:pPr>
              <w:cnfStyle w:val="000000000000" w:firstRow="0" w:lastRow="0" w:firstColumn="0" w:lastColumn="0" w:oddVBand="0" w:evenVBand="0" w:oddHBand="0" w:evenHBand="0" w:firstRowFirstColumn="0" w:firstRowLastColumn="0" w:lastRowFirstColumn="0" w:lastRowLastColumn="0"/>
              <w:rPr>
                <w:szCs w:val="17"/>
              </w:rPr>
            </w:pPr>
            <w:r w:rsidRPr="001213F7">
              <w:t>(0.01)</w:t>
            </w:r>
          </w:p>
        </w:tc>
        <w:tc>
          <w:tcPr>
            <w:tcW w:w="850" w:type="dxa"/>
            <w:tcBorders>
              <w:top w:val="nil"/>
              <w:left w:val="nil"/>
              <w:right w:val="nil"/>
            </w:tcBorders>
          </w:tcPr>
          <w:p w14:paraId="41354189" w14:textId="77777777" w:rsidR="00900469" w:rsidRPr="001213F7" w:rsidRDefault="00900469">
            <w:pPr>
              <w:cnfStyle w:val="000000000000" w:firstRow="0" w:lastRow="0" w:firstColumn="0" w:lastColumn="0" w:oddVBand="0" w:evenVBand="0" w:oddHBand="0" w:evenHBand="0" w:firstRowFirstColumn="0" w:firstRowLastColumn="0" w:lastRowFirstColumn="0" w:lastRowLastColumn="0"/>
              <w:rPr>
                <w:szCs w:val="17"/>
              </w:rPr>
            </w:pPr>
            <w:r w:rsidRPr="001213F7">
              <w:t>0.10</w:t>
            </w:r>
          </w:p>
        </w:tc>
      </w:tr>
      <w:tr w:rsidR="00900469" w:rsidRPr="001213F7" w14:paraId="51536A66" w14:textId="77777777">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70" w:type="dxa"/>
            <w:tcBorders>
              <w:top w:val="nil"/>
            </w:tcBorders>
            <w:hideMark/>
          </w:tcPr>
          <w:p w14:paraId="6F6E81B6" w14:textId="77777777" w:rsidR="00900469" w:rsidRPr="001213F7" w:rsidRDefault="00900469">
            <w:pPr>
              <w:autoSpaceDE w:val="0"/>
              <w:autoSpaceDN w:val="0"/>
              <w:adjustRightInd w:val="0"/>
              <w:rPr>
                <w:rFonts w:eastAsiaTheme="minorEastAsia" w:cstheme="majorHAnsi"/>
                <w:b w:val="0"/>
                <w:szCs w:val="17"/>
                <w:lang w:eastAsia="en-AU"/>
              </w:rPr>
            </w:pPr>
            <w:r w:rsidRPr="001213F7">
              <w:rPr>
                <w:rFonts w:eastAsiaTheme="minorEastAsia" w:cstheme="majorHAnsi"/>
                <w:b w:val="0"/>
                <w:szCs w:val="17"/>
                <w:lang w:eastAsia="en-AU"/>
              </w:rPr>
              <w:t>Wage price index</w:t>
            </w:r>
          </w:p>
        </w:tc>
        <w:tc>
          <w:tcPr>
            <w:tcW w:w="850" w:type="dxa"/>
            <w:tcBorders>
              <w:top w:val="nil"/>
              <w:bottom w:val="single" w:sz="12" w:space="0" w:color="auto"/>
            </w:tcBorders>
          </w:tcPr>
          <w:p w14:paraId="7D730439" w14:textId="77777777" w:rsidR="00900469" w:rsidRPr="001213F7" w:rsidRDefault="00900469">
            <w:pPr>
              <w:cnfStyle w:val="010000000000" w:firstRow="0" w:lastRow="1" w:firstColumn="0" w:lastColumn="0" w:oddVBand="0" w:evenVBand="0" w:oddHBand="0" w:evenHBand="0" w:firstRowFirstColumn="0" w:firstRowLastColumn="0" w:lastRowFirstColumn="0" w:lastRowLastColumn="0"/>
              <w:rPr>
                <w:b w:val="0"/>
                <w:szCs w:val="17"/>
              </w:rPr>
            </w:pPr>
            <w:r w:rsidRPr="001213F7">
              <w:rPr>
                <w:b w:val="0"/>
              </w:rPr>
              <w:t>0.00</w:t>
            </w:r>
          </w:p>
        </w:tc>
        <w:tc>
          <w:tcPr>
            <w:tcW w:w="850" w:type="dxa"/>
            <w:tcBorders>
              <w:top w:val="nil"/>
              <w:bottom w:val="single" w:sz="12" w:space="0" w:color="auto"/>
            </w:tcBorders>
          </w:tcPr>
          <w:p w14:paraId="4075E822" w14:textId="77777777" w:rsidR="00900469" w:rsidRPr="001213F7" w:rsidRDefault="00900469">
            <w:pPr>
              <w:cnfStyle w:val="010000000000" w:firstRow="0" w:lastRow="1" w:firstColumn="0" w:lastColumn="0" w:oddVBand="0" w:evenVBand="0" w:oddHBand="0" w:evenHBand="0" w:firstRowFirstColumn="0" w:firstRowLastColumn="0" w:lastRowFirstColumn="0" w:lastRowLastColumn="0"/>
              <w:rPr>
                <w:b w:val="0"/>
                <w:szCs w:val="17"/>
              </w:rPr>
            </w:pPr>
            <w:r w:rsidRPr="001213F7">
              <w:rPr>
                <w:b w:val="0"/>
              </w:rPr>
              <w:t>(0.12)</w:t>
            </w:r>
          </w:p>
        </w:tc>
        <w:tc>
          <w:tcPr>
            <w:tcW w:w="850" w:type="dxa"/>
            <w:tcBorders>
              <w:top w:val="nil"/>
              <w:bottom w:val="single" w:sz="12" w:space="0" w:color="auto"/>
            </w:tcBorders>
          </w:tcPr>
          <w:p w14:paraId="065729B6" w14:textId="77777777" w:rsidR="00900469" w:rsidRPr="001213F7" w:rsidRDefault="00900469">
            <w:pPr>
              <w:cnfStyle w:val="010000000000" w:firstRow="0" w:lastRow="1" w:firstColumn="0" w:lastColumn="0" w:oddVBand="0" w:evenVBand="0" w:oddHBand="0" w:evenHBand="0" w:firstRowFirstColumn="0" w:firstRowLastColumn="0" w:lastRowFirstColumn="0" w:lastRowLastColumn="0"/>
              <w:rPr>
                <w:b w:val="0"/>
                <w:szCs w:val="17"/>
              </w:rPr>
            </w:pPr>
            <w:r w:rsidRPr="001213F7">
              <w:rPr>
                <w:b w:val="0"/>
              </w:rPr>
              <w:t>(0.60)</w:t>
            </w:r>
          </w:p>
        </w:tc>
        <w:tc>
          <w:tcPr>
            <w:tcW w:w="850" w:type="dxa"/>
            <w:tcBorders>
              <w:top w:val="nil"/>
              <w:bottom w:val="single" w:sz="12" w:space="0" w:color="auto"/>
            </w:tcBorders>
          </w:tcPr>
          <w:p w14:paraId="58E7D7EC" w14:textId="77777777" w:rsidR="00900469" w:rsidRPr="001213F7" w:rsidRDefault="00900469">
            <w:pPr>
              <w:cnfStyle w:val="010000000000" w:firstRow="0" w:lastRow="1" w:firstColumn="0" w:lastColumn="0" w:oddVBand="0" w:evenVBand="0" w:oddHBand="0" w:evenHBand="0" w:firstRowFirstColumn="0" w:firstRowLastColumn="0" w:lastRowFirstColumn="0" w:lastRowLastColumn="0"/>
              <w:rPr>
                <w:b w:val="0"/>
                <w:szCs w:val="17"/>
              </w:rPr>
            </w:pPr>
            <w:r w:rsidRPr="001213F7">
              <w:rPr>
                <w:b w:val="0"/>
              </w:rPr>
              <w:t>(0.54)</w:t>
            </w:r>
          </w:p>
        </w:tc>
      </w:tr>
    </w:tbl>
    <w:p w14:paraId="0825B9F4" w14:textId="77777777" w:rsidR="00900469" w:rsidRPr="001213F7" w:rsidRDefault="00900469">
      <w:pPr>
        <w:pStyle w:val="Note"/>
      </w:pPr>
      <w:r w:rsidRPr="001213F7">
        <w:t xml:space="preserve">Note: </w:t>
      </w:r>
    </w:p>
    <w:p w14:paraId="2A5B7286" w14:textId="77777777" w:rsidR="00900469" w:rsidRPr="001213F7" w:rsidRDefault="00900469">
      <w:pPr>
        <w:pStyle w:val="Note"/>
      </w:pPr>
      <w:r w:rsidRPr="001213F7">
        <w:t>(a)</w:t>
      </w:r>
      <w:r w:rsidRPr="001213F7">
        <w:tab/>
        <w:t xml:space="preserve">Figures reported are the change in the level of each parameter relative to the baseline forecasts as presented in Chapter 2 </w:t>
      </w:r>
      <w:r w:rsidRPr="001213F7">
        <w:rPr>
          <w:i w:val="0"/>
        </w:rPr>
        <w:t>Economic context</w:t>
      </w:r>
      <w:r w:rsidRPr="001213F7">
        <w:t xml:space="preserve">. </w:t>
      </w:r>
    </w:p>
    <w:p w14:paraId="114550F4" w14:textId="77777777" w:rsidR="00900469" w:rsidRPr="001213F7" w:rsidRDefault="00900469">
      <w:pPr>
        <w:pStyle w:val="Note"/>
      </w:pPr>
    </w:p>
    <w:p w14:paraId="2B3F650D" w14:textId="77777777" w:rsidR="00900469" w:rsidRPr="001213F7" w:rsidRDefault="00900469">
      <w:r w:rsidRPr="001213F7">
        <w:t>Under this scenario, general government sector revenue is higher and rising from 2027-28 to 2029-30, as shown in Table 6.4. Higher household consumption increases the GST pool and hence leads to significantly higher GST grant revenue for Victoria. Additionally, higher consumption and investment lead to significantly higher land transfer duty. These more than offset the small falls in payroll tax driven by lower average weekly earnings.</w:t>
      </w:r>
    </w:p>
    <w:p w14:paraId="3A147758" w14:textId="77777777" w:rsidR="00900469" w:rsidRPr="001213F7" w:rsidRDefault="00900469">
      <w:r w:rsidRPr="001213F7">
        <w:t xml:space="preserve">Expenses from transactions are lower overall under this scenario, primarily due to lower wage growth putting downward pressure on public sector employment expenses, including superannuation expenses. As with the earlier scenario presented above, the model assumes that public sector wage growth corresponds to private sector wage growth in the medium to long term. Interest expenses are also lower due to a lower level of debt from 2027-28, with this effect increasing over time. </w:t>
      </w:r>
    </w:p>
    <w:p w14:paraId="3E3339B8" w14:textId="77777777" w:rsidR="00900469" w:rsidRPr="001213F7" w:rsidRDefault="00900469">
      <w:r w:rsidRPr="001213F7">
        <w:t xml:space="preserve">Overall, the increase in revenue and decrease in expenses improve the net result. Net debt is therefore lower over the forward estimates. </w:t>
      </w:r>
    </w:p>
    <w:p w14:paraId="4E3A1E03" w14:textId="77777777" w:rsidR="00900469" w:rsidRPr="001213F7" w:rsidRDefault="00900469">
      <w:pPr>
        <w:pStyle w:val="TableHeading"/>
      </w:pPr>
      <w:r w:rsidRPr="001213F7">
        <w:lastRenderedPageBreak/>
        <w:t xml:space="preserve">Table 6.4: </w:t>
      </w:r>
      <w:r w:rsidRPr="001213F7">
        <w:rPr>
          <w:bCs/>
        </w:rPr>
        <w:tab/>
      </w:r>
      <w:r w:rsidRPr="001213F7">
        <w:t xml:space="preserve">Projected impact of a lower trend unemployment rate </w:t>
      </w:r>
      <w:r w:rsidRPr="001213F7">
        <w:br/>
        <w:t xml:space="preserve">on fiscal parameters </w:t>
      </w:r>
      <w:r w:rsidRPr="001213F7">
        <w:rPr>
          <w:vertAlign w:val="superscript"/>
        </w:rPr>
        <w:t>(a)</w:t>
      </w:r>
      <w:r w:rsidRPr="001213F7">
        <w:t xml:space="preserve">  </w:t>
      </w:r>
      <w:r w:rsidRPr="001213F7">
        <w:tab/>
        <w:t>($ million)</w:t>
      </w:r>
    </w:p>
    <w:tbl>
      <w:tblPr>
        <w:tblStyle w:val="DTFTable"/>
        <w:tblW w:w="7770" w:type="dxa"/>
        <w:tblLayout w:type="fixed"/>
        <w:tblLook w:val="06E0" w:firstRow="1" w:lastRow="1" w:firstColumn="1" w:lastColumn="0" w:noHBand="1" w:noVBand="1"/>
      </w:tblPr>
      <w:tblGrid>
        <w:gridCol w:w="4370"/>
        <w:gridCol w:w="850"/>
        <w:gridCol w:w="850"/>
        <w:gridCol w:w="850"/>
        <w:gridCol w:w="850"/>
      </w:tblGrid>
      <w:tr w:rsidR="00900469" w:rsidRPr="001213F7" w14:paraId="3599D888" w14:textId="77777777" w:rsidTr="002548E5">
        <w:trPr>
          <w:cnfStyle w:val="100000000000" w:firstRow="1" w:lastRow="0" w:firstColumn="0" w:lastColumn="0" w:oddVBand="0" w:evenVBand="0" w:oddHBand="0"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4370" w:type="dxa"/>
            <w:hideMark/>
          </w:tcPr>
          <w:p w14:paraId="269E2E96" w14:textId="77777777" w:rsidR="00900469" w:rsidRPr="001213F7" w:rsidRDefault="00900469">
            <w:pPr>
              <w:autoSpaceDE w:val="0"/>
              <w:autoSpaceDN w:val="0"/>
              <w:adjustRightInd w:val="0"/>
              <w:rPr>
                <w:rFonts w:eastAsiaTheme="minorEastAsia" w:cstheme="majorHAnsi"/>
                <w:i w:val="0"/>
                <w:szCs w:val="17"/>
                <w:lang w:eastAsia="en-AU"/>
              </w:rPr>
            </w:pPr>
          </w:p>
          <w:p w14:paraId="1D6DEDA3" w14:textId="77777777" w:rsidR="00900469" w:rsidRPr="001213F7" w:rsidRDefault="00900469">
            <w:pPr>
              <w:autoSpaceDE w:val="0"/>
              <w:autoSpaceDN w:val="0"/>
              <w:adjustRightInd w:val="0"/>
              <w:rPr>
                <w:rFonts w:eastAsiaTheme="minorEastAsia" w:cstheme="majorHAnsi"/>
                <w:szCs w:val="17"/>
                <w:lang w:eastAsia="en-AU"/>
              </w:rPr>
            </w:pPr>
            <w:r w:rsidRPr="001213F7">
              <w:rPr>
                <w:rFonts w:eastAsiaTheme="minorEastAsia" w:cstheme="majorHAnsi"/>
                <w:szCs w:val="17"/>
                <w:lang w:eastAsia="en-AU"/>
              </w:rPr>
              <w:t xml:space="preserve"> </w:t>
            </w:r>
          </w:p>
        </w:tc>
        <w:tc>
          <w:tcPr>
            <w:tcW w:w="850" w:type="dxa"/>
            <w:hideMark/>
          </w:tcPr>
          <w:p w14:paraId="1D424216" w14:textId="77777777" w:rsidR="00900469" w:rsidRPr="001213F7" w:rsidRDefault="00900469">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theme="majorHAnsi"/>
                <w:szCs w:val="17"/>
                <w:lang w:eastAsia="en-AU"/>
              </w:rPr>
            </w:pPr>
            <w:r w:rsidRPr="001213F7">
              <w:rPr>
                <w:rFonts w:eastAsiaTheme="minorEastAsia" w:cs="Calibri"/>
                <w:iCs/>
                <w:szCs w:val="17"/>
                <w:lang w:eastAsia="en-AU"/>
              </w:rPr>
              <w:t>2026-27</w:t>
            </w:r>
            <w:r w:rsidRPr="001213F7">
              <w:rPr>
                <w:rFonts w:eastAsiaTheme="minorEastAsia" w:cstheme="majorHAnsi"/>
                <w:szCs w:val="17"/>
                <w:lang w:eastAsia="en-AU"/>
              </w:rPr>
              <w:br/>
              <w:t>estimate</w:t>
            </w:r>
          </w:p>
        </w:tc>
        <w:tc>
          <w:tcPr>
            <w:tcW w:w="850" w:type="dxa"/>
          </w:tcPr>
          <w:p w14:paraId="11EDFE7E" w14:textId="77777777" w:rsidR="00900469" w:rsidRPr="001213F7" w:rsidRDefault="00900469">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theme="majorHAnsi"/>
                <w:szCs w:val="17"/>
                <w:lang w:eastAsia="en-AU"/>
              </w:rPr>
            </w:pPr>
            <w:r w:rsidRPr="001213F7">
              <w:rPr>
                <w:rFonts w:eastAsiaTheme="minorEastAsia" w:cstheme="majorHAnsi"/>
                <w:iCs/>
                <w:szCs w:val="17"/>
                <w:lang w:eastAsia="en-AU"/>
              </w:rPr>
              <w:t>2027-28</w:t>
            </w:r>
            <w:r w:rsidRPr="001213F7">
              <w:rPr>
                <w:rFonts w:eastAsiaTheme="minorEastAsia" w:cstheme="majorHAnsi"/>
                <w:szCs w:val="17"/>
                <w:lang w:eastAsia="en-AU"/>
              </w:rPr>
              <w:t xml:space="preserve"> estimate</w:t>
            </w:r>
          </w:p>
        </w:tc>
        <w:tc>
          <w:tcPr>
            <w:tcW w:w="850" w:type="dxa"/>
          </w:tcPr>
          <w:p w14:paraId="7248D999" w14:textId="77777777" w:rsidR="00900469" w:rsidRPr="001213F7" w:rsidRDefault="00900469">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theme="majorHAnsi"/>
                <w:szCs w:val="17"/>
                <w:lang w:eastAsia="en-AU"/>
              </w:rPr>
            </w:pPr>
            <w:r w:rsidRPr="001213F7">
              <w:rPr>
                <w:rFonts w:eastAsiaTheme="minorEastAsia" w:cstheme="majorHAnsi"/>
                <w:iCs/>
                <w:szCs w:val="17"/>
                <w:lang w:eastAsia="en-AU"/>
              </w:rPr>
              <w:t>2028-29</w:t>
            </w:r>
            <w:r w:rsidRPr="001213F7">
              <w:rPr>
                <w:rFonts w:eastAsiaTheme="minorEastAsia" w:cstheme="majorHAnsi"/>
                <w:szCs w:val="17"/>
                <w:lang w:eastAsia="en-AU"/>
              </w:rPr>
              <w:t xml:space="preserve"> estimate</w:t>
            </w:r>
          </w:p>
        </w:tc>
        <w:tc>
          <w:tcPr>
            <w:tcW w:w="850" w:type="dxa"/>
          </w:tcPr>
          <w:p w14:paraId="6FD0BAC4" w14:textId="77777777" w:rsidR="00900469" w:rsidRPr="001213F7" w:rsidRDefault="00900469">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theme="majorHAnsi"/>
                <w:szCs w:val="17"/>
                <w:lang w:eastAsia="en-AU"/>
              </w:rPr>
            </w:pPr>
            <w:r w:rsidRPr="001213F7">
              <w:rPr>
                <w:rFonts w:eastAsiaTheme="minorEastAsia" w:cstheme="majorHAnsi"/>
                <w:iCs/>
                <w:szCs w:val="17"/>
                <w:lang w:eastAsia="en-AU"/>
              </w:rPr>
              <w:t>2029-30</w:t>
            </w:r>
            <w:r w:rsidRPr="001213F7">
              <w:rPr>
                <w:rFonts w:eastAsiaTheme="minorEastAsia" w:cstheme="majorHAnsi"/>
                <w:szCs w:val="17"/>
                <w:lang w:eastAsia="en-AU"/>
              </w:rPr>
              <w:t xml:space="preserve"> estimate</w:t>
            </w:r>
          </w:p>
        </w:tc>
      </w:tr>
      <w:tr w:rsidR="00900469" w:rsidRPr="001213F7" w14:paraId="70852B07" w14:textId="77777777">
        <w:tc>
          <w:tcPr>
            <w:cnfStyle w:val="001000000000" w:firstRow="0" w:lastRow="0" w:firstColumn="1" w:lastColumn="0" w:oddVBand="0" w:evenVBand="0" w:oddHBand="0" w:evenHBand="0" w:firstRowFirstColumn="0" w:firstRowLastColumn="0" w:lastRowFirstColumn="0" w:lastRowLastColumn="0"/>
            <w:tcW w:w="4370" w:type="dxa"/>
            <w:hideMark/>
          </w:tcPr>
          <w:p w14:paraId="6A149F76" w14:textId="77777777" w:rsidR="00900469" w:rsidRPr="001213F7" w:rsidRDefault="00900469">
            <w:pPr>
              <w:autoSpaceDE w:val="0"/>
              <w:autoSpaceDN w:val="0"/>
              <w:adjustRightInd w:val="0"/>
              <w:rPr>
                <w:rFonts w:eastAsiaTheme="minorEastAsia" w:cstheme="majorHAnsi"/>
                <w:szCs w:val="17"/>
                <w:lang w:eastAsia="en-AU"/>
              </w:rPr>
            </w:pPr>
            <w:r w:rsidRPr="001213F7">
              <w:rPr>
                <w:rFonts w:eastAsiaTheme="minorEastAsia" w:cstheme="majorHAnsi"/>
                <w:szCs w:val="17"/>
                <w:lang w:eastAsia="en-AU"/>
              </w:rPr>
              <w:t>Income from transactions</w:t>
            </w:r>
          </w:p>
        </w:tc>
        <w:tc>
          <w:tcPr>
            <w:tcW w:w="850" w:type="dxa"/>
            <w:tcBorders>
              <w:top w:val="nil"/>
              <w:left w:val="nil"/>
              <w:bottom w:val="nil"/>
              <w:right w:val="nil"/>
            </w:tcBorders>
            <w:shd w:val="clear" w:color="000000" w:fill="FFFFFF"/>
            <w:vAlign w:val="bottom"/>
          </w:tcPr>
          <w:p w14:paraId="34366BB4" w14:textId="77777777" w:rsidR="00900469" w:rsidRPr="001213F7" w:rsidRDefault="00900469">
            <w:pPr>
              <w:cnfStyle w:val="000000000000" w:firstRow="0" w:lastRow="0" w:firstColumn="0" w:lastColumn="0" w:oddVBand="0" w:evenVBand="0" w:oddHBand="0" w:evenHBand="0" w:firstRowFirstColumn="0" w:firstRowLastColumn="0" w:lastRowFirstColumn="0" w:lastRowLastColumn="0"/>
              <w:rPr>
                <w:szCs w:val="17"/>
              </w:rPr>
            </w:pPr>
            <w:r w:rsidRPr="001213F7">
              <w:rPr>
                <w:rFonts w:ascii="Calibri" w:eastAsia="Times New Roman" w:hAnsi="Calibri" w:cs="Calibri"/>
                <w:szCs w:val="17"/>
                <w:lang w:eastAsia="en-AU"/>
              </w:rPr>
              <w:t>..</w:t>
            </w:r>
          </w:p>
        </w:tc>
        <w:tc>
          <w:tcPr>
            <w:tcW w:w="850" w:type="dxa"/>
            <w:tcBorders>
              <w:top w:val="nil"/>
              <w:left w:val="nil"/>
              <w:bottom w:val="nil"/>
              <w:right w:val="nil"/>
            </w:tcBorders>
            <w:shd w:val="clear" w:color="000000" w:fill="FFFFFF"/>
          </w:tcPr>
          <w:p w14:paraId="26CE9935" w14:textId="77777777" w:rsidR="00900469" w:rsidRPr="001213F7" w:rsidRDefault="00900469">
            <w:pPr>
              <w:cnfStyle w:val="000000000000" w:firstRow="0" w:lastRow="0" w:firstColumn="0" w:lastColumn="0" w:oddVBand="0" w:evenVBand="0" w:oddHBand="0" w:evenHBand="0" w:firstRowFirstColumn="0" w:firstRowLastColumn="0" w:lastRowFirstColumn="0" w:lastRowLastColumn="0"/>
              <w:rPr>
                <w:szCs w:val="17"/>
              </w:rPr>
            </w:pPr>
            <w:r w:rsidRPr="001213F7">
              <w:t>15.4</w:t>
            </w:r>
          </w:p>
        </w:tc>
        <w:tc>
          <w:tcPr>
            <w:tcW w:w="850" w:type="dxa"/>
            <w:tcBorders>
              <w:top w:val="nil"/>
              <w:left w:val="nil"/>
              <w:bottom w:val="nil"/>
              <w:right w:val="nil"/>
            </w:tcBorders>
            <w:shd w:val="clear" w:color="000000" w:fill="FFFFFF"/>
          </w:tcPr>
          <w:p w14:paraId="5ED83E4C" w14:textId="77777777" w:rsidR="00900469" w:rsidRPr="001213F7" w:rsidRDefault="00900469">
            <w:pPr>
              <w:cnfStyle w:val="000000000000" w:firstRow="0" w:lastRow="0" w:firstColumn="0" w:lastColumn="0" w:oddVBand="0" w:evenVBand="0" w:oddHBand="0" w:evenHBand="0" w:firstRowFirstColumn="0" w:firstRowLastColumn="0" w:lastRowFirstColumn="0" w:lastRowLastColumn="0"/>
              <w:rPr>
                <w:szCs w:val="17"/>
              </w:rPr>
            </w:pPr>
            <w:r w:rsidRPr="001213F7">
              <w:t>204.5</w:t>
            </w:r>
          </w:p>
        </w:tc>
        <w:tc>
          <w:tcPr>
            <w:tcW w:w="850" w:type="dxa"/>
            <w:tcBorders>
              <w:top w:val="nil"/>
              <w:left w:val="nil"/>
              <w:bottom w:val="nil"/>
              <w:right w:val="nil"/>
            </w:tcBorders>
            <w:shd w:val="clear" w:color="000000" w:fill="FFFFFF"/>
          </w:tcPr>
          <w:p w14:paraId="28DAE4B8" w14:textId="77777777" w:rsidR="00900469" w:rsidRPr="001213F7" w:rsidRDefault="00900469">
            <w:pPr>
              <w:cnfStyle w:val="000000000000" w:firstRow="0" w:lastRow="0" w:firstColumn="0" w:lastColumn="0" w:oddVBand="0" w:evenVBand="0" w:oddHBand="0" w:evenHBand="0" w:firstRowFirstColumn="0" w:firstRowLastColumn="0" w:lastRowFirstColumn="0" w:lastRowLastColumn="0"/>
              <w:rPr>
                <w:szCs w:val="17"/>
              </w:rPr>
            </w:pPr>
            <w:r w:rsidRPr="001213F7">
              <w:t>425.3</w:t>
            </w:r>
          </w:p>
        </w:tc>
      </w:tr>
      <w:tr w:rsidR="00900469" w:rsidRPr="001213F7" w14:paraId="108653F1" w14:textId="77777777">
        <w:tc>
          <w:tcPr>
            <w:cnfStyle w:val="001000000000" w:firstRow="0" w:lastRow="0" w:firstColumn="1" w:lastColumn="0" w:oddVBand="0" w:evenVBand="0" w:oddHBand="0" w:evenHBand="0" w:firstRowFirstColumn="0" w:firstRowLastColumn="0" w:lastRowFirstColumn="0" w:lastRowLastColumn="0"/>
            <w:tcW w:w="4370" w:type="dxa"/>
            <w:tcBorders>
              <w:bottom w:val="single" w:sz="4" w:space="0" w:color="auto"/>
            </w:tcBorders>
            <w:hideMark/>
          </w:tcPr>
          <w:p w14:paraId="3FD0909F" w14:textId="77777777" w:rsidR="00900469" w:rsidRPr="001213F7" w:rsidRDefault="00900469">
            <w:pPr>
              <w:autoSpaceDE w:val="0"/>
              <w:autoSpaceDN w:val="0"/>
              <w:adjustRightInd w:val="0"/>
              <w:rPr>
                <w:rFonts w:eastAsiaTheme="minorEastAsia" w:cstheme="majorHAnsi"/>
                <w:szCs w:val="17"/>
                <w:lang w:eastAsia="en-AU"/>
              </w:rPr>
            </w:pPr>
            <w:r w:rsidRPr="001213F7">
              <w:rPr>
                <w:rFonts w:eastAsiaTheme="minorEastAsia" w:cstheme="majorHAnsi"/>
                <w:szCs w:val="17"/>
                <w:lang w:eastAsia="en-AU"/>
              </w:rPr>
              <w:t>Expenses from transactions</w:t>
            </w:r>
          </w:p>
        </w:tc>
        <w:tc>
          <w:tcPr>
            <w:tcW w:w="850" w:type="dxa"/>
            <w:tcBorders>
              <w:top w:val="nil"/>
              <w:left w:val="nil"/>
              <w:bottom w:val="nil"/>
              <w:right w:val="nil"/>
            </w:tcBorders>
            <w:shd w:val="clear" w:color="000000" w:fill="FFFFFF"/>
            <w:vAlign w:val="bottom"/>
          </w:tcPr>
          <w:p w14:paraId="3F48FEF3" w14:textId="77777777" w:rsidR="00900469" w:rsidRPr="001213F7" w:rsidRDefault="00900469">
            <w:pPr>
              <w:cnfStyle w:val="000000000000" w:firstRow="0" w:lastRow="0" w:firstColumn="0" w:lastColumn="0" w:oddVBand="0" w:evenVBand="0" w:oddHBand="0" w:evenHBand="0" w:firstRowFirstColumn="0" w:firstRowLastColumn="0" w:lastRowFirstColumn="0" w:lastRowLastColumn="0"/>
              <w:rPr>
                <w:szCs w:val="17"/>
              </w:rPr>
            </w:pPr>
            <w:r w:rsidRPr="001213F7">
              <w:rPr>
                <w:rFonts w:ascii="Calibri" w:eastAsia="Times New Roman" w:hAnsi="Calibri" w:cs="Calibri"/>
                <w:szCs w:val="17"/>
                <w:lang w:eastAsia="en-AU"/>
              </w:rPr>
              <w:t>..</w:t>
            </w:r>
          </w:p>
        </w:tc>
        <w:tc>
          <w:tcPr>
            <w:tcW w:w="850" w:type="dxa"/>
            <w:tcBorders>
              <w:top w:val="nil"/>
              <w:left w:val="nil"/>
              <w:bottom w:val="nil"/>
              <w:right w:val="nil"/>
            </w:tcBorders>
            <w:shd w:val="clear" w:color="000000" w:fill="FFFFFF"/>
          </w:tcPr>
          <w:p w14:paraId="6E698C49" w14:textId="77777777" w:rsidR="00900469" w:rsidRPr="001213F7" w:rsidRDefault="00900469">
            <w:pPr>
              <w:cnfStyle w:val="000000000000" w:firstRow="0" w:lastRow="0" w:firstColumn="0" w:lastColumn="0" w:oddVBand="0" w:evenVBand="0" w:oddHBand="0" w:evenHBand="0" w:firstRowFirstColumn="0" w:firstRowLastColumn="0" w:lastRowFirstColumn="0" w:lastRowLastColumn="0"/>
              <w:rPr>
                <w:szCs w:val="17"/>
              </w:rPr>
            </w:pPr>
            <w:r w:rsidRPr="001213F7">
              <w:t>(40.2</w:t>
            </w:r>
            <w:r w:rsidRPr="001213F7" w:rsidDel="00D4105C">
              <w:t>)</w:t>
            </w:r>
          </w:p>
        </w:tc>
        <w:tc>
          <w:tcPr>
            <w:tcW w:w="850" w:type="dxa"/>
            <w:tcBorders>
              <w:top w:val="nil"/>
              <w:left w:val="nil"/>
              <w:bottom w:val="nil"/>
              <w:right w:val="nil"/>
            </w:tcBorders>
            <w:shd w:val="clear" w:color="000000" w:fill="FFFFFF"/>
          </w:tcPr>
          <w:p w14:paraId="6237CED1" w14:textId="77777777" w:rsidR="00900469" w:rsidRPr="001213F7" w:rsidRDefault="00900469">
            <w:pPr>
              <w:cnfStyle w:val="000000000000" w:firstRow="0" w:lastRow="0" w:firstColumn="0" w:lastColumn="0" w:oddVBand="0" w:evenVBand="0" w:oddHBand="0" w:evenHBand="0" w:firstRowFirstColumn="0" w:firstRowLastColumn="0" w:lastRowFirstColumn="0" w:lastRowLastColumn="0"/>
              <w:rPr>
                <w:szCs w:val="17"/>
              </w:rPr>
            </w:pPr>
            <w:r w:rsidRPr="001213F7">
              <w:t>(300.2</w:t>
            </w:r>
            <w:r w:rsidRPr="001213F7" w:rsidDel="00D4105C">
              <w:t>)</w:t>
            </w:r>
          </w:p>
        </w:tc>
        <w:tc>
          <w:tcPr>
            <w:tcW w:w="850" w:type="dxa"/>
            <w:tcBorders>
              <w:top w:val="nil"/>
              <w:left w:val="nil"/>
              <w:bottom w:val="nil"/>
              <w:right w:val="nil"/>
            </w:tcBorders>
            <w:shd w:val="clear" w:color="000000" w:fill="FFFFFF"/>
          </w:tcPr>
          <w:p w14:paraId="12062356" w14:textId="77777777" w:rsidR="00900469" w:rsidRPr="001213F7" w:rsidRDefault="00900469">
            <w:pPr>
              <w:cnfStyle w:val="000000000000" w:firstRow="0" w:lastRow="0" w:firstColumn="0" w:lastColumn="0" w:oddVBand="0" w:evenVBand="0" w:oddHBand="0" w:evenHBand="0" w:firstRowFirstColumn="0" w:firstRowLastColumn="0" w:lastRowFirstColumn="0" w:lastRowLastColumn="0"/>
              <w:rPr>
                <w:szCs w:val="17"/>
              </w:rPr>
            </w:pPr>
            <w:r w:rsidRPr="001213F7">
              <w:t>(284.5</w:t>
            </w:r>
            <w:r w:rsidRPr="001213F7" w:rsidDel="00D4105C">
              <w:t>)</w:t>
            </w:r>
          </w:p>
        </w:tc>
      </w:tr>
      <w:tr w:rsidR="00900469" w:rsidRPr="001213F7" w14:paraId="50686C09" w14:textId="77777777">
        <w:tc>
          <w:tcPr>
            <w:cnfStyle w:val="001000000000" w:firstRow="0" w:lastRow="0" w:firstColumn="1" w:lastColumn="0" w:oddVBand="0" w:evenVBand="0" w:oddHBand="0" w:evenHBand="0" w:firstRowFirstColumn="0" w:firstRowLastColumn="0" w:lastRowFirstColumn="0" w:lastRowLastColumn="0"/>
            <w:tcW w:w="4370" w:type="dxa"/>
            <w:tcBorders>
              <w:top w:val="single" w:sz="4" w:space="0" w:color="auto"/>
              <w:bottom w:val="single" w:sz="4" w:space="0" w:color="auto"/>
            </w:tcBorders>
            <w:hideMark/>
          </w:tcPr>
          <w:p w14:paraId="0C4EF2C9" w14:textId="77777777" w:rsidR="00900469" w:rsidRPr="001213F7" w:rsidRDefault="00900469">
            <w:pPr>
              <w:autoSpaceDE w:val="0"/>
              <w:autoSpaceDN w:val="0"/>
              <w:adjustRightInd w:val="0"/>
              <w:rPr>
                <w:rFonts w:eastAsiaTheme="minorEastAsia" w:cstheme="majorHAnsi"/>
                <w:b/>
                <w:szCs w:val="17"/>
                <w:lang w:eastAsia="en-AU"/>
              </w:rPr>
            </w:pPr>
            <w:r w:rsidRPr="001213F7">
              <w:rPr>
                <w:rFonts w:eastAsiaTheme="minorEastAsia" w:cstheme="majorHAnsi"/>
                <w:b/>
                <w:szCs w:val="17"/>
                <w:lang w:eastAsia="en-AU"/>
              </w:rPr>
              <w:t>Net result from transactions</w:t>
            </w:r>
          </w:p>
        </w:tc>
        <w:tc>
          <w:tcPr>
            <w:tcW w:w="850" w:type="dxa"/>
            <w:tcBorders>
              <w:top w:val="single" w:sz="4" w:space="0" w:color="auto"/>
              <w:left w:val="nil"/>
              <w:bottom w:val="single" w:sz="4" w:space="0" w:color="auto"/>
              <w:right w:val="nil"/>
            </w:tcBorders>
            <w:shd w:val="clear" w:color="000000" w:fill="FFFFFF"/>
            <w:vAlign w:val="bottom"/>
          </w:tcPr>
          <w:p w14:paraId="4BC4BF44" w14:textId="77777777" w:rsidR="00900469" w:rsidRPr="001213F7" w:rsidRDefault="00900469">
            <w:pPr>
              <w:cnfStyle w:val="000000000000" w:firstRow="0" w:lastRow="0" w:firstColumn="0" w:lastColumn="0" w:oddVBand="0" w:evenVBand="0" w:oddHBand="0" w:evenHBand="0" w:firstRowFirstColumn="0" w:firstRowLastColumn="0" w:lastRowFirstColumn="0" w:lastRowLastColumn="0"/>
              <w:rPr>
                <w:b/>
                <w:szCs w:val="17"/>
              </w:rPr>
            </w:pPr>
            <w:r w:rsidRPr="001213F7">
              <w:rPr>
                <w:rFonts w:ascii="Calibri" w:eastAsia="Times New Roman" w:hAnsi="Calibri" w:cs="Calibri"/>
                <w:b/>
                <w:szCs w:val="17"/>
                <w:lang w:eastAsia="en-AU"/>
              </w:rPr>
              <w:t>..</w:t>
            </w:r>
          </w:p>
        </w:tc>
        <w:tc>
          <w:tcPr>
            <w:tcW w:w="850" w:type="dxa"/>
            <w:tcBorders>
              <w:top w:val="single" w:sz="4" w:space="0" w:color="auto"/>
              <w:left w:val="nil"/>
              <w:bottom w:val="single" w:sz="4" w:space="0" w:color="auto"/>
              <w:right w:val="nil"/>
            </w:tcBorders>
            <w:shd w:val="clear" w:color="000000" w:fill="FFFFFF"/>
          </w:tcPr>
          <w:p w14:paraId="55EA8106" w14:textId="77777777" w:rsidR="00900469" w:rsidRPr="001213F7" w:rsidRDefault="00900469">
            <w:pPr>
              <w:cnfStyle w:val="000000000000" w:firstRow="0" w:lastRow="0" w:firstColumn="0" w:lastColumn="0" w:oddVBand="0" w:evenVBand="0" w:oddHBand="0" w:evenHBand="0" w:firstRowFirstColumn="0" w:firstRowLastColumn="0" w:lastRowFirstColumn="0" w:lastRowLastColumn="0"/>
              <w:rPr>
                <w:b/>
                <w:szCs w:val="17"/>
              </w:rPr>
            </w:pPr>
            <w:r w:rsidRPr="001213F7">
              <w:rPr>
                <w:b/>
              </w:rPr>
              <w:t>55.</w:t>
            </w:r>
            <w:r w:rsidRPr="001213F7" w:rsidDel="00D4105C">
              <w:rPr>
                <w:b/>
              </w:rPr>
              <w:t>6</w:t>
            </w:r>
          </w:p>
        </w:tc>
        <w:tc>
          <w:tcPr>
            <w:tcW w:w="850" w:type="dxa"/>
            <w:tcBorders>
              <w:top w:val="single" w:sz="4" w:space="0" w:color="auto"/>
              <w:left w:val="nil"/>
              <w:bottom w:val="single" w:sz="4" w:space="0" w:color="auto"/>
              <w:right w:val="nil"/>
            </w:tcBorders>
            <w:shd w:val="clear" w:color="000000" w:fill="FFFFFF"/>
          </w:tcPr>
          <w:p w14:paraId="20649D8C" w14:textId="77777777" w:rsidR="00900469" w:rsidRPr="001213F7" w:rsidRDefault="00900469">
            <w:pPr>
              <w:cnfStyle w:val="000000000000" w:firstRow="0" w:lastRow="0" w:firstColumn="0" w:lastColumn="0" w:oddVBand="0" w:evenVBand="0" w:oddHBand="0" w:evenHBand="0" w:firstRowFirstColumn="0" w:firstRowLastColumn="0" w:lastRowFirstColumn="0" w:lastRowLastColumn="0"/>
              <w:rPr>
                <w:b/>
                <w:szCs w:val="17"/>
              </w:rPr>
            </w:pPr>
            <w:r w:rsidRPr="001213F7">
              <w:rPr>
                <w:b/>
              </w:rPr>
              <w:t>504.7</w:t>
            </w:r>
          </w:p>
        </w:tc>
        <w:tc>
          <w:tcPr>
            <w:tcW w:w="850" w:type="dxa"/>
            <w:tcBorders>
              <w:top w:val="single" w:sz="4" w:space="0" w:color="auto"/>
              <w:left w:val="nil"/>
              <w:bottom w:val="single" w:sz="4" w:space="0" w:color="auto"/>
              <w:right w:val="nil"/>
            </w:tcBorders>
            <w:shd w:val="clear" w:color="000000" w:fill="FFFFFF"/>
          </w:tcPr>
          <w:p w14:paraId="4EFCB995" w14:textId="77777777" w:rsidR="00900469" w:rsidRPr="001213F7" w:rsidRDefault="00900469">
            <w:pPr>
              <w:cnfStyle w:val="000000000000" w:firstRow="0" w:lastRow="0" w:firstColumn="0" w:lastColumn="0" w:oddVBand="0" w:evenVBand="0" w:oddHBand="0" w:evenHBand="0" w:firstRowFirstColumn="0" w:firstRowLastColumn="0" w:lastRowFirstColumn="0" w:lastRowLastColumn="0"/>
              <w:rPr>
                <w:b/>
                <w:szCs w:val="17"/>
              </w:rPr>
            </w:pPr>
            <w:r w:rsidRPr="001213F7">
              <w:rPr>
                <w:b/>
              </w:rPr>
              <w:t>709.8</w:t>
            </w:r>
          </w:p>
        </w:tc>
      </w:tr>
      <w:tr w:rsidR="00900469" w:rsidRPr="001213F7" w14:paraId="0E150529" w14:textId="77777777">
        <w:tc>
          <w:tcPr>
            <w:cnfStyle w:val="001000000000" w:firstRow="0" w:lastRow="0" w:firstColumn="1" w:lastColumn="0" w:oddVBand="0" w:evenVBand="0" w:oddHBand="0" w:evenHBand="0" w:firstRowFirstColumn="0" w:firstRowLastColumn="0" w:lastRowFirstColumn="0" w:lastRowLastColumn="0"/>
            <w:tcW w:w="4370" w:type="dxa"/>
            <w:tcBorders>
              <w:top w:val="single" w:sz="4" w:space="0" w:color="auto"/>
              <w:bottom w:val="single" w:sz="4" w:space="0" w:color="auto"/>
            </w:tcBorders>
            <w:hideMark/>
          </w:tcPr>
          <w:p w14:paraId="5105661E" w14:textId="77777777" w:rsidR="00900469" w:rsidRPr="001213F7" w:rsidRDefault="00900469">
            <w:pPr>
              <w:autoSpaceDE w:val="0"/>
              <w:autoSpaceDN w:val="0"/>
              <w:adjustRightInd w:val="0"/>
              <w:rPr>
                <w:rFonts w:eastAsiaTheme="minorEastAsia" w:cstheme="majorHAnsi"/>
                <w:szCs w:val="17"/>
                <w:lang w:eastAsia="en-AU"/>
              </w:rPr>
            </w:pPr>
            <w:r w:rsidRPr="001213F7">
              <w:rPr>
                <w:rFonts w:eastAsiaTheme="minorEastAsia" w:cstheme="majorHAnsi"/>
                <w:szCs w:val="17"/>
                <w:lang w:eastAsia="en-AU"/>
              </w:rPr>
              <w:t>Other economic flows</w:t>
            </w:r>
          </w:p>
        </w:tc>
        <w:tc>
          <w:tcPr>
            <w:tcW w:w="850" w:type="dxa"/>
            <w:tcBorders>
              <w:top w:val="nil"/>
              <w:left w:val="nil"/>
              <w:bottom w:val="nil"/>
              <w:right w:val="nil"/>
            </w:tcBorders>
            <w:shd w:val="clear" w:color="000000" w:fill="FFFFFF"/>
            <w:vAlign w:val="bottom"/>
          </w:tcPr>
          <w:p w14:paraId="572B665D" w14:textId="77777777" w:rsidR="00900469" w:rsidRPr="001213F7" w:rsidRDefault="00900469">
            <w:pPr>
              <w:cnfStyle w:val="000000000000" w:firstRow="0" w:lastRow="0" w:firstColumn="0" w:lastColumn="0" w:oddVBand="0" w:evenVBand="0" w:oddHBand="0" w:evenHBand="0" w:firstRowFirstColumn="0" w:firstRowLastColumn="0" w:lastRowFirstColumn="0" w:lastRowLastColumn="0"/>
              <w:rPr>
                <w:szCs w:val="17"/>
              </w:rPr>
            </w:pPr>
            <w:r w:rsidRPr="001213F7">
              <w:rPr>
                <w:rFonts w:ascii="Calibri" w:eastAsia="Times New Roman" w:hAnsi="Calibri" w:cs="Calibri"/>
                <w:szCs w:val="17"/>
                <w:lang w:eastAsia="en-AU"/>
              </w:rPr>
              <w:t>..</w:t>
            </w:r>
          </w:p>
        </w:tc>
        <w:tc>
          <w:tcPr>
            <w:tcW w:w="850" w:type="dxa"/>
            <w:tcBorders>
              <w:top w:val="nil"/>
              <w:left w:val="nil"/>
              <w:bottom w:val="nil"/>
              <w:right w:val="nil"/>
            </w:tcBorders>
            <w:shd w:val="clear" w:color="000000" w:fill="FFFFFF"/>
          </w:tcPr>
          <w:p w14:paraId="3702D2FB" w14:textId="77777777" w:rsidR="00900469" w:rsidRPr="001213F7" w:rsidRDefault="00900469">
            <w:pPr>
              <w:cnfStyle w:val="000000000000" w:firstRow="0" w:lastRow="0" w:firstColumn="0" w:lastColumn="0" w:oddVBand="0" w:evenVBand="0" w:oddHBand="0" w:evenHBand="0" w:firstRowFirstColumn="0" w:firstRowLastColumn="0" w:lastRowFirstColumn="0" w:lastRowLastColumn="0"/>
              <w:rPr>
                <w:szCs w:val="17"/>
              </w:rPr>
            </w:pPr>
            <w:r w:rsidRPr="001213F7">
              <w:t>0.5</w:t>
            </w:r>
          </w:p>
        </w:tc>
        <w:tc>
          <w:tcPr>
            <w:tcW w:w="850" w:type="dxa"/>
            <w:tcBorders>
              <w:top w:val="nil"/>
              <w:left w:val="nil"/>
              <w:bottom w:val="nil"/>
              <w:right w:val="nil"/>
            </w:tcBorders>
            <w:shd w:val="clear" w:color="000000" w:fill="FFFFFF"/>
          </w:tcPr>
          <w:p w14:paraId="0264AED2" w14:textId="77777777" w:rsidR="00900469" w:rsidRPr="001213F7" w:rsidRDefault="00900469">
            <w:pPr>
              <w:cnfStyle w:val="000000000000" w:firstRow="0" w:lastRow="0" w:firstColumn="0" w:lastColumn="0" w:oddVBand="0" w:evenVBand="0" w:oddHBand="0" w:evenHBand="0" w:firstRowFirstColumn="0" w:firstRowLastColumn="0" w:lastRowFirstColumn="0" w:lastRowLastColumn="0"/>
              <w:rPr>
                <w:szCs w:val="17"/>
              </w:rPr>
            </w:pPr>
            <w:r w:rsidRPr="001213F7">
              <w:t>5.5</w:t>
            </w:r>
          </w:p>
        </w:tc>
        <w:tc>
          <w:tcPr>
            <w:tcW w:w="850" w:type="dxa"/>
            <w:tcBorders>
              <w:top w:val="nil"/>
              <w:left w:val="nil"/>
              <w:bottom w:val="nil"/>
              <w:right w:val="nil"/>
            </w:tcBorders>
            <w:shd w:val="clear" w:color="000000" w:fill="FFFFFF"/>
          </w:tcPr>
          <w:p w14:paraId="6B935446" w14:textId="77777777" w:rsidR="00900469" w:rsidRPr="001213F7" w:rsidRDefault="00900469">
            <w:pPr>
              <w:cnfStyle w:val="000000000000" w:firstRow="0" w:lastRow="0" w:firstColumn="0" w:lastColumn="0" w:oddVBand="0" w:evenVBand="0" w:oddHBand="0" w:evenHBand="0" w:firstRowFirstColumn="0" w:firstRowLastColumn="0" w:lastRowFirstColumn="0" w:lastRowLastColumn="0"/>
              <w:rPr>
                <w:szCs w:val="17"/>
              </w:rPr>
            </w:pPr>
            <w:r w:rsidRPr="001213F7">
              <w:t>8.2</w:t>
            </w:r>
          </w:p>
        </w:tc>
      </w:tr>
      <w:tr w:rsidR="00900469" w:rsidRPr="001213F7" w14:paraId="42359796" w14:textId="77777777">
        <w:tc>
          <w:tcPr>
            <w:cnfStyle w:val="001000000000" w:firstRow="0" w:lastRow="0" w:firstColumn="1" w:lastColumn="0" w:oddVBand="0" w:evenVBand="0" w:oddHBand="0" w:evenHBand="0" w:firstRowFirstColumn="0" w:firstRowLastColumn="0" w:lastRowFirstColumn="0" w:lastRowLastColumn="0"/>
            <w:tcW w:w="4370" w:type="dxa"/>
            <w:tcBorders>
              <w:top w:val="single" w:sz="4" w:space="0" w:color="auto"/>
              <w:bottom w:val="single" w:sz="4" w:space="0" w:color="auto"/>
            </w:tcBorders>
          </w:tcPr>
          <w:p w14:paraId="5773A686" w14:textId="77777777" w:rsidR="00900469" w:rsidRPr="001213F7" w:rsidRDefault="00900469">
            <w:pPr>
              <w:autoSpaceDE w:val="0"/>
              <w:autoSpaceDN w:val="0"/>
              <w:adjustRightInd w:val="0"/>
              <w:rPr>
                <w:rFonts w:eastAsiaTheme="minorEastAsia" w:cstheme="majorHAnsi"/>
                <w:b/>
                <w:szCs w:val="17"/>
                <w:lang w:eastAsia="en-AU"/>
              </w:rPr>
            </w:pPr>
            <w:r w:rsidRPr="001213F7">
              <w:rPr>
                <w:rFonts w:eastAsiaTheme="minorEastAsia" w:cstheme="majorHAnsi"/>
                <w:b/>
                <w:szCs w:val="17"/>
                <w:lang w:eastAsia="en-AU"/>
              </w:rPr>
              <w:t>Net result</w:t>
            </w:r>
          </w:p>
        </w:tc>
        <w:tc>
          <w:tcPr>
            <w:tcW w:w="850" w:type="dxa"/>
            <w:tcBorders>
              <w:top w:val="single" w:sz="4" w:space="0" w:color="auto"/>
              <w:left w:val="nil"/>
              <w:bottom w:val="single" w:sz="4" w:space="0" w:color="auto"/>
              <w:right w:val="nil"/>
            </w:tcBorders>
            <w:shd w:val="clear" w:color="000000" w:fill="FFFFFF"/>
            <w:vAlign w:val="bottom"/>
          </w:tcPr>
          <w:p w14:paraId="0AC8381A" w14:textId="77777777" w:rsidR="00900469" w:rsidRPr="001213F7" w:rsidRDefault="00900469">
            <w:pPr>
              <w:cnfStyle w:val="000000000000" w:firstRow="0" w:lastRow="0" w:firstColumn="0" w:lastColumn="0" w:oddVBand="0" w:evenVBand="0" w:oddHBand="0" w:evenHBand="0" w:firstRowFirstColumn="0" w:firstRowLastColumn="0" w:lastRowFirstColumn="0" w:lastRowLastColumn="0"/>
              <w:rPr>
                <w:b/>
                <w:szCs w:val="17"/>
              </w:rPr>
            </w:pPr>
            <w:r w:rsidRPr="001213F7">
              <w:rPr>
                <w:rFonts w:ascii="Calibri" w:eastAsia="Times New Roman" w:hAnsi="Calibri" w:cs="Calibri"/>
                <w:b/>
                <w:szCs w:val="17"/>
                <w:lang w:eastAsia="en-AU"/>
              </w:rPr>
              <w:t>..</w:t>
            </w:r>
          </w:p>
        </w:tc>
        <w:tc>
          <w:tcPr>
            <w:tcW w:w="850" w:type="dxa"/>
            <w:tcBorders>
              <w:top w:val="single" w:sz="4" w:space="0" w:color="auto"/>
              <w:left w:val="nil"/>
              <w:bottom w:val="single" w:sz="4" w:space="0" w:color="auto"/>
              <w:right w:val="nil"/>
            </w:tcBorders>
            <w:shd w:val="clear" w:color="000000" w:fill="FFFFFF"/>
          </w:tcPr>
          <w:p w14:paraId="3E1CF39E" w14:textId="77777777" w:rsidR="00900469" w:rsidRPr="001213F7" w:rsidRDefault="00900469">
            <w:pPr>
              <w:cnfStyle w:val="000000000000" w:firstRow="0" w:lastRow="0" w:firstColumn="0" w:lastColumn="0" w:oddVBand="0" w:evenVBand="0" w:oddHBand="0" w:evenHBand="0" w:firstRowFirstColumn="0" w:firstRowLastColumn="0" w:lastRowFirstColumn="0" w:lastRowLastColumn="0"/>
              <w:rPr>
                <w:b/>
                <w:szCs w:val="17"/>
              </w:rPr>
            </w:pPr>
            <w:r w:rsidRPr="001213F7">
              <w:rPr>
                <w:b/>
              </w:rPr>
              <w:t>56.1</w:t>
            </w:r>
          </w:p>
        </w:tc>
        <w:tc>
          <w:tcPr>
            <w:tcW w:w="850" w:type="dxa"/>
            <w:tcBorders>
              <w:top w:val="single" w:sz="4" w:space="0" w:color="auto"/>
              <w:left w:val="nil"/>
              <w:bottom w:val="single" w:sz="4" w:space="0" w:color="auto"/>
              <w:right w:val="nil"/>
            </w:tcBorders>
            <w:shd w:val="clear" w:color="000000" w:fill="FFFFFF"/>
          </w:tcPr>
          <w:p w14:paraId="77BADABF" w14:textId="77777777" w:rsidR="00900469" w:rsidRPr="001213F7" w:rsidRDefault="00900469">
            <w:pPr>
              <w:cnfStyle w:val="000000000000" w:firstRow="0" w:lastRow="0" w:firstColumn="0" w:lastColumn="0" w:oddVBand="0" w:evenVBand="0" w:oddHBand="0" w:evenHBand="0" w:firstRowFirstColumn="0" w:firstRowLastColumn="0" w:lastRowFirstColumn="0" w:lastRowLastColumn="0"/>
              <w:rPr>
                <w:b/>
                <w:szCs w:val="17"/>
              </w:rPr>
            </w:pPr>
            <w:r w:rsidRPr="001213F7">
              <w:rPr>
                <w:b/>
              </w:rPr>
              <w:t>510.2</w:t>
            </w:r>
          </w:p>
        </w:tc>
        <w:tc>
          <w:tcPr>
            <w:tcW w:w="850" w:type="dxa"/>
            <w:tcBorders>
              <w:top w:val="single" w:sz="4" w:space="0" w:color="auto"/>
              <w:left w:val="nil"/>
              <w:bottom w:val="single" w:sz="4" w:space="0" w:color="auto"/>
              <w:right w:val="nil"/>
            </w:tcBorders>
            <w:shd w:val="clear" w:color="000000" w:fill="FFFFFF"/>
          </w:tcPr>
          <w:p w14:paraId="5666D63C" w14:textId="77777777" w:rsidR="00900469" w:rsidRPr="001213F7" w:rsidRDefault="00900469">
            <w:pPr>
              <w:cnfStyle w:val="000000000000" w:firstRow="0" w:lastRow="0" w:firstColumn="0" w:lastColumn="0" w:oddVBand="0" w:evenVBand="0" w:oddHBand="0" w:evenHBand="0" w:firstRowFirstColumn="0" w:firstRowLastColumn="0" w:lastRowFirstColumn="0" w:lastRowLastColumn="0"/>
              <w:rPr>
                <w:b/>
                <w:szCs w:val="17"/>
              </w:rPr>
            </w:pPr>
            <w:r w:rsidRPr="001213F7">
              <w:rPr>
                <w:b/>
              </w:rPr>
              <w:t>718.0</w:t>
            </w:r>
          </w:p>
        </w:tc>
      </w:tr>
      <w:tr w:rsidR="00900469" w:rsidRPr="001213F7" w14:paraId="4E6D992E" w14:textId="77777777">
        <w:tc>
          <w:tcPr>
            <w:cnfStyle w:val="001000000000" w:firstRow="0" w:lastRow="0" w:firstColumn="1" w:lastColumn="0" w:oddVBand="0" w:evenVBand="0" w:oddHBand="0" w:evenHBand="0" w:firstRowFirstColumn="0" w:firstRowLastColumn="0" w:lastRowFirstColumn="0" w:lastRowLastColumn="0"/>
            <w:tcW w:w="4370" w:type="dxa"/>
            <w:tcBorders>
              <w:top w:val="single" w:sz="4" w:space="0" w:color="auto"/>
              <w:bottom w:val="single" w:sz="4" w:space="0" w:color="auto"/>
            </w:tcBorders>
          </w:tcPr>
          <w:p w14:paraId="1D051C87" w14:textId="77777777" w:rsidR="00900469" w:rsidRPr="001213F7" w:rsidRDefault="00900469">
            <w:pPr>
              <w:autoSpaceDE w:val="0"/>
              <w:autoSpaceDN w:val="0"/>
              <w:adjustRightInd w:val="0"/>
              <w:rPr>
                <w:rFonts w:eastAsiaTheme="minorEastAsia" w:cstheme="majorHAnsi"/>
                <w:b/>
                <w:szCs w:val="17"/>
                <w:lang w:eastAsia="en-AU"/>
              </w:rPr>
            </w:pPr>
            <w:r w:rsidRPr="001213F7">
              <w:rPr>
                <w:rFonts w:eastAsiaTheme="minorEastAsia" w:cstheme="majorHAnsi"/>
                <w:b/>
                <w:szCs w:val="17"/>
                <w:lang w:eastAsia="en-AU"/>
              </w:rPr>
              <w:t>Net debt (cumulative)</w:t>
            </w:r>
          </w:p>
        </w:tc>
        <w:tc>
          <w:tcPr>
            <w:tcW w:w="850" w:type="dxa"/>
            <w:tcBorders>
              <w:top w:val="single" w:sz="4" w:space="0" w:color="auto"/>
              <w:left w:val="nil"/>
              <w:bottom w:val="single" w:sz="4" w:space="0" w:color="auto"/>
              <w:right w:val="nil"/>
            </w:tcBorders>
            <w:shd w:val="clear" w:color="000000" w:fill="FFFFFF"/>
            <w:vAlign w:val="bottom"/>
          </w:tcPr>
          <w:p w14:paraId="68242202" w14:textId="77777777" w:rsidR="00900469" w:rsidRPr="001213F7" w:rsidRDefault="00900469">
            <w:pPr>
              <w:cnfStyle w:val="000000000000" w:firstRow="0" w:lastRow="0" w:firstColumn="0" w:lastColumn="0" w:oddVBand="0" w:evenVBand="0" w:oddHBand="0" w:evenHBand="0" w:firstRowFirstColumn="0" w:firstRowLastColumn="0" w:lastRowFirstColumn="0" w:lastRowLastColumn="0"/>
              <w:rPr>
                <w:b/>
                <w:szCs w:val="17"/>
              </w:rPr>
            </w:pPr>
            <w:r w:rsidRPr="001213F7">
              <w:rPr>
                <w:rFonts w:ascii="Calibri" w:eastAsia="Times New Roman" w:hAnsi="Calibri" w:cs="Calibri"/>
                <w:b/>
                <w:szCs w:val="17"/>
                <w:lang w:eastAsia="en-AU"/>
              </w:rPr>
              <w:t>..</w:t>
            </w:r>
          </w:p>
        </w:tc>
        <w:tc>
          <w:tcPr>
            <w:tcW w:w="850" w:type="dxa"/>
            <w:tcBorders>
              <w:top w:val="single" w:sz="4" w:space="0" w:color="auto"/>
              <w:left w:val="nil"/>
              <w:bottom w:val="single" w:sz="4" w:space="0" w:color="auto"/>
              <w:right w:val="nil"/>
            </w:tcBorders>
            <w:shd w:val="clear" w:color="000000" w:fill="FFFFFF"/>
          </w:tcPr>
          <w:p w14:paraId="4D39A50E" w14:textId="77777777" w:rsidR="00900469" w:rsidRPr="001213F7" w:rsidRDefault="00900469">
            <w:pPr>
              <w:cnfStyle w:val="000000000000" w:firstRow="0" w:lastRow="0" w:firstColumn="0" w:lastColumn="0" w:oddVBand="0" w:evenVBand="0" w:oddHBand="0" w:evenHBand="0" w:firstRowFirstColumn="0" w:firstRowLastColumn="0" w:lastRowFirstColumn="0" w:lastRowLastColumn="0"/>
              <w:rPr>
                <w:b/>
                <w:szCs w:val="17"/>
              </w:rPr>
            </w:pPr>
            <w:r w:rsidRPr="001213F7">
              <w:rPr>
                <w:b/>
              </w:rPr>
              <w:t>(50.5</w:t>
            </w:r>
            <w:r w:rsidRPr="001213F7" w:rsidDel="00D4105C">
              <w:rPr>
                <w:b/>
              </w:rPr>
              <w:t>)</w:t>
            </w:r>
          </w:p>
        </w:tc>
        <w:tc>
          <w:tcPr>
            <w:tcW w:w="850" w:type="dxa"/>
            <w:tcBorders>
              <w:top w:val="single" w:sz="4" w:space="0" w:color="auto"/>
              <w:left w:val="nil"/>
              <w:bottom w:val="single" w:sz="4" w:space="0" w:color="auto"/>
              <w:right w:val="nil"/>
            </w:tcBorders>
            <w:shd w:val="clear" w:color="000000" w:fill="FFFFFF"/>
          </w:tcPr>
          <w:p w14:paraId="377DED5E" w14:textId="77777777" w:rsidR="00900469" w:rsidRPr="001213F7" w:rsidRDefault="00900469">
            <w:pPr>
              <w:cnfStyle w:val="000000000000" w:firstRow="0" w:lastRow="0" w:firstColumn="0" w:lastColumn="0" w:oddVBand="0" w:evenVBand="0" w:oddHBand="0" w:evenHBand="0" w:firstRowFirstColumn="0" w:firstRowLastColumn="0" w:lastRowFirstColumn="0" w:lastRowLastColumn="0"/>
              <w:rPr>
                <w:b/>
                <w:szCs w:val="17"/>
              </w:rPr>
            </w:pPr>
            <w:r w:rsidRPr="001213F7">
              <w:rPr>
                <w:b/>
              </w:rPr>
              <w:t>(531.3</w:t>
            </w:r>
            <w:r w:rsidRPr="001213F7" w:rsidDel="00D4105C">
              <w:rPr>
                <w:b/>
              </w:rPr>
              <w:t>)</w:t>
            </w:r>
          </w:p>
        </w:tc>
        <w:tc>
          <w:tcPr>
            <w:tcW w:w="850" w:type="dxa"/>
            <w:tcBorders>
              <w:top w:val="single" w:sz="4" w:space="0" w:color="auto"/>
              <w:left w:val="nil"/>
              <w:bottom w:val="single" w:sz="4" w:space="0" w:color="auto"/>
              <w:right w:val="nil"/>
            </w:tcBorders>
          </w:tcPr>
          <w:p w14:paraId="7507FC79" w14:textId="77777777" w:rsidR="00900469" w:rsidRPr="001213F7" w:rsidRDefault="00900469">
            <w:pPr>
              <w:cnfStyle w:val="000000000000" w:firstRow="0" w:lastRow="0" w:firstColumn="0" w:lastColumn="0" w:oddVBand="0" w:evenVBand="0" w:oddHBand="0" w:evenHBand="0" w:firstRowFirstColumn="0" w:firstRowLastColumn="0" w:lastRowFirstColumn="0" w:lastRowLastColumn="0"/>
              <w:rPr>
                <w:b/>
                <w:szCs w:val="17"/>
              </w:rPr>
            </w:pPr>
            <w:r w:rsidRPr="001213F7">
              <w:rPr>
                <w:b/>
              </w:rPr>
              <w:t>(1 238.4</w:t>
            </w:r>
            <w:r w:rsidRPr="001213F7" w:rsidDel="00D4105C">
              <w:rPr>
                <w:b/>
              </w:rPr>
              <w:t>)</w:t>
            </w:r>
          </w:p>
        </w:tc>
      </w:tr>
      <w:tr w:rsidR="00900469" w:rsidRPr="001213F7" w14:paraId="430B71E8" w14:textId="77777777">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70" w:type="dxa"/>
            <w:tcBorders>
              <w:top w:val="single" w:sz="4" w:space="0" w:color="auto"/>
              <w:bottom w:val="single" w:sz="12" w:space="0" w:color="auto"/>
            </w:tcBorders>
          </w:tcPr>
          <w:p w14:paraId="5D9A50DA" w14:textId="77777777" w:rsidR="00900469" w:rsidRPr="001213F7" w:rsidRDefault="00900469">
            <w:pPr>
              <w:autoSpaceDE w:val="0"/>
              <w:autoSpaceDN w:val="0"/>
              <w:adjustRightInd w:val="0"/>
              <w:rPr>
                <w:rFonts w:eastAsiaTheme="minorEastAsia" w:cstheme="majorHAnsi"/>
                <w:b w:val="0"/>
                <w:szCs w:val="17"/>
                <w:lang w:eastAsia="en-AU"/>
              </w:rPr>
            </w:pPr>
            <w:r w:rsidRPr="001213F7">
              <w:rPr>
                <w:rFonts w:eastAsiaTheme="minorEastAsia" w:cstheme="majorHAnsi"/>
                <w:b w:val="0"/>
                <w:szCs w:val="17"/>
                <w:lang w:eastAsia="en-AU"/>
              </w:rPr>
              <w:t>Net debt to GSP ratio (percentage point difference)</w:t>
            </w:r>
          </w:p>
        </w:tc>
        <w:tc>
          <w:tcPr>
            <w:tcW w:w="850" w:type="dxa"/>
            <w:tcBorders>
              <w:top w:val="single" w:sz="4" w:space="0" w:color="auto"/>
              <w:bottom w:val="single" w:sz="12" w:space="0" w:color="auto"/>
            </w:tcBorders>
            <w:shd w:val="clear" w:color="000000" w:fill="FFFFFF"/>
            <w:vAlign w:val="bottom"/>
          </w:tcPr>
          <w:p w14:paraId="041C9E8E" w14:textId="77777777" w:rsidR="00900469" w:rsidRPr="001213F7" w:rsidRDefault="00900469">
            <w:pPr>
              <w:cnfStyle w:val="010000000000" w:firstRow="0" w:lastRow="1" w:firstColumn="0" w:lastColumn="0" w:oddVBand="0" w:evenVBand="0" w:oddHBand="0" w:evenHBand="0" w:firstRowFirstColumn="0" w:firstRowLastColumn="0" w:lastRowFirstColumn="0" w:lastRowLastColumn="0"/>
              <w:rPr>
                <w:b w:val="0"/>
                <w:szCs w:val="17"/>
              </w:rPr>
            </w:pPr>
            <w:r w:rsidRPr="001213F7">
              <w:rPr>
                <w:rFonts w:ascii="Calibri" w:eastAsia="Times New Roman" w:hAnsi="Calibri" w:cs="Calibri"/>
                <w:szCs w:val="17"/>
                <w:lang w:eastAsia="en-AU"/>
              </w:rPr>
              <w:t>..</w:t>
            </w:r>
          </w:p>
        </w:tc>
        <w:tc>
          <w:tcPr>
            <w:tcW w:w="850" w:type="dxa"/>
            <w:tcBorders>
              <w:top w:val="single" w:sz="4" w:space="0" w:color="auto"/>
              <w:bottom w:val="single" w:sz="12" w:space="0" w:color="auto"/>
            </w:tcBorders>
            <w:shd w:val="clear" w:color="000000" w:fill="FFFFFF"/>
          </w:tcPr>
          <w:p w14:paraId="58FB5B84" w14:textId="77777777" w:rsidR="00900469" w:rsidRPr="001213F7" w:rsidRDefault="00900469">
            <w:pPr>
              <w:cnfStyle w:val="010000000000" w:firstRow="0" w:lastRow="1" w:firstColumn="0" w:lastColumn="0" w:oddVBand="0" w:evenVBand="0" w:oddHBand="0" w:evenHBand="0" w:firstRowFirstColumn="0" w:firstRowLastColumn="0" w:lastRowFirstColumn="0" w:lastRowLastColumn="0"/>
              <w:rPr>
                <w:b w:val="0"/>
                <w:bCs/>
                <w:szCs w:val="17"/>
              </w:rPr>
            </w:pPr>
            <w:r w:rsidRPr="001213F7">
              <w:t>–0.01</w:t>
            </w:r>
          </w:p>
        </w:tc>
        <w:tc>
          <w:tcPr>
            <w:tcW w:w="850" w:type="dxa"/>
            <w:tcBorders>
              <w:top w:val="single" w:sz="4" w:space="0" w:color="auto"/>
              <w:bottom w:val="single" w:sz="12" w:space="0" w:color="auto"/>
            </w:tcBorders>
            <w:shd w:val="clear" w:color="000000" w:fill="FFFFFF"/>
          </w:tcPr>
          <w:p w14:paraId="3DF2BE0E" w14:textId="77777777" w:rsidR="00900469" w:rsidRPr="001213F7" w:rsidRDefault="00900469">
            <w:pPr>
              <w:cnfStyle w:val="010000000000" w:firstRow="0" w:lastRow="1" w:firstColumn="0" w:lastColumn="0" w:oddVBand="0" w:evenVBand="0" w:oddHBand="0" w:evenHBand="0" w:firstRowFirstColumn="0" w:firstRowLastColumn="0" w:lastRowFirstColumn="0" w:lastRowLastColumn="0"/>
              <w:rPr>
                <w:b w:val="0"/>
                <w:bCs/>
                <w:szCs w:val="17"/>
              </w:rPr>
            </w:pPr>
            <w:r w:rsidRPr="001213F7">
              <w:t>–0.07</w:t>
            </w:r>
          </w:p>
        </w:tc>
        <w:tc>
          <w:tcPr>
            <w:tcW w:w="850" w:type="dxa"/>
            <w:tcBorders>
              <w:top w:val="single" w:sz="4" w:space="0" w:color="auto"/>
              <w:bottom w:val="single" w:sz="12" w:space="0" w:color="auto"/>
            </w:tcBorders>
            <w:shd w:val="clear" w:color="000000" w:fill="FFFFFF"/>
          </w:tcPr>
          <w:p w14:paraId="2471F687" w14:textId="77777777" w:rsidR="00900469" w:rsidRPr="001213F7" w:rsidRDefault="00900469">
            <w:pPr>
              <w:cnfStyle w:val="010000000000" w:firstRow="0" w:lastRow="1" w:firstColumn="0" w:lastColumn="0" w:oddVBand="0" w:evenVBand="0" w:oddHBand="0" w:evenHBand="0" w:firstRowFirstColumn="0" w:firstRowLastColumn="0" w:lastRowFirstColumn="0" w:lastRowLastColumn="0"/>
              <w:rPr>
                <w:b w:val="0"/>
                <w:bCs/>
                <w:szCs w:val="17"/>
              </w:rPr>
            </w:pPr>
            <w:r w:rsidRPr="001213F7">
              <w:t>–0.16</w:t>
            </w:r>
          </w:p>
        </w:tc>
      </w:tr>
    </w:tbl>
    <w:p w14:paraId="291DBB75" w14:textId="77777777" w:rsidR="00900469" w:rsidRPr="001213F7" w:rsidRDefault="00900469">
      <w:pPr>
        <w:pStyle w:val="Note"/>
      </w:pPr>
      <w:r w:rsidRPr="001213F7">
        <w:t xml:space="preserve">Note: </w:t>
      </w:r>
    </w:p>
    <w:p w14:paraId="74AD39BD" w14:textId="77777777" w:rsidR="00900469" w:rsidRPr="001213F7" w:rsidRDefault="00900469">
      <w:pPr>
        <w:pStyle w:val="Note"/>
      </w:pPr>
      <w:r w:rsidRPr="001213F7">
        <w:t>(a)</w:t>
      </w:r>
      <w:r w:rsidRPr="001213F7">
        <w:tab/>
        <w:t>Figures may not add due to rounding.</w:t>
      </w:r>
    </w:p>
    <w:p w14:paraId="348CF761" w14:textId="77777777" w:rsidR="00900469" w:rsidRPr="001213F7" w:rsidRDefault="00900469">
      <w:pPr>
        <w:pStyle w:val="Heading1"/>
      </w:pPr>
      <w:bookmarkStart w:id="72" w:name="_Toc228294221"/>
      <w:bookmarkStart w:id="73" w:name="_Toc228545312"/>
      <w:r w:rsidRPr="001213F7">
        <w:t>Sensitivity to independent variations in major economic parameters</w:t>
      </w:r>
      <w:bookmarkEnd w:id="72"/>
      <w:bookmarkEnd w:id="73"/>
    </w:p>
    <w:p w14:paraId="1EFB177C" w14:textId="77777777" w:rsidR="00900469" w:rsidRPr="001213F7" w:rsidRDefault="00900469">
      <w:pPr>
        <w:keepLines w:val="0"/>
        <w:rPr>
          <w:color w:val="000000" w:themeColor="text1"/>
        </w:rPr>
      </w:pPr>
      <w:r w:rsidRPr="001213F7">
        <w:rPr>
          <w:color w:val="000000" w:themeColor="text1"/>
        </w:rPr>
        <w:t xml:space="preserve">Table 6.5 presents the sensitivity of financial aggregates where the levels of key economic parameters are 1 per cent (or, for interest rates, 1 percentage point) above the forecast for each year of the budget and forward estimates, holding all else constant. </w:t>
      </w:r>
    </w:p>
    <w:p w14:paraId="21C0C252" w14:textId="77777777" w:rsidR="00900469" w:rsidRPr="001213F7" w:rsidRDefault="00900469">
      <w:pPr>
        <w:keepLines w:val="0"/>
        <w:rPr>
          <w:color w:val="000000" w:themeColor="text1"/>
        </w:rPr>
      </w:pPr>
      <w:r w:rsidRPr="001213F7">
        <w:rPr>
          <w:color w:val="000000" w:themeColor="text1"/>
        </w:rPr>
        <w:t>The</w:t>
      </w:r>
      <w:r w:rsidRPr="001213F7" w:rsidDel="00257174">
        <w:rPr>
          <w:color w:val="000000" w:themeColor="text1"/>
        </w:rPr>
        <w:t xml:space="preserve"> </w:t>
      </w:r>
      <w:r w:rsidRPr="001213F7">
        <w:rPr>
          <w:color w:val="000000" w:themeColor="text1"/>
        </w:rPr>
        <w:t xml:space="preserve">effects shown are broadly symmetric; that is, the estimated fiscal impacts would apply approximately equally in the opposite direction where there is a decrease in the parameter. Differences may arise to the extent that the impact on income tax equivalent income may not be symmetric because that line item is subject to a floor of zero, and the impact on dividends may be affected by some entities facing caps on the share of profits that can be returned to the general government sector. </w:t>
      </w:r>
    </w:p>
    <w:p w14:paraId="7AEB8832" w14:textId="77777777" w:rsidR="00900469" w:rsidRPr="001213F7" w:rsidRDefault="00900469">
      <w:pPr>
        <w:keepLines w:val="0"/>
      </w:pPr>
    </w:p>
    <w:p w14:paraId="38D4E026" w14:textId="77777777" w:rsidR="00900469" w:rsidRPr="001213F7" w:rsidRDefault="00900469">
      <w:pPr>
        <w:keepLines w:val="0"/>
        <w:rPr>
          <w:rFonts w:asciiTheme="majorHAnsi" w:hAnsiTheme="majorHAnsi" w:cs="Times New Roman"/>
          <w:b/>
          <w:iCs/>
          <w:sz w:val="20"/>
          <w:szCs w:val="18"/>
        </w:rPr>
      </w:pPr>
      <w:r w:rsidRPr="001213F7">
        <w:br w:type="page"/>
      </w:r>
    </w:p>
    <w:p w14:paraId="59A7E08E" w14:textId="77777777" w:rsidR="00900469" w:rsidRPr="001213F7" w:rsidRDefault="00900469">
      <w:pPr>
        <w:pStyle w:val="TableHeading"/>
      </w:pPr>
      <w:r w:rsidRPr="001213F7">
        <w:lastRenderedPageBreak/>
        <w:t>Table 6.5:</w:t>
      </w:r>
      <w:r w:rsidRPr="001213F7">
        <w:tab/>
        <w:t xml:space="preserve">Sensitivity of key fiscal aggregates to selected indicators being </w:t>
      </w:r>
      <w:r w:rsidRPr="001213F7">
        <w:br/>
        <w:t>1 per cent higher than expected from 2026-27</w:t>
      </w:r>
      <w:r w:rsidRPr="001213F7">
        <w:rPr>
          <w:vertAlign w:val="superscript"/>
        </w:rPr>
        <w:t xml:space="preserve"> (a)(b)(c)(d)(e)</w:t>
      </w:r>
      <w:r w:rsidRPr="001213F7">
        <w:tab/>
        <w:t xml:space="preserve"> ($ million)</w:t>
      </w:r>
    </w:p>
    <w:tbl>
      <w:tblPr>
        <w:tblStyle w:val="DTFTable"/>
        <w:tblW w:w="7711" w:type="dxa"/>
        <w:tblLayout w:type="fixed"/>
        <w:tblLook w:val="06E0" w:firstRow="1" w:lastRow="1" w:firstColumn="1" w:lastColumn="0" w:noHBand="1" w:noVBand="1"/>
      </w:tblPr>
      <w:tblGrid>
        <w:gridCol w:w="4333"/>
        <w:gridCol w:w="844"/>
        <w:gridCol w:w="844"/>
        <w:gridCol w:w="845"/>
        <w:gridCol w:w="845"/>
      </w:tblGrid>
      <w:tr w:rsidR="00900469" w:rsidRPr="001213F7" w14:paraId="5121551D" w14:textId="77777777" w:rsidTr="002548E5">
        <w:trPr>
          <w:cnfStyle w:val="100000000000" w:firstRow="1" w:lastRow="0" w:firstColumn="0" w:lastColumn="0" w:oddVBand="0" w:evenVBand="0" w:oddHBand="0" w:evenHBand="0" w:firstRowFirstColumn="0" w:firstRowLastColumn="0" w:lastRowFirstColumn="0" w:lastRowLastColumn="0"/>
          <w:trHeight w:val="495"/>
          <w:tblHeader/>
        </w:trPr>
        <w:tc>
          <w:tcPr>
            <w:cnfStyle w:val="001000000000" w:firstRow="0" w:lastRow="0" w:firstColumn="1" w:lastColumn="0" w:oddVBand="0" w:evenVBand="0" w:oddHBand="0" w:evenHBand="0" w:firstRowFirstColumn="0" w:firstRowLastColumn="0" w:lastRowFirstColumn="0" w:lastRowLastColumn="0"/>
            <w:tcW w:w="4333" w:type="dxa"/>
          </w:tcPr>
          <w:p w14:paraId="185E7DC2" w14:textId="77777777" w:rsidR="00900469" w:rsidRPr="001213F7" w:rsidRDefault="00900469">
            <w:pPr>
              <w:autoSpaceDE w:val="0"/>
              <w:autoSpaceDN w:val="0"/>
              <w:adjustRightInd w:val="0"/>
              <w:rPr>
                <w:rFonts w:cstheme="majorHAnsi"/>
                <w:szCs w:val="17"/>
              </w:rPr>
            </w:pPr>
          </w:p>
        </w:tc>
        <w:tc>
          <w:tcPr>
            <w:tcW w:w="844" w:type="dxa"/>
            <w:hideMark/>
          </w:tcPr>
          <w:p w14:paraId="7C0B2A9A" w14:textId="77777777" w:rsidR="00900469" w:rsidRPr="001213F7" w:rsidRDefault="00900469">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theme="majorHAnsi"/>
                <w:iCs/>
                <w:szCs w:val="17"/>
                <w:lang w:eastAsia="en-AU"/>
              </w:rPr>
            </w:pPr>
            <w:r w:rsidRPr="001213F7">
              <w:rPr>
                <w:rFonts w:eastAsiaTheme="minorEastAsia" w:cs="Calibri"/>
                <w:iCs/>
                <w:szCs w:val="17"/>
                <w:lang w:eastAsia="en-AU"/>
              </w:rPr>
              <w:t>2026-27</w:t>
            </w:r>
            <w:r w:rsidRPr="001213F7">
              <w:rPr>
                <w:rFonts w:eastAsiaTheme="minorEastAsia" w:cstheme="majorHAnsi"/>
                <w:iCs/>
                <w:szCs w:val="17"/>
                <w:lang w:eastAsia="en-AU"/>
              </w:rPr>
              <w:br/>
            </w:r>
            <w:r w:rsidRPr="001213F7">
              <w:rPr>
                <w:rFonts w:eastAsiaTheme="minorEastAsia" w:cstheme="majorHAnsi"/>
                <w:szCs w:val="17"/>
                <w:lang w:eastAsia="en-AU"/>
              </w:rPr>
              <w:t>estimate</w:t>
            </w:r>
          </w:p>
        </w:tc>
        <w:tc>
          <w:tcPr>
            <w:tcW w:w="844" w:type="dxa"/>
            <w:hideMark/>
          </w:tcPr>
          <w:p w14:paraId="536E5FD0" w14:textId="77777777" w:rsidR="00900469" w:rsidRPr="001213F7" w:rsidRDefault="00900469">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theme="majorHAnsi"/>
                <w:iCs/>
                <w:szCs w:val="17"/>
                <w:lang w:eastAsia="en-AU"/>
              </w:rPr>
            </w:pPr>
            <w:r w:rsidRPr="001213F7">
              <w:rPr>
                <w:rFonts w:eastAsiaTheme="minorEastAsia" w:cs="Calibri"/>
                <w:iCs/>
                <w:szCs w:val="17"/>
                <w:lang w:eastAsia="en-AU"/>
              </w:rPr>
              <w:t>2027-28</w:t>
            </w:r>
            <w:r w:rsidRPr="001213F7">
              <w:rPr>
                <w:rFonts w:eastAsiaTheme="minorEastAsia" w:cstheme="majorHAnsi"/>
                <w:iCs/>
                <w:szCs w:val="17"/>
                <w:lang w:eastAsia="en-AU"/>
              </w:rPr>
              <w:br/>
            </w:r>
            <w:r w:rsidRPr="001213F7">
              <w:rPr>
                <w:rFonts w:eastAsiaTheme="minorEastAsia" w:cstheme="majorHAnsi"/>
                <w:szCs w:val="17"/>
                <w:lang w:eastAsia="en-AU"/>
              </w:rPr>
              <w:t>estimate</w:t>
            </w:r>
          </w:p>
        </w:tc>
        <w:tc>
          <w:tcPr>
            <w:tcW w:w="845" w:type="dxa"/>
            <w:hideMark/>
          </w:tcPr>
          <w:p w14:paraId="4C5E90CB" w14:textId="77777777" w:rsidR="00900469" w:rsidRPr="001213F7" w:rsidRDefault="00900469">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theme="majorHAnsi"/>
                <w:i w:val="0"/>
                <w:iCs/>
                <w:szCs w:val="17"/>
                <w:lang w:eastAsia="en-AU"/>
              </w:rPr>
            </w:pPr>
            <w:r w:rsidRPr="001213F7">
              <w:rPr>
                <w:rFonts w:eastAsiaTheme="minorEastAsia" w:cstheme="majorHAnsi"/>
                <w:iCs/>
                <w:szCs w:val="17"/>
                <w:lang w:eastAsia="en-AU"/>
              </w:rPr>
              <w:t>2028-29</w:t>
            </w:r>
          </w:p>
          <w:p w14:paraId="62E59A9A" w14:textId="77777777" w:rsidR="00900469" w:rsidRPr="001213F7" w:rsidRDefault="00900469">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theme="majorHAnsi"/>
                <w:iCs/>
                <w:szCs w:val="17"/>
                <w:lang w:eastAsia="en-AU"/>
              </w:rPr>
            </w:pPr>
            <w:r w:rsidRPr="001213F7">
              <w:rPr>
                <w:rFonts w:eastAsiaTheme="minorEastAsia" w:cstheme="majorHAnsi"/>
                <w:szCs w:val="17"/>
                <w:lang w:eastAsia="en-AU"/>
              </w:rPr>
              <w:t>estimate</w:t>
            </w:r>
          </w:p>
        </w:tc>
        <w:tc>
          <w:tcPr>
            <w:tcW w:w="845" w:type="dxa"/>
            <w:hideMark/>
          </w:tcPr>
          <w:p w14:paraId="1D690480" w14:textId="77777777" w:rsidR="00900469" w:rsidRPr="001213F7" w:rsidRDefault="00900469">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theme="majorHAnsi"/>
                <w:i w:val="0"/>
                <w:iCs/>
                <w:szCs w:val="17"/>
                <w:lang w:eastAsia="en-AU"/>
              </w:rPr>
            </w:pPr>
            <w:r w:rsidRPr="001213F7">
              <w:rPr>
                <w:rFonts w:eastAsiaTheme="minorEastAsia" w:cstheme="majorHAnsi"/>
                <w:iCs/>
                <w:szCs w:val="17"/>
                <w:lang w:eastAsia="en-AU"/>
              </w:rPr>
              <w:t>2029-30</w:t>
            </w:r>
          </w:p>
          <w:p w14:paraId="60DE7452" w14:textId="77777777" w:rsidR="00900469" w:rsidRPr="001213F7" w:rsidRDefault="00900469">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theme="majorHAnsi"/>
                <w:iCs/>
                <w:szCs w:val="17"/>
                <w:lang w:eastAsia="en-AU"/>
              </w:rPr>
            </w:pPr>
            <w:r w:rsidRPr="001213F7">
              <w:rPr>
                <w:rFonts w:eastAsiaTheme="minorEastAsia" w:cstheme="majorHAnsi"/>
                <w:szCs w:val="17"/>
                <w:lang w:eastAsia="en-AU"/>
              </w:rPr>
              <w:t>estimate</w:t>
            </w:r>
          </w:p>
        </w:tc>
      </w:tr>
      <w:tr w:rsidR="00900469" w:rsidRPr="001213F7" w14:paraId="2F81F2C6" w14:textId="77777777">
        <w:tc>
          <w:tcPr>
            <w:cnfStyle w:val="001000000000" w:firstRow="0" w:lastRow="0" w:firstColumn="1" w:lastColumn="0" w:oddVBand="0" w:evenVBand="0" w:oddHBand="0" w:evenHBand="0" w:firstRowFirstColumn="0" w:firstRowLastColumn="0" w:lastRowFirstColumn="0" w:lastRowLastColumn="0"/>
            <w:tcW w:w="4333" w:type="dxa"/>
            <w:vAlign w:val="bottom"/>
            <w:hideMark/>
          </w:tcPr>
          <w:p w14:paraId="06CB25E3" w14:textId="77777777" w:rsidR="00900469" w:rsidRPr="001213F7" w:rsidRDefault="00900469">
            <w:pPr>
              <w:autoSpaceDE w:val="0"/>
              <w:autoSpaceDN w:val="0"/>
              <w:adjustRightInd w:val="0"/>
              <w:rPr>
                <w:rFonts w:eastAsiaTheme="minorEastAsia" w:cstheme="majorHAnsi"/>
                <w:b/>
                <w:szCs w:val="17"/>
                <w:lang w:eastAsia="en-AU"/>
              </w:rPr>
            </w:pPr>
            <w:r w:rsidRPr="001213F7">
              <w:rPr>
                <w:rFonts w:eastAsiaTheme="minorEastAsia" w:cstheme="majorHAnsi"/>
                <w:b/>
                <w:szCs w:val="17"/>
                <w:lang w:eastAsia="en-AU"/>
              </w:rPr>
              <w:t>GSP</w:t>
            </w:r>
          </w:p>
        </w:tc>
        <w:tc>
          <w:tcPr>
            <w:tcW w:w="844" w:type="dxa"/>
            <w:vAlign w:val="bottom"/>
          </w:tcPr>
          <w:p w14:paraId="3A791B9B" w14:textId="77777777" w:rsidR="00900469" w:rsidRPr="001213F7" w:rsidRDefault="0090046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szCs w:val="17"/>
                <w:lang w:eastAsia="en-AU"/>
              </w:rPr>
            </w:pPr>
          </w:p>
        </w:tc>
        <w:tc>
          <w:tcPr>
            <w:tcW w:w="844" w:type="dxa"/>
            <w:vAlign w:val="bottom"/>
          </w:tcPr>
          <w:p w14:paraId="5324CE3E" w14:textId="77777777" w:rsidR="00900469" w:rsidRPr="001213F7" w:rsidRDefault="0090046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szCs w:val="17"/>
                <w:lang w:eastAsia="en-AU"/>
              </w:rPr>
            </w:pPr>
          </w:p>
        </w:tc>
        <w:tc>
          <w:tcPr>
            <w:tcW w:w="845" w:type="dxa"/>
            <w:vAlign w:val="bottom"/>
          </w:tcPr>
          <w:p w14:paraId="4608FE8F" w14:textId="77777777" w:rsidR="00900469" w:rsidRPr="001213F7" w:rsidRDefault="0090046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szCs w:val="17"/>
                <w:lang w:eastAsia="en-AU"/>
              </w:rPr>
            </w:pPr>
          </w:p>
        </w:tc>
        <w:tc>
          <w:tcPr>
            <w:tcW w:w="845" w:type="dxa"/>
            <w:vAlign w:val="bottom"/>
          </w:tcPr>
          <w:p w14:paraId="621A8C37" w14:textId="77777777" w:rsidR="00900469" w:rsidRPr="001213F7" w:rsidRDefault="0090046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szCs w:val="17"/>
                <w:lang w:eastAsia="en-AU"/>
              </w:rPr>
            </w:pPr>
          </w:p>
        </w:tc>
      </w:tr>
      <w:tr w:rsidR="00900469" w:rsidRPr="001213F7" w14:paraId="2E95F598" w14:textId="77777777">
        <w:tc>
          <w:tcPr>
            <w:cnfStyle w:val="001000000000" w:firstRow="0" w:lastRow="0" w:firstColumn="1" w:lastColumn="0" w:oddVBand="0" w:evenVBand="0" w:oddHBand="0" w:evenHBand="0" w:firstRowFirstColumn="0" w:firstRowLastColumn="0" w:lastRowFirstColumn="0" w:lastRowLastColumn="0"/>
            <w:tcW w:w="4333" w:type="dxa"/>
            <w:vAlign w:val="bottom"/>
            <w:hideMark/>
          </w:tcPr>
          <w:p w14:paraId="274B52C6" w14:textId="77777777" w:rsidR="00900469" w:rsidRPr="001213F7" w:rsidRDefault="00900469">
            <w:pPr>
              <w:autoSpaceDE w:val="0"/>
              <w:autoSpaceDN w:val="0"/>
              <w:adjustRightInd w:val="0"/>
              <w:rPr>
                <w:rFonts w:eastAsiaTheme="minorEastAsia" w:cstheme="majorHAnsi"/>
                <w:szCs w:val="17"/>
                <w:lang w:eastAsia="en-AU"/>
              </w:rPr>
            </w:pPr>
            <w:r w:rsidRPr="001213F7">
              <w:rPr>
                <w:rFonts w:eastAsiaTheme="minorEastAsia" w:cstheme="majorHAnsi"/>
                <w:szCs w:val="17"/>
                <w:lang w:eastAsia="en-AU"/>
              </w:rPr>
              <w:t>Income from transactions</w:t>
            </w:r>
          </w:p>
        </w:tc>
        <w:tc>
          <w:tcPr>
            <w:tcW w:w="844" w:type="dxa"/>
            <w:tcBorders>
              <w:top w:val="nil"/>
              <w:left w:val="nil"/>
              <w:bottom w:val="nil"/>
              <w:right w:val="nil"/>
            </w:tcBorders>
            <w:shd w:val="clear" w:color="000000" w:fill="FFFFFF"/>
          </w:tcPr>
          <w:p w14:paraId="0FB33C4A" w14:textId="77777777" w:rsidR="00900469" w:rsidRPr="001213F7" w:rsidRDefault="00900469">
            <w:pPr>
              <w:cnfStyle w:val="000000000000" w:firstRow="0" w:lastRow="0" w:firstColumn="0" w:lastColumn="0" w:oddVBand="0" w:evenVBand="0" w:oddHBand="0" w:evenHBand="0" w:firstRowFirstColumn="0" w:firstRowLastColumn="0" w:lastRowFirstColumn="0" w:lastRowLastColumn="0"/>
              <w:rPr>
                <w:rFonts w:cstheme="majorHAnsi"/>
                <w:szCs w:val="17"/>
              </w:rPr>
            </w:pPr>
            <w:r w:rsidRPr="001213F7">
              <w:t>195</w:t>
            </w:r>
          </w:p>
        </w:tc>
        <w:tc>
          <w:tcPr>
            <w:tcW w:w="844" w:type="dxa"/>
            <w:tcBorders>
              <w:top w:val="nil"/>
              <w:left w:val="nil"/>
              <w:bottom w:val="nil"/>
              <w:right w:val="nil"/>
            </w:tcBorders>
            <w:shd w:val="clear" w:color="000000" w:fill="FFFFFF"/>
          </w:tcPr>
          <w:p w14:paraId="6A1CABDC" w14:textId="77777777" w:rsidR="00900469" w:rsidRPr="001213F7" w:rsidRDefault="00900469">
            <w:pPr>
              <w:cnfStyle w:val="000000000000" w:firstRow="0" w:lastRow="0" w:firstColumn="0" w:lastColumn="0" w:oddVBand="0" w:evenVBand="0" w:oddHBand="0" w:evenHBand="0" w:firstRowFirstColumn="0" w:firstRowLastColumn="0" w:lastRowFirstColumn="0" w:lastRowLastColumn="0"/>
              <w:rPr>
                <w:rFonts w:cstheme="majorHAnsi"/>
                <w:szCs w:val="17"/>
              </w:rPr>
            </w:pPr>
            <w:r w:rsidRPr="001213F7">
              <w:t>193</w:t>
            </w:r>
          </w:p>
        </w:tc>
        <w:tc>
          <w:tcPr>
            <w:tcW w:w="845" w:type="dxa"/>
            <w:tcBorders>
              <w:top w:val="nil"/>
              <w:left w:val="nil"/>
              <w:bottom w:val="nil"/>
              <w:right w:val="nil"/>
            </w:tcBorders>
            <w:shd w:val="clear" w:color="000000" w:fill="FFFFFF"/>
          </w:tcPr>
          <w:p w14:paraId="68FA13FA" w14:textId="77777777" w:rsidR="00900469" w:rsidRPr="001213F7" w:rsidRDefault="00900469">
            <w:pPr>
              <w:cnfStyle w:val="000000000000" w:firstRow="0" w:lastRow="0" w:firstColumn="0" w:lastColumn="0" w:oddVBand="0" w:evenVBand="0" w:oddHBand="0" w:evenHBand="0" w:firstRowFirstColumn="0" w:firstRowLastColumn="0" w:lastRowFirstColumn="0" w:lastRowLastColumn="0"/>
              <w:rPr>
                <w:rFonts w:cstheme="majorHAnsi"/>
                <w:szCs w:val="17"/>
              </w:rPr>
            </w:pPr>
            <w:r w:rsidRPr="001213F7">
              <w:t>191</w:t>
            </w:r>
          </w:p>
        </w:tc>
        <w:tc>
          <w:tcPr>
            <w:tcW w:w="845" w:type="dxa"/>
            <w:tcBorders>
              <w:top w:val="nil"/>
              <w:left w:val="nil"/>
              <w:bottom w:val="nil"/>
              <w:right w:val="nil"/>
            </w:tcBorders>
            <w:shd w:val="clear" w:color="000000" w:fill="FFFFFF"/>
          </w:tcPr>
          <w:p w14:paraId="5CDD3DBA" w14:textId="77777777" w:rsidR="00900469" w:rsidRPr="001213F7" w:rsidRDefault="00900469">
            <w:pPr>
              <w:cnfStyle w:val="000000000000" w:firstRow="0" w:lastRow="0" w:firstColumn="0" w:lastColumn="0" w:oddVBand="0" w:evenVBand="0" w:oddHBand="0" w:evenHBand="0" w:firstRowFirstColumn="0" w:firstRowLastColumn="0" w:lastRowFirstColumn="0" w:lastRowLastColumn="0"/>
              <w:rPr>
                <w:rFonts w:cstheme="majorHAnsi"/>
                <w:szCs w:val="17"/>
              </w:rPr>
            </w:pPr>
            <w:r w:rsidRPr="001213F7">
              <w:t>198</w:t>
            </w:r>
          </w:p>
        </w:tc>
      </w:tr>
      <w:tr w:rsidR="00900469" w:rsidRPr="001213F7" w14:paraId="61B89C30" w14:textId="77777777">
        <w:tc>
          <w:tcPr>
            <w:cnfStyle w:val="001000000000" w:firstRow="0" w:lastRow="0" w:firstColumn="1" w:lastColumn="0" w:oddVBand="0" w:evenVBand="0" w:oddHBand="0" w:evenHBand="0" w:firstRowFirstColumn="0" w:firstRowLastColumn="0" w:lastRowFirstColumn="0" w:lastRowLastColumn="0"/>
            <w:tcW w:w="4333" w:type="dxa"/>
            <w:tcBorders>
              <w:bottom w:val="single" w:sz="4" w:space="0" w:color="auto"/>
            </w:tcBorders>
            <w:vAlign w:val="bottom"/>
            <w:hideMark/>
          </w:tcPr>
          <w:p w14:paraId="49FB86B5" w14:textId="77777777" w:rsidR="00900469" w:rsidRPr="001213F7" w:rsidRDefault="00900469">
            <w:pPr>
              <w:autoSpaceDE w:val="0"/>
              <w:autoSpaceDN w:val="0"/>
              <w:adjustRightInd w:val="0"/>
              <w:rPr>
                <w:rFonts w:eastAsiaTheme="minorEastAsia" w:cstheme="majorHAnsi"/>
                <w:szCs w:val="17"/>
                <w:lang w:eastAsia="en-AU"/>
              </w:rPr>
            </w:pPr>
            <w:r w:rsidRPr="001213F7">
              <w:rPr>
                <w:rFonts w:eastAsiaTheme="minorEastAsia" w:cstheme="majorHAnsi"/>
                <w:szCs w:val="17"/>
                <w:lang w:eastAsia="en-AU"/>
              </w:rPr>
              <w:t>Expenses from transactions</w:t>
            </w:r>
          </w:p>
        </w:tc>
        <w:tc>
          <w:tcPr>
            <w:tcW w:w="844" w:type="dxa"/>
            <w:tcBorders>
              <w:top w:val="nil"/>
              <w:left w:val="nil"/>
              <w:bottom w:val="single" w:sz="4" w:space="0" w:color="auto"/>
              <w:right w:val="nil"/>
            </w:tcBorders>
            <w:shd w:val="clear" w:color="000000" w:fill="FFFFFF"/>
          </w:tcPr>
          <w:p w14:paraId="516BBA53" w14:textId="77777777" w:rsidR="00900469" w:rsidRPr="001213F7" w:rsidRDefault="00900469">
            <w:pPr>
              <w:cnfStyle w:val="000000000000" w:firstRow="0" w:lastRow="0" w:firstColumn="0" w:lastColumn="0" w:oddVBand="0" w:evenVBand="0" w:oddHBand="0" w:evenHBand="0" w:firstRowFirstColumn="0" w:firstRowLastColumn="0" w:lastRowFirstColumn="0" w:lastRowLastColumn="0"/>
              <w:rPr>
                <w:rFonts w:cstheme="majorHAnsi"/>
                <w:szCs w:val="17"/>
              </w:rPr>
            </w:pPr>
            <w:r w:rsidRPr="001213F7">
              <w:t>(0)</w:t>
            </w:r>
          </w:p>
        </w:tc>
        <w:tc>
          <w:tcPr>
            <w:tcW w:w="844" w:type="dxa"/>
            <w:tcBorders>
              <w:top w:val="nil"/>
              <w:left w:val="nil"/>
              <w:bottom w:val="single" w:sz="4" w:space="0" w:color="auto"/>
              <w:right w:val="nil"/>
            </w:tcBorders>
            <w:shd w:val="clear" w:color="000000" w:fill="FFFFFF"/>
          </w:tcPr>
          <w:p w14:paraId="2CD7E390" w14:textId="77777777" w:rsidR="00900469" w:rsidRPr="001213F7" w:rsidRDefault="00900469">
            <w:pPr>
              <w:cnfStyle w:val="000000000000" w:firstRow="0" w:lastRow="0" w:firstColumn="0" w:lastColumn="0" w:oddVBand="0" w:evenVBand="0" w:oddHBand="0" w:evenHBand="0" w:firstRowFirstColumn="0" w:firstRowLastColumn="0" w:lastRowFirstColumn="0" w:lastRowLastColumn="0"/>
              <w:rPr>
                <w:rFonts w:cstheme="majorHAnsi"/>
                <w:szCs w:val="17"/>
              </w:rPr>
            </w:pPr>
            <w:r w:rsidRPr="001213F7">
              <w:t>(11</w:t>
            </w:r>
            <w:r w:rsidRPr="001213F7" w:rsidDel="00F1780B">
              <w:t>)</w:t>
            </w:r>
          </w:p>
        </w:tc>
        <w:tc>
          <w:tcPr>
            <w:tcW w:w="845" w:type="dxa"/>
            <w:tcBorders>
              <w:top w:val="nil"/>
              <w:left w:val="nil"/>
              <w:bottom w:val="single" w:sz="4" w:space="0" w:color="auto"/>
              <w:right w:val="nil"/>
            </w:tcBorders>
            <w:shd w:val="clear" w:color="000000" w:fill="FFFFFF"/>
          </w:tcPr>
          <w:p w14:paraId="7141C3E1" w14:textId="77777777" w:rsidR="00900469" w:rsidRPr="001213F7" w:rsidRDefault="00900469">
            <w:pPr>
              <w:cnfStyle w:val="000000000000" w:firstRow="0" w:lastRow="0" w:firstColumn="0" w:lastColumn="0" w:oddVBand="0" w:evenVBand="0" w:oddHBand="0" w:evenHBand="0" w:firstRowFirstColumn="0" w:firstRowLastColumn="0" w:lastRowFirstColumn="0" w:lastRowLastColumn="0"/>
              <w:rPr>
                <w:rFonts w:cstheme="majorHAnsi"/>
                <w:szCs w:val="17"/>
              </w:rPr>
            </w:pPr>
            <w:r w:rsidRPr="001213F7">
              <w:t>(21</w:t>
            </w:r>
            <w:r w:rsidRPr="001213F7" w:rsidDel="00F1780B">
              <w:t>)</w:t>
            </w:r>
          </w:p>
        </w:tc>
        <w:tc>
          <w:tcPr>
            <w:tcW w:w="845" w:type="dxa"/>
            <w:tcBorders>
              <w:top w:val="nil"/>
              <w:left w:val="nil"/>
              <w:bottom w:val="single" w:sz="4" w:space="0" w:color="auto"/>
              <w:right w:val="nil"/>
            </w:tcBorders>
            <w:shd w:val="clear" w:color="000000" w:fill="FFFFFF"/>
          </w:tcPr>
          <w:p w14:paraId="03049444" w14:textId="77777777" w:rsidR="00900469" w:rsidRPr="001213F7" w:rsidRDefault="00900469">
            <w:pPr>
              <w:cnfStyle w:val="000000000000" w:firstRow="0" w:lastRow="0" w:firstColumn="0" w:lastColumn="0" w:oddVBand="0" w:evenVBand="0" w:oddHBand="0" w:evenHBand="0" w:firstRowFirstColumn="0" w:firstRowLastColumn="0" w:lastRowFirstColumn="0" w:lastRowLastColumn="0"/>
              <w:rPr>
                <w:rFonts w:cstheme="majorHAnsi"/>
                <w:szCs w:val="17"/>
              </w:rPr>
            </w:pPr>
            <w:r w:rsidRPr="001213F7">
              <w:t>(33</w:t>
            </w:r>
            <w:r w:rsidRPr="001213F7" w:rsidDel="00F1780B">
              <w:t>)</w:t>
            </w:r>
          </w:p>
        </w:tc>
      </w:tr>
      <w:tr w:rsidR="00900469" w:rsidRPr="001213F7" w14:paraId="0BC1FEBE" w14:textId="77777777">
        <w:tc>
          <w:tcPr>
            <w:cnfStyle w:val="001000000000" w:firstRow="0" w:lastRow="0" w:firstColumn="1" w:lastColumn="0" w:oddVBand="0" w:evenVBand="0" w:oddHBand="0" w:evenHBand="0" w:firstRowFirstColumn="0" w:firstRowLastColumn="0" w:lastRowFirstColumn="0" w:lastRowLastColumn="0"/>
            <w:tcW w:w="4333" w:type="dxa"/>
            <w:tcBorders>
              <w:top w:val="single" w:sz="4" w:space="0" w:color="auto"/>
              <w:bottom w:val="nil"/>
            </w:tcBorders>
            <w:vAlign w:val="bottom"/>
            <w:hideMark/>
          </w:tcPr>
          <w:p w14:paraId="024CD315" w14:textId="77777777" w:rsidR="00900469" w:rsidRPr="001213F7" w:rsidRDefault="00900469">
            <w:pPr>
              <w:autoSpaceDE w:val="0"/>
              <w:autoSpaceDN w:val="0"/>
              <w:adjustRightInd w:val="0"/>
              <w:rPr>
                <w:rFonts w:eastAsiaTheme="minorEastAsia" w:cstheme="majorHAnsi"/>
                <w:b/>
                <w:szCs w:val="17"/>
                <w:lang w:eastAsia="en-AU"/>
              </w:rPr>
            </w:pPr>
            <w:r w:rsidRPr="001213F7">
              <w:rPr>
                <w:rFonts w:eastAsiaTheme="minorEastAsia" w:cstheme="majorHAnsi"/>
                <w:b/>
                <w:szCs w:val="17"/>
                <w:lang w:eastAsia="en-AU"/>
              </w:rPr>
              <w:t>Net result from transactions</w:t>
            </w:r>
          </w:p>
        </w:tc>
        <w:tc>
          <w:tcPr>
            <w:tcW w:w="844" w:type="dxa"/>
            <w:tcBorders>
              <w:top w:val="single" w:sz="4" w:space="0" w:color="auto"/>
              <w:left w:val="nil"/>
              <w:bottom w:val="nil"/>
              <w:right w:val="nil"/>
            </w:tcBorders>
            <w:shd w:val="clear" w:color="000000" w:fill="FFFFFF"/>
          </w:tcPr>
          <w:p w14:paraId="584A777D" w14:textId="77777777" w:rsidR="00900469" w:rsidRPr="001213F7" w:rsidRDefault="00900469">
            <w:pPr>
              <w:cnfStyle w:val="000000000000" w:firstRow="0" w:lastRow="0" w:firstColumn="0" w:lastColumn="0" w:oddVBand="0" w:evenVBand="0" w:oddHBand="0" w:evenHBand="0" w:firstRowFirstColumn="0" w:firstRowLastColumn="0" w:lastRowFirstColumn="0" w:lastRowLastColumn="0"/>
              <w:rPr>
                <w:rFonts w:cstheme="majorHAnsi"/>
                <w:b/>
                <w:szCs w:val="17"/>
              </w:rPr>
            </w:pPr>
            <w:r w:rsidRPr="001213F7">
              <w:rPr>
                <w:b/>
              </w:rPr>
              <w:t>195</w:t>
            </w:r>
          </w:p>
        </w:tc>
        <w:tc>
          <w:tcPr>
            <w:tcW w:w="844" w:type="dxa"/>
            <w:tcBorders>
              <w:top w:val="single" w:sz="4" w:space="0" w:color="auto"/>
              <w:left w:val="nil"/>
              <w:bottom w:val="nil"/>
              <w:right w:val="nil"/>
            </w:tcBorders>
            <w:shd w:val="clear" w:color="000000" w:fill="FFFFFF"/>
          </w:tcPr>
          <w:p w14:paraId="3BD6CC5B" w14:textId="77777777" w:rsidR="00900469" w:rsidRPr="001213F7" w:rsidRDefault="00900469">
            <w:pPr>
              <w:cnfStyle w:val="000000000000" w:firstRow="0" w:lastRow="0" w:firstColumn="0" w:lastColumn="0" w:oddVBand="0" w:evenVBand="0" w:oddHBand="0" w:evenHBand="0" w:firstRowFirstColumn="0" w:firstRowLastColumn="0" w:lastRowFirstColumn="0" w:lastRowLastColumn="0"/>
              <w:rPr>
                <w:rFonts w:cstheme="majorHAnsi"/>
                <w:b/>
                <w:szCs w:val="17"/>
              </w:rPr>
            </w:pPr>
            <w:r w:rsidRPr="001213F7">
              <w:rPr>
                <w:b/>
              </w:rPr>
              <w:t>203</w:t>
            </w:r>
          </w:p>
        </w:tc>
        <w:tc>
          <w:tcPr>
            <w:tcW w:w="845" w:type="dxa"/>
            <w:tcBorders>
              <w:top w:val="single" w:sz="4" w:space="0" w:color="auto"/>
              <w:left w:val="nil"/>
              <w:bottom w:val="nil"/>
              <w:right w:val="nil"/>
            </w:tcBorders>
            <w:shd w:val="clear" w:color="000000" w:fill="FFFFFF"/>
          </w:tcPr>
          <w:p w14:paraId="3A6A96A7" w14:textId="77777777" w:rsidR="00900469" w:rsidRPr="001213F7" w:rsidRDefault="00900469">
            <w:pPr>
              <w:cnfStyle w:val="000000000000" w:firstRow="0" w:lastRow="0" w:firstColumn="0" w:lastColumn="0" w:oddVBand="0" w:evenVBand="0" w:oddHBand="0" w:evenHBand="0" w:firstRowFirstColumn="0" w:firstRowLastColumn="0" w:lastRowFirstColumn="0" w:lastRowLastColumn="0"/>
              <w:rPr>
                <w:rFonts w:cstheme="majorHAnsi"/>
                <w:b/>
                <w:szCs w:val="17"/>
              </w:rPr>
            </w:pPr>
            <w:r w:rsidRPr="001213F7">
              <w:rPr>
                <w:b/>
              </w:rPr>
              <w:t>212</w:t>
            </w:r>
          </w:p>
        </w:tc>
        <w:tc>
          <w:tcPr>
            <w:tcW w:w="845" w:type="dxa"/>
            <w:tcBorders>
              <w:top w:val="single" w:sz="4" w:space="0" w:color="auto"/>
              <w:left w:val="nil"/>
              <w:bottom w:val="nil"/>
              <w:right w:val="nil"/>
            </w:tcBorders>
            <w:shd w:val="clear" w:color="000000" w:fill="FFFFFF"/>
          </w:tcPr>
          <w:p w14:paraId="2622451C" w14:textId="77777777" w:rsidR="00900469" w:rsidRPr="001213F7" w:rsidRDefault="00900469">
            <w:pPr>
              <w:cnfStyle w:val="000000000000" w:firstRow="0" w:lastRow="0" w:firstColumn="0" w:lastColumn="0" w:oddVBand="0" w:evenVBand="0" w:oddHBand="0" w:evenHBand="0" w:firstRowFirstColumn="0" w:firstRowLastColumn="0" w:lastRowFirstColumn="0" w:lastRowLastColumn="0"/>
              <w:rPr>
                <w:rFonts w:cstheme="majorHAnsi"/>
                <w:b/>
                <w:szCs w:val="17"/>
              </w:rPr>
            </w:pPr>
            <w:r w:rsidRPr="001213F7">
              <w:rPr>
                <w:b/>
              </w:rPr>
              <w:t>231</w:t>
            </w:r>
          </w:p>
        </w:tc>
      </w:tr>
      <w:tr w:rsidR="00900469" w:rsidRPr="001213F7" w14:paraId="432A0F23" w14:textId="77777777">
        <w:tc>
          <w:tcPr>
            <w:cnfStyle w:val="001000000000" w:firstRow="0" w:lastRow="0" w:firstColumn="1" w:lastColumn="0" w:oddVBand="0" w:evenVBand="0" w:oddHBand="0" w:evenHBand="0" w:firstRowFirstColumn="0" w:firstRowLastColumn="0" w:lastRowFirstColumn="0" w:lastRowLastColumn="0"/>
            <w:tcW w:w="4333" w:type="dxa"/>
            <w:tcBorders>
              <w:bottom w:val="single" w:sz="4" w:space="0" w:color="auto"/>
            </w:tcBorders>
            <w:vAlign w:val="bottom"/>
            <w:hideMark/>
          </w:tcPr>
          <w:p w14:paraId="2C568203" w14:textId="77777777" w:rsidR="00900469" w:rsidRPr="001213F7" w:rsidRDefault="00900469">
            <w:pPr>
              <w:autoSpaceDE w:val="0"/>
              <w:autoSpaceDN w:val="0"/>
              <w:adjustRightInd w:val="0"/>
              <w:rPr>
                <w:rFonts w:eastAsiaTheme="minorEastAsia" w:cstheme="majorHAnsi"/>
                <w:b/>
                <w:szCs w:val="17"/>
                <w:lang w:eastAsia="en-AU"/>
              </w:rPr>
            </w:pPr>
            <w:r w:rsidRPr="001213F7">
              <w:rPr>
                <w:rFonts w:eastAsiaTheme="minorEastAsia" w:cstheme="majorHAnsi"/>
                <w:b/>
                <w:szCs w:val="17"/>
                <w:lang w:eastAsia="en-AU"/>
              </w:rPr>
              <w:t>Net debt</w:t>
            </w:r>
          </w:p>
        </w:tc>
        <w:tc>
          <w:tcPr>
            <w:tcW w:w="844" w:type="dxa"/>
            <w:tcBorders>
              <w:top w:val="nil"/>
              <w:left w:val="nil"/>
              <w:bottom w:val="single" w:sz="4" w:space="0" w:color="auto"/>
              <w:right w:val="nil"/>
            </w:tcBorders>
            <w:shd w:val="clear" w:color="000000" w:fill="FFFFFF"/>
          </w:tcPr>
          <w:p w14:paraId="0DC66F68" w14:textId="77777777" w:rsidR="00900469" w:rsidRPr="001213F7" w:rsidRDefault="00900469">
            <w:pPr>
              <w:cnfStyle w:val="000000000000" w:firstRow="0" w:lastRow="0" w:firstColumn="0" w:lastColumn="0" w:oddVBand="0" w:evenVBand="0" w:oddHBand="0" w:evenHBand="0" w:firstRowFirstColumn="0" w:firstRowLastColumn="0" w:lastRowFirstColumn="0" w:lastRowLastColumn="0"/>
              <w:rPr>
                <w:rFonts w:cstheme="majorHAnsi"/>
                <w:b/>
                <w:szCs w:val="17"/>
              </w:rPr>
            </w:pPr>
            <w:r w:rsidRPr="001213F7">
              <w:rPr>
                <w:b/>
              </w:rPr>
              <w:t>(195</w:t>
            </w:r>
            <w:r w:rsidRPr="001213F7" w:rsidDel="00F1780B">
              <w:rPr>
                <w:b/>
              </w:rPr>
              <w:t>)</w:t>
            </w:r>
          </w:p>
        </w:tc>
        <w:tc>
          <w:tcPr>
            <w:tcW w:w="844" w:type="dxa"/>
            <w:tcBorders>
              <w:top w:val="nil"/>
              <w:left w:val="nil"/>
              <w:bottom w:val="single" w:sz="4" w:space="0" w:color="auto"/>
              <w:right w:val="nil"/>
            </w:tcBorders>
            <w:shd w:val="clear" w:color="000000" w:fill="FFFFFF"/>
          </w:tcPr>
          <w:p w14:paraId="10AC92BF" w14:textId="77777777" w:rsidR="00900469" w:rsidRPr="001213F7" w:rsidRDefault="00900469">
            <w:pPr>
              <w:cnfStyle w:val="000000000000" w:firstRow="0" w:lastRow="0" w:firstColumn="0" w:lastColumn="0" w:oddVBand="0" w:evenVBand="0" w:oddHBand="0" w:evenHBand="0" w:firstRowFirstColumn="0" w:firstRowLastColumn="0" w:lastRowFirstColumn="0" w:lastRowLastColumn="0"/>
              <w:rPr>
                <w:rFonts w:cstheme="majorHAnsi"/>
                <w:b/>
                <w:szCs w:val="17"/>
              </w:rPr>
            </w:pPr>
            <w:r w:rsidRPr="001213F7">
              <w:rPr>
                <w:b/>
              </w:rPr>
              <w:t>(398</w:t>
            </w:r>
            <w:r w:rsidRPr="001213F7" w:rsidDel="00F1780B">
              <w:rPr>
                <w:b/>
              </w:rPr>
              <w:t>)</w:t>
            </w:r>
          </w:p>
        </w:tc>
        <w:tc>
          <w:tcPr>
            <w:tcW w:w="845" w:type="dxa"/>
            <w:tcBorders>
              <w:top w:val="nil"/>
              <w:left w:val="nil"/>
              <w:bottom w:val="single" w:sz="4" w:space="0" w:color="auto"/>
              <w:right w:val="nil"/>
            </w:tcBorders>
            <w:shd w:val="clear" w:color="000000" w:fill="FFFFFF"/>
          </w:tcPr>
          <w:p w14:paraId="47865213" w14:textId="77777777" w:rsidR="00900469" w:rsidRPr="001213F7" w:rsidRDefault="00900469">
            <w:pPr>
              <w:cnfStyle w:val="000000000000" w:firstRow="0" w:lastRow="0" w:firstColumn="0" w:lastColumn="0" w:oddVBand="0" w:evenVBand="0" w:oddHBand="0" w:evenHBand="0" w:firstRowFirstColumn="0" w:firstRowLastColumn="0" w:lastRowFirstColumn="0" w:lastRowLastColumn="0"/>
              <w:rPr>
                <w:rFonts w:cstheme="majorHAnsi"/>
                <w:b/>
                <w:szCs w:val="17"/>
              </w:rPr>
            </w:pPr>
            <w:r w:rsidRPr="001213F7">
              <w:rPr>
                <w:b/>
              </w:rPr>
              <w:t>(610</w:t>
            </w:r>
            <w:r w:rsidRPr="001213F7" w:rsidDel="00F1780B">
              <w:rPr>
                <w:b/>
              </w:rPr>
              <w:t>)</w:t>
            </w:r>
          </w:p>
        </w:tc>
        <w:tc>
          <w:tcPr>
            <w:tcW w:w="845" w:type="dxa"/>
            <w:tcBorders>
              <w:top w:val="nil"/>
              <w:left w:val="nil"/>
              <w:bottom w:val="single" w:sz="4" w:space="0" w:color="auto"/>
              <w:right w:val="nil"/>
            </w:tcBorders>
            <w:shd w:val="clear" w:color="000000" w:fill="FFFFFF"/>
          </w:tcPr>
          <w:p w14:paraId="07076E95" w14:textId="77777777" w:rsidR="00900469" w:rsidRPr="001213F7" w:rsidRDefault="00900469">
            <w:pPr>
              <w:cnfStyle w:val="000000000000" w:firstRow="0" w:lastRow="0" w:firstColumn="0" w:lastColumn="0" w:oddVBand="0" w:evenVBand="0" w:oddHBand="0" w:evenHBand="0" w:firstRowFirstColumn="0" w:firstRowLastColumn="0" w:lastRowFirstColumn="0" w:lastRowLastColumn="0"/>
              <w:rPr>
                <w:rFonts w:cstheme="majorHAnsi"/>
                <w:b/>
                <w:szCs w:val="17"/>
              </w:rPr>
            </w:pPr>
            <w:r w:rsidRPr="001213F7">
              <w:rPr>
                <w:b/>
              </w:rPr>
              <w:t>(841</w:t>
            </w:r>
            <w:r w:rsidRPr="001213F7" w:rsidDel="00F1780B">
              <w:rPr>
                <w:b/>
              </w:rPr>
              <w:t>)</w:t>
            </w:r>
          </w:p>
        </w:tc>
      </w:tr>
      <w:tr w:rsidR="00900469" w:rsidRPr="001213F7" w14:paraId="1F796087" w14:textId="77777777">
        <w:tc>
          <w:tcPr>
            <w:cnfStyle w:val="001000000000" w:firstRow="0" w:lastRow="0" w:firstColumn="1" w:lastColumn="0" w:oddVBand="0" w:evenVBand="0" w:oddHBand="0" w:evenHBand="0" w:firstRowFirstColumn="0" w:firstRowLastColumn="0" w:lastRowFirstColumn="0" w:lastRowLastColumn="0"/>
            <w:tcW w:w="4333" w:type="dxa"/>
            <w:tcBorders>
              <w:top w:val="single" w:sz="4" w:space="0" w:color="auto"/>
            </w:tcBorders>
            <w:vAlign w:val="bottom"/>
            <w:hideMark/>
          </w:tcPr>
          <w:p w14:paraId="3F9396B8" w14:textId="77777777" w:rsidR="00900469" w:rsidRPr="001213F7" w:rsidRDefault="00900469">
            <w:pPr>
              <w:autoSpaceDE w:val="0"/>
              <w:autoSpaceDN w:val="0"/>
              <w:adjustRightInd w:val="0"/>
              <w:rPr>
                <w:rFonts w:eastAsiaTheme="minorEastAsia" w:cstheme="majorHAnsi"/>
                <w:b/>
                <w:szCs w:val="17"/>
                <w:lang w:eastAsia="en-AU"/>
              </w:rPr>
            </w:pPr>
            <w:r w:rsidRPr="001213F7">
              <w:rPr>
                <w:rFonts w:eastAsiaTheme="minorEastAsia" w:cstheme="majorHAnsi"/>
                <w:b/>
                <w:szCs w:val="17"/>
                <w:lang w:eastAsia="en-AU"/>
              </w:rPr>
              <w:t xml:space="preserve">Employment </w:t>
            </w:r>
            <w:r w:rsidRPr="001213F7">
              <w:rPr>
                <w:rFonts w:eastAsiaTheme="minorEastAsia" w:cstheme="majorHAnsi"/>
                <w:b/>
                <w:szCs w:val="17"/>
                <w:vertAlign w:val="superscript"/>
                <w:lang w:eastAsia="en-AU"/>
              </w:rPr>
              <w:t>(f)</w:t>
            </w:r>
            <w:r w:rsidRPr="001213F7">
              <w:rPr>
                <w:rFonts w:eastAsiaTheme="minorEastAsia" w:cstheme="majorHAnsi"/>
                <w:b/>
                <w:szCs w:val="17"/>
                <w:lang w:eastAsia="en-AU"/>
              </w:rPr>
              <w:t xml:space="preserve"> </w:t>
            </w:r>
          </w:p>
        </w:tc>
        <w:tc>
          <w:tcPr>
            <w:tcW w:w="844" w:type="dxa"/>
            <w:tcBorders>
              <w:top w:val="single" w:sz="4" w:space="0" w:color="auto"/>
              <w:left w:val="nil"/>
              <w:bottom w:val="nil"/>
              <w:right w:val="nil"/>
            </w:tcBorders>
          </w:tcPr>
          <w:p w14:paraId="1C09E4FE" w14:textId="77777777" w:rsidR="00900469" w:rsidRPr="001213F7" w:rsidRDefault="00900469">
            <w:pPr>
              <w:cnfStyle w:val="000000000000" w:firstRow="0" w:lastRow="0" w:firstColumn="0" w:lastColumn="0" w:oddVBand="0" w:evenVBand="0" w:oddHBand="0" w:evenHBand="0" w:firstRowFirstColumn="0" w:firstRowLastColumn="0" w:lastRowFirstColumn="0" w:lastRowLastColumn="0"/>
              <w:rPr>
                <w:rFonts w:cstheme="majorHAnsi"/>
                <w:szCs w:val="17"/>
              </w:rPr>
            </w:pPr>
          </w:p>
        </w:tc>
        <w:tc>
          <w:tcPr>
            <w:tcW w:w="844" w:type="dxa"/>
            <w:tcBorders>
              <w:top w:val="single" w:sz="4" w:space="0" w:color="auto"/>
              <w:left w:val="nil"/>
              <w:bottom w:val="nil"/>
              <w:right w:val="nil"/>
            </w:tcBorders>
          </w:tcPr>
          <w:p w14:paraId="42A29713" w14:textId="77777777" w:rsidR="00900469" w:rsidRPr="001213F7" w:rsidRDefault="00900469">
            <w:pPr>
              <w:cnfStyle w:val="000000000000" w:firstRow="0" w:lastRow="0" w:firstColumn="0" w:lastColumn="0" w:oddVBand="0" w:evenVBand="0" w:oddHBand="0" w:evenHBand="0" w:firstRowFirstColumn="0" w:firstRowLastColumn="0" w:lastRowFirstColumn="0" w:lastRowLastColumn="0"/>
              <w:rPr>
                <w:rFonts w:cstheme="majorHAnsi"/>
                <w:szCs w:val="17"/>
              </w:rPr>
            </w:pPr>
          </w:p>
        </w:tc>
        <w:tc>
          <w:tcPr>
            <w:tcW w:w="845" w:type="dxa"/>
            <w:tcBorders>
              <w:top w:val="single" w:sz="4" w:space="0" w:color="auto"/>
              <w:left w:val="nil"/>
              <w:bottom w:val="nil"/>
              <w:right w:val="nil"/>
            </w:tcBorders>
          </w:tcPr>
          <w:p w14:paraId="728A9395" w14:textId="77777777" w:rsidR="00900469" w:rsidRPr="001213F7" w:rsidRDefault="00900469">
            <w:pPr>
              <w:cnfStyle w:val="000000000000" w:firstRow="0" w:lastRow="0" w:firstColumn="0" w:lastColumn="0" w:oddVBand="0" w:evenVBand="0" w:oddHBand="0" w:evenHBand="0" w:firstRowFirstColumn="0" w:firstRowLastColumn="0" w:lastRowFirstColumn="0" w:lastRowLastColumn="0"/>
              <w:rPr>
                <w:rFonts w:cstheme="majorHAnsi"/>
                <w:szCs w:val="17"/>
              </w:rPr>
            </w:pPr>
          </w:p>
        </w:tc>
        <w:tc>
          <w:tcPr>
            <w:tcW w:w="845" w:type="dxa"/>
            <w:tcBorders>
              <w:top w:val="single" w:sz="4" w:space="0" w:color="auto"/>
              <w:left w:val="nil"/>
              <w:bottom w:val="nil"/>
              <w:right w:val="nil"/>
            </w:tcBorders>
          </w:tcPr>
          <w:p w14:paraId="494CB99C" w14:textId="77777777" w:rsidR="00900469" w:rsidRPr="001213F7" w:rsidRDefault="00900469">
            <w:pPr>
              <w:cnfStyle w:val="000000000000" w:firstRow="0" w:lastRow="0" w:firstColumn="0" w:lastColumn="0" w:oddVBand="0" w:evenVBand="0" w:oddHBand="0" w:evenHBand="0" w:firstRowFirstColumn="0" w:firstRowLastColumn="0" w:lastRowFirstColumn="0" w:lastRowLastColumn="0"/>
              <w:rPr>
                <w:rFonts w:cstheme="majorHAnsi"/>
                <w:szCs w:val="17"/>
              </w:rPr>
            </w:pPr>
          </w:p>
        </w:tc>
      </w:tr>
      <w:tr w:rsidR="00900469" w:rsidRPr="001213F7" w14:paraId="14223D4D" w14:textId="77777777">
        <w:tc>
          <w:tcPr>
            <w:cnfStyle w:val="001000000000" w:firstRow="0" w:lastRow="0" w:firstColumn="1" w:lastColumn="0" w:oddVBand="0" w:evenVBand="0" w:oddHBand="0" w:evenHBand="0" w:firstRowFirstColumn="0" w:firstRowLastColumn="0" w:lastRowFirstColumn="0" w:lastRowLastColumn="0"/>
            <w:tcW w:w="4333" w:type="dxa"/>
            <w:vAlign w:val="bottom"/>
            <w:hideMark/>
          </w:tcPr>
          <w:p w14:paraId="0E78E021" w14:textId="77777777" w:rsidR="00900469" w:rsidRPr="001213F7" w:rsidRDefault="00900469">
            <w:pPr>
              <w:autoSpaceDE w:val="0"/>
              <w:autoSpaceDN w:val="0"/>
              <w:adjustRightInd w:val="0"/>
              <w:rPr>
                <w:rFonts w:eastAsiaTheme="minorEastAsia" w:cstheme="majorHAnsi"/>
                <w:szCs w:val="17"/>
                <w:lang w:eastAsia="en-AU"/>
              </w:rPr>
            </w:pPr>
            <w:r w:rsidRPr="001213F7">
              <w:rPr>
                <w:rFonts w:eastAsiaTheme="minorEastAsia" w:cstheme="majorHAnsi"/>
                <w:szCs w:val="17"/>
                <w:lang w:eastAsia="en-AU"/>
              </w:rPr>
              <w:t>Income from transactions</w:t>
            </w:r>
          </w:p>
        </w:tc>
        <w:tc>
          <w:tcPr>
            <w:tcW w:w="844" w:type="dxa"/>
            <w:tcBorders>
              <w:top w:val="nil"/>
              <w:left w:val="nil"/>
              <w:bottom w:val="nil"/>
              <w:right w:val="nil"/>
            </w:tcBorders>
          </w:tcPr>
          <w:p w14:paraId="4E3B1799" w14:textId="77777777" w:rsidR="00900469" w:rsidRPr="001213F7" w:rsidRDefault="00900469">
            <w:pPr>
              <w:cnfStyle w:val="000000000000" w:firstRow="0" w:lastRow="0" w:firstColumn="0" w:lastColumn="0" w:oddVBand="0" w:evenVBand="0" w:oddHBand="0" w:evenHBand="0" w:firstRowFirstColumn="0" w:firstRowLastColumn="0" w:lastRowFirstColumn="0" w:lastRowLastColumn="0"/>
              <w:rPr>
                <w:rFonts w:cstheme="majorHAnsi"/>
                <w:szCs w:val="17"/>
              </w:rPr>
            </w:pPr>
            <w:r w:rsidRPr="001213F7" w:rsidDel="00F1780B">
              <w:t>125</w:t>
            </w:r>
          </w:p>
        </w:tc>
        <w:tc>
          <w:tcPr>
            <w:tcW w:w="844" w:type="dxa"/>
            <w:tcBorders>
              <w:top w:val="nil"/>
              <w:left w:val="nil"/>
              <w:bottom w:val="nil"/>
              <w:right w:val="nil"/>
            </w:tcBorders>
          </w:tcPr>
          <w:p w14:paraId="4C05189B" w14:textId="77777777" w:rsidR="00900469" w:rsidRPr="001213F7" w:rsidRDefault="00900469">
            <w:pPr>
              <w:cnfStyle w:val="000000000000" w:firstRow="0" w:lastRow="0" w:firstColumn="0" w:lastColumn="0" w:oddVBand="0" w:evenVBand="0" w:oddHBand="0" w:evenHBand="0" w:firstRowFirstColumn="0" w:firstRowLastColumn="0" w:lastRowFirstColumn="0" w:lastRowLastColumn="0"/>
              <w:rPr>
                <w:rFonts w:cstheme="majorHAnsi"/>
                <w:szCs w:val="17"/>
              </w:rPr>
            </w:pPr>
            <w:r w:rsidRPr="001213F7" w:rsidDel="00F1780B">
              <w:t>131</w:t>
            </w:r>
          </w:p>
        </w:tc>
        <w:tc>
          <w:tcPr>
            <w:tcW w:w="845" w:type="dxa"/>
            <w:tcBorders>
              <w:top w:val="nil"/>
              <w:left w:val="nil"/>
              <w:bottom w:val="nil"/>
              <w:right w:val="nil"/>
            </w:tcBorders>
          </w:tcPr>
          <w:p w14:paraId="7A8DCBD8" w14:textId="77777777" w:rsidR="00900469" w:rsidRPr="001213F7" w:rsidRDefault="00900469">
            <w:pPr>
              <w:cnfStyle w:val="000000000000" w:firstRow="0" w:lastRow="0" w:firstColumn="0" w:lastColumn="0" w:oddVBand="0" w:evenVBand="0" w:oddHBand="0" w:evenHBand="0" w:firstRowFirstColumn="0" w:firstRowLastColumn="0" w:lastRowFirstColumn="0" w:lastRowLastColumn="0"/>
              <w:rPr>
                <w:rFonts w:cstheme="majorHAnsi"/>
                <w:szCs w:val="17"/>
              </w:rPr>
            </w:pPr>
            <w:r w:rsidRPr="001213F7" w:rsidDel="00F1780B">
              <w:t>138</w:t>
            </w:r>
          </w:p>
        </w:tc>
        <w:tc>
          <w:tcPr>
            <w:tcW w:w="845" w:type="dxa"/>
            <w:tcBorders>
              <w:top w:val="nil"/>
              <w:left w:val="nil"/>
              <w:bottom w:val="nil"/>
              <w:right w:val="nil"/>
            </w:tcBorders>
          </w:tcPr>
          <w:p w14:paraId="2CD21FFF" w14:textId="77777777" w:rsidR="00900469" w:rsidRPr="001213F7" w:rsidRDefault="00900469">
            <w:pPr>
              <w:cnfStyle w:val="000000000000" w:firstRow="0" w:lastRow="0" w:firstColumn="0" w:lastColumn="0" w:oddVBand="0" w:evenVBand="0" w:oddHBand="0" w:evenHBand="0" w:firstRowFirstColumn="0" w:firstRowLastColumn="0" w:lastRowFirstColumn="0" w:lastRowLastColumn="0"/>
              <w:rPr>
                <w:rFonts w:cstheme="majorHAnsi"/>
                <w:szCs w:val="17"/>
              </w:rPr>
            </w:pPr>
            <w:r w:rsidRPr="001213F7" w:rsidDel="00F1780B">
              <w:t>145</w:t>
            </w:r>
          </w:p>
        </w:tc>
      </w:tr>
      <w:tr w:rsidR="00900469" w:rsidRPr="001213F7" w14:paraId="6C9E0F97" w14:textId="77777777">
        <w:tc>
          <w:tcPr>
            <w:cnfStyle w:val="001000000000" w:firstRow="0" w:lastRow="0" w:firstColumn="1" w:lastColumn="0" w:oddVBand="0" w:evenVBand="0" w:oddHBand="0" w:evenHBand="0" w:firstRowFirstColumn="0" w:firstRowLastColumn="0" w:lastRowFirstColumn="0" w:lastRowLastColumn="0"/>
            <w:tcW w:w="4333" w:type="dxa"/>
            <w:tcBorders>
              <w:bottom w:val="single" w:sz="4" w:space="0" w:color="auto"/>
            </w:tcBorders>
            <w:vAlign w:val="bottom"/>
            <w:hideMark/>
          </w:tcPr>
          <w:p w14:paraId="00966747" w14:textId="77777777" w:rsidR="00900469" w:rsidRPr="001213F7" w:rsidRDefault="00900469">
            <w:pPr>
              <w:autoSpaceDE w:val="0"/>
              <w:autoSpaceDN w:val="0"/>
              <w:adjustRightInd w:val="0"/>
              <w:rPr>
                <w:rFonts w:eastAsiaTheme="minorEastAsia" w:cstheme="majorHAnsi"/>
                <w:szCs w:val="17"/>
                <w:lang w:eastAsia="en-AU"/>
              </w:rPr>
            </w:pPr>
            <w:r w:rsidRPr="001213F7">
              <w:rPr>
                <w:rFonts w:eastAsiaTheme="minorEastAsia" w:cstheme="majorHAnsi"/>
                <w:szCs w:val="17"/>
                <w:lang w:eastAsia="en-AU"/>
              </w:rPr>
              <w:t>Expenses from transactions</w:t>
            </w:r>
          </w:p>
        </w:tc>
        <w:tc>
          <w:tcPr>
            <w:tcW w:w="844" w:type="dxa"/>
            <w:tcBorders>
              <w:top w:val="nil"/>
              <w:left w:val="nil"/>
              <w:bottom w:val="nil"/>
              <w:right w:val="nil"/>
            </w:tcBorders>
          </w:tcPr>
          <w:p w14:paraId="2504BA07" w14:textId="77777777" w:rsidR="00900469" w:rsidRPr="001213F7" w:rsidRDefault="00900469">
            <w:pPr>
              <w:cnfStyle w:val="000000000000" w:firstRow="0" w:lastRow="0" w:firstColumn="0" w:lastColumn="0" w:oddVBand="0" w:evenVBand="0" w:oddHBand="0" w:evenHBand="0" w:firstRowFirstColumn="0" w:firstRowLastColumn="0" w:lastRowFirstColumn="0" w:lastRowLastColumn="0"/>
              <w:rPr>
                <w:rFonts w:cstheme="majorHAnsi"/>
                <w:szCs w:val="17"/>
              </w:rPr>
            </w:pPr>
            <w:r w:rsidRPr="001213F7">
              <w:t>420</w:t>
            </w:r>
          </w:p>
        </w:tc>
        <w:tc>
          <w:tcPr>
            <w:tcW w:w="844" w:type="dxa"/>
            <w:tcBorders>
              <w:top w:val="nil"/>
              <w:left w:val="nil"/>
              <w:bottom w:val="nil"/>
              <w:right w:val="nil"/>
            </w:tcBorders>
          </w:tcPr>
          <w:p w14:paraId="416170F7" w14:textId="77777777" w:rsidR="00900469" w:rsidRPr="001213F7" w:rsidRDefault="00900469">
            <w:pPr>
              <w:cnfStyle w:val="000000000000" w:firstRow="0" w:lastRow="0" w:firstColumn="0" w:lastColumn="0" w:oddVBand="0" w:evenVBand="0" w:oddHBand="0" w:evenHBand="0" w:firstRowFirstColumn="0" w:firstRowLastColumn="0" w:lastRowFirstColumn="0" w:lastRowLastColumn="0"/>
              <w:rPr>
                <w:rFonts w:cstheme="majorHAnsi"/>
                <w:szCs w:val="17"/>
              </w:rPr>
            </w:pPr>
            <w:r w:rsidRPr="001213F7">
              <w:t>453</w:t>
            </w:r>
          </w:p>
        </w:tc>
        <w:tc>
          <w:tcPr>
            <w:tcW w:w="845" w:type="dxa"/>
            <w:tcBorders>
              <w:top w:val="nil"/>
              <w:left w:val="nil"/>
              <w:bottom w:val="nil"/>
              <w:right w:val="nil"/>
            </w:tcBorders>
          </w:tcPr>
          <w:p w14:paraId="52379194" w14:textId="77777777" w:rsidR="00900469" w:rsidRPr="001213F7" w:rsidRDefault="00900469">
            <w:pPr>
              <w:cnfStyle w:val="000000000000" w:firstRow="0" w:lastRow="0" w:firstColumn="0" w:lastColumn="0" w:oddVBand="0" w:evenVBand="0" w:oddHBand="0" w:evenHBand="0" w:firstRowFirstColumn="0" w:firstRowLastColumn="0" w:lastRowFirstColumn="0" w:lastRowLastColumn="0"/>
              <w:rPr>
                <w:rFonts w:cstheme="majorHAnsi"/>
                <w:szCs w:val="17"/>
              </w:rPr>
            </w:pPr>
            <w:r w:rsidRPr="001213F7">
              <w:t>488</w:t>
            </w:r>
          </w:p>
        </w:tc>
        <w:tc>
          <w:tcPr>
            <w:tcW w:w="845" w:type="dxa"/>
            <w:tcBorders>
              <w:top w:val="nil"/>
              <w:left w:val="nil"/>
              <w:bottom w:val="nil"/>
              <w:right w:val="nil"/>
            </w:tcBorders>
          </w:tcPr>
          <w:p w14:paraId="38D8B4D5" w14:textId="77777777" w:rsidR="00900469" w:rsidRPr="001213F7" w:rsidRDefault="00900469">
            <w:pPr>
              <w:cnfStyle w:val="000000000000" w:firstRow="0" w:lastRow="0" w:firstColumn="0" w:lastColumn="0" w:oddVBand="0" w:evenVBand="0" w:oddHBand="0" w:evenHBand="0" w:firstRowFirstColumn="0" w:firstRowLastColumn="0" w:lastRowFirstColumn="0" w:lastRowLastColumn="0"/>
              <w:rPr>
                <w:rFonts w:cstheme="majorHAnsi"/>
                <w:szCs w:val="17"/>
              </w:rPr>
            </w:pPr>
            <w:r w:rsidRPr="001213F7">
              <w:t>523</w:t>
            </w:r>
          </w:p>
        </w:tc>
      </w:tr>
      <w:tr w:rsidR="00900469" w:rsidRPr="001213F7" w14:paraId="6521D9E3" w14:textId="77777777">
        <w:tc>
          <w:tcPr>
            <w:cnfStyle w:val="001000000000" w:firstRow="0" w:lastRow="0" w:firstColumn="1" w:lastColumn="0" w:oddVBand="0" w:evenVBand="0" w:oddHBand="0" w:evenHBand="0" w:firstRowFirstColumn="0" w:firstRowLastColumn="0" w:lastRowFirstColumn="0" w:lastRowLastColumn="0"/>
            <w:tcW w:w="4333" w:type="dxa"/>
            <w:tcBorders>
              <w:top w:val="single" w:sz="4" w:space="0" w:color="auto"/>
              <w:bottom w:val="nil"/>
            </w:tcBorders>
            <w:vAlign w:val="bottom"/>
            <w:hideMark/>
          </w:tcPr>
          <w:p w14:paraId="06C90740" w14:textId="77777777" w:rsidR="00900469" w:rsidRPr="001213F7" w:rsidRDefault="00900469">
            <w:pPr>
              <w:autoSpaceDE w:val="0"/>
              <w:autoSpaceDN w:val="0"/>
              <w:adjustRightInd w:val="0"/>
              <w:rPr>
                <w:rFonts w:eastAsiaTheme="minorEastAsia" w:cstheme="majorHAnsi"/>
                <w:b/>
                <w:szCs w:val="17"/>
                <w:lang w:eastAsia="en-AU"/>
              </w:rPr>
            </w:pPr>
            <w:r w:rsidRPr="001213F7">
              <w:rPr>
                <w:rFonts w:eastAsiaTheme="minorEastAsia" w:cstheme="majorHAnsi"/>
                <w:b/>
                <w:szCs w:val="17"/>
                <w:lang w:eastAsia="en-AU"/>
              </w:rPr>
              <w:t>Net result from transactions</w:t>
            </w:r>
          </w:p>
        </w:tc>
        <w:tc>
          <w:tcPr>
            <w:tcW w:w="844" w:type="dxa"/>
            <w:tcBorders>
              <w:top w:val="single" w:sz="4" w:space="0" w:color="auto"/>
              <w:left w:val="nil"/>
              <w:bottom w:val="nil"/>
              <w:right w:val="nil"/>
            </w:tcBorders>
          </w:tcPr>
          <w:p w14:paraId="6927CB3C" w14:textId="77777777" w:rsidR="00900469" w:rsidRPr="001213F7" w:rsidRDefault="00900469">
            <w:pPr>
              <w:cnfStyle w:val="000000000000" w:firstRow="0" w:lastRow="0" w:firstColumn="0" w:lastColumn="0" w:oddVBand="0" w:evenVBand="0" w:oddHBand="0" w:evenHBand="0" w:firstRowFirstColumn="0" w:firstRowLastColumn="0" w:lastRowFirstColumn="0" w:lastRowLastColumn="0"/>
              <w:rPr>
                <w:rFonts w:cstheme="majorHAnsi"/>
                <w:b/>
                <w:szCs w:val="17"/>
              </w:rPr>
            </w:pPr>
            <w:r w:rsidRPr="001213F7">
              <w:rPr>
                <w:b/>
              </w:rPr>
              <w:t>(295</w:t>
            </w:r>
            <w:r w:rsidRPr="001213F7" w:rsidDel="00F1780B">
              <w:rPr>
                <w:b/>
              </w:rPr>
              <w:t>)</w:t>
            </w:r>
          </w:p>
        </w:tc>
        <w:tc>
          <w:tcPr>
            <w:tcW w:w="844" w:type="dxa"/>
            <w:tcBorders>
              <w:top w:val="single" w:sz="4" w:space="0" w:color="auto"/>
              <w:left w:val="nil"/>
              <w:bottom w:val="nil"/>
              <w:right w:val="nil"/>
            </w:tcBorders>
          </w:tcPr>
          <w:p w14:paraId="36ACA459" w14:textId="77777777" w:rsidR="00900469" w:rsidRPr="001213F7" w:rsidRDefault="00900469">
            <w:pPr>
              <w:cnfStyle w:val="000000000000" w:firstRow="0" w:lastRow="0" w:firstColumn="0" w:lastColumn="0" w:oddVBand="0" w:evenVBand="0" w:oddHBand="0" w:evenHBand="0" w:firstRowFirstColumn="0" w:firstRowLastColumn="0" w:lastRowFirstColumn="0" w:lastRowLastColumn="0"/>
              <w:rPr>
                <w:rFonts w:cstheme="majorHAnsi"/>
                <w:b/>
                <w:szCs w:val="17"/>
              </w:rPr>
            </w:pPr>
            <w:r w:rsidRPr="001213F7">
              <w:rPr>
                <w:b/>
              </w:rPr>
              <w:t>(322</w:t>
            </w:r>
            <w:r w:rsidRPr="001213F7" w:rsidDel="00F1780B">
              <w:rPr>
                <w:b/>
              </w:rPr>
              <w:t>)</w:t>
            </w:r>
          </w:p>
        </w:tc>
        <w:tc>
          <w:tcPr>
            <w:tcW w:w="845" w:type="dxa"/>
            <w:tcBorders>
              <w:top w:val="single" w:sz="4" w:space="0" w:color="auto"/>
              <w:left w:val="nil"/>
              <w:bottom w:val="nil"/>
              <w:right w:val="nil"/>
            </w:tcBorders>
          </w:tcPr>
          <w:p w14:paraId="1829C539" w14:textId="77777777" w:rsidR="00900469" w:rsidRPr="001213F7" w:rsidRDefault="00900469">
            <w:pPr>
              <w:cnfStyle w:val="000000000000" w:firstRow="0" w:lastRow="0" w:firstColumn="0" w:lastColumn="0" w:oddVBand="0" w:evenVBand="0" w:oddHBand="0" w:evenHBand="0" w:firstRowFirstColumn="0" w:firstRowLastColumn="0" w:lastRowFirstColumn="0" w:lastRowLastColumn="0"/>
              <w:rPr>
                <w:rFonts w:cstheme="majorHAnsi"/>
                <w:b/>
                <w:szCs w:val="17"/>
              </w:rPr>
            </w:pPr>
            <w:r w:rsidRPr="001213F7">
              <w:rPr>
                <w:b/>
              </w:rPr>
              <w:t>(351</w:t>
            </w:r>
            <w:r w:rsidRPr="001213F7" w:rsidDel="00F1780B">
              <w:rPr>
                <w:b/>
              </w:rPr>
              <w:t>)</w:t>
            </w:r>
          </w:p>
        </w:tc>
        <w:tc>
          <w:tcPr>
            <w:tcW w:w="845" w:type="dxa"/>
            <w:tcBorders>
              <w:top w:val="single" w:sz="4" w:space="0" w:color="auto"/>
              <w:left w:val="nil"/>
              <w:bottom w:val="nil"/>
              <w:right w:val="nil"/>
            </w:tcBorders>
          </w:tcPr>
          <w:p w14:paraId="157FDBD9" w14:textId="77777777" w:rsidR="00900469" w:rsidRPr="001213F7" w:rsidRDefault="00900469">
            <w:pPr>
              <w:cnfStyle w:val="000000000000" w:firstRow="0" w:lastRow="0" w:firstColumn="0" w:lastColumn="0" w:oddVBand="0" w:evenVBand="0" w:oddHBand="0" w:evenHBand="0" w:firstRowFirstColumn="0" w:firstRowLastColumn="0" w:lastRowFirstColumn="0" w:lastRowLastColumn="0"/>
              <w:rPr>
                <w:rFonts w:cstheme="majorHAnsi"/>
                <w:b/>
                <w:szCs w:val="17"/>
              </w:rPr>
            </w:pPr>
            <w:r w:rsidRPr="001213F7">
              <w:rPr>
                <w:b/>
              </w:rPr>
              <w:t>(379</w:t>
            </w:r>
            <w:r w:rsidRPr="001213F7" w:rsidDel="00F1780B">
              <w:rPr>
                <w:b/>
              </w:rPr>
              <w:t>)</w:t>
            </w:r>
          </w:p>
        </w:tc>
      </w:tr>
      <w:tr w:rsidR="00900469" w:rsidRPr="001213F7" w14:paraId="3A34D544" w14:textId="77777777">
        <w:tc>
          <w:tcPr>
            <w:cnfStyle w:val="001000000000" w:firstRow="0" w:lastRow="0" w:firstColumn="1" w:lastColumn="0" w:oddVBand="0" w:evenVBand="0" w:oddHBand="0" w:evenHBand="0" w:firstRowFirstColumn="0" w:firstRowLastColumn="0" w:lastRowFirstColumn="0" w:lastRowLastColumn="0"/>
            <w:tcW w:w="4333" w:type="dxa"/>
            <w:tcBorders>
              <w:bottom w:val="single" w:sz="4" w:space="0" w:color="auto"/>
            </w:tcBorders>
            <w:vAlign w:val="bottom"/>
            <w:hideMark/>
          </w:tcPr>
          <w:p w14:paraId="5EB0D34C" w14:textId="77777777" w:rsidR="00900469" w:rsidRPr="001213F7" w:rsidRDefault="00900469">
            <w:pPr>
              <w:autoSpaceDE w:val="0"/>
              <w:autoSpaceDN w:val="0"/>
              <w:adjustRightInd w:val="0"/>
              <w:rPr>
                <w:rFonts w:eastAsiaTheme="minorEastAsia" w:cstheme="majorHAnsi"/>
                <w:b/>
                <w:szCs w:val="17"/>
                <w:lang w:eastAsia="en-AU"/>
              </w:rPr>
            </w:pPr>
            <w:r w:rsidRPr="001213F7">
              <w:rPr>
                <w:rFonts w:eastAsiaTheme="minorEastAsia" w:cstheme="majorHAnsi"/>
                <w:b/>
                <w:szCs w:val="17"/>
                <w:lang w:eastAsia="en-AU"/>
              </w:rPr>
              <w:t>Net debt</w:t>
            </w:r>
          </w:p>
        </w:tc>
        <w:tc>
          <w:tcPr>
            <w:tcW w:w="844" w:type="dxa"/>
            <w:tcBorders>
              <w:top w:val="nil"/>
              <w:left w:val="nil"/>
              <w:bottom w:val="single" w:sz="4" w:space="0" w:color="auto"/>
              <w:right w:val="nil"/>
            </w:tcBorders>
          </w:tcPr>
          <w:p w14:paraId="40A6F1C9" w14:textId="77777777" w:rsidR="00900469" w:rsidRPr="001213F7" w:rsidRDefault="00900469">
            <w:pPr>
              <w:cnfStyle w:val="000000000000" w:firstRow="0" w:lastRow="0" w:firstColumn="0" w:lastColumn="0" w:oddVBand="0" w:evenVBand="0" w:oddHBand="0" w:evenHBand="0" w:firstRowFirstColumn="0" w:firstRowLastColumn="0" w:lastRowFirstColumn="0" w:lastRowLastColumn="0"/>
              <w:rPr>
                <w:rFonts w:cstheme="majorHAnsi"/>
                <w:b/>
                <w:szCs w:val="17"/>
              </w:rPr>
            </w:pPr>
            <w:r w:rsidRPr="001213F7">
              <w:rPr>
                <w:b/>
              </w:rPr>
              <w:t>295</w:t>
            </w:r>
          </w:p>
        </w:tc>
        <w:tc>
          <w:tcPr>
            <w:tcW w:w="844" w:type="dxa"/>
            <w:tcBorders>
              <w:top w:val="nil"/>
              <w:left w:val="nil"/>
              <w:bottom w:val="single" w:sz="4" w:space="0" w:color="auto"/>
              <w:right w:val="nil"/>
            </w:tcBorders>
          </w:tcPr>
          <w:p w14:paraId="5F968A6D" w14:textId="77777777" w:rsidR="00900469" w:rsidRPr="001213F7" w:rsidRDefault="00900469">
            <w:pPr>
              <w:cnfStyle w:val="000000000000" w:firstRow="0" w:lastRow="0" w:firstColumn="0" w:lastColumn="0" w:oddVBand="0" w:evenVBand="0" w:oddHBand="0" w:evenHBand="0" w:firstRowFirstColumn="0" w:firstRowLastColumn="0" w:lastRowFirstColumn="0" w:lastRowLastColumn="0"/>
              <w:rPr>
                <w:rFonts w:cstheme="majorHAnsi"/>
                <w:b/>
                <w:szCs w:val="17"/>
              </w:rPr>
            </w:pPr>
            <w:r w:rsidRPr="001213F7">
              <w:rPr>
                <w:b/>
              </w:rPr>
              <w:t>616</w:t>
            </w:r>
          </w:p>
        </w:tc>
        <w:tc>
          <w:tcPr>
            <w:tcW w:w="845" w:type="dxa"/>
            <w:tcBorders>
              <w:top w:val="nil"/>
              <w:left w:val="nil"/>
              <w:bottom w:val="single" w:sz="4" w:space="0" w:color="auto"/>
              <w:right w:val="nil"/>
            </w:tcBorders>
          </w:tcPr>
          <w:p w14:paraId="2D4972B5" w14:textId="77777777" w:rsidR="00900469" w:rsidRPr="001213F7" w:rsidRDefault="00900469">
            <w:pPr>
              <w:cnfStyle w:val="000000000000" w:firstRow="0" w:lastRow="0" w:firstColumn="0" w:lastColumn="0" w:oddVBand="0" w:evenVBand="0" w:oddHBand="0" w:evenHBand="0" w:firstRowFirstColumn="0" w:firstRowLastColumn="0" w:lastRowFirstColumn="0" w:lastRowLastColumn="0"/>
              <w:rPr>
                <w:rFonts w:cstheme="majorHAnsi"/>
                <w:b/>
                <w:szCs w:val="17"/>
              </w:rPr>
            </w:pPr>
            <w:r w:rsidRPr="001213F7">
              <w:rPr>
                <w:b/>
              </w:rPr>
              <w:t>967</w:t>
            </w:r>
          </w:p>
        </w:tc>
        <w:tc>
          <w:tcPr>
            <w:tcW w:w="845" w:type="dxa"/>
            <w:tcBorders>
              <w:top w:val="nil"/>
              <w:left w:val="nil"/>
              <w:bottom w:val="single" w:sz="4" w:space="0" w:color="auto"/>
              <w:right w:val="nil"/>
            </w:tcBorders>
          </w:tcPr>
          <w:p w14:paraId="75C24DF0" w14:textId="77777777" w:rsidR="00900469" w:rsidRPr="001213F7" w:rsidRDefault="00900469">
            <w:pPr>
              <w:cnfStyle w:val="000000000000" w:firstRow="0" w:lastRow="0" w:firstColumn="0" w:lastColumn="0" w:oddVBand="0" w:evenVBand="0" w:oddHBand="0" w:evenHBand="0" w:firstRowFirstColumn="0" w:firstRowLastColumn="0" w:lastRowFirstColumn="0" w:lastRowLastColumn="0"/>
              <w:rPr>
                <w:rFonts w:cstheme="majorHAnsi"/>
                <w:b/>
                <w:szCs w:val="17"/>
              </w:rPr>
            </w:pPr>
            <w:r w:rsidRPr="001213F7">
              <w:rPr>
                <w:b/>
              </w:rPr>
              <w:t>1 345</w:t>
            </w:r>
          </w:p>
        </w:tc>
      </w:tr>
      <w:tr w:rsidR="00900469" w:rsidRPr="001213F7" w14:paraId="1D9B96C5" w14:textId="77777777">
        <w:tc>
          <w:tcPr>
            <w:cnfStyle w:val="001000000000" w:firstRow="0" w:lastRow="0" w:firstColumn="1" w:lastColumn="0" w:oddVBand="0" w:evenVBand="0" w:oddHBand="0" w:evenHBand="0" w:firstRowFirstColumn="0" w:firstRowLastColumn="0" w:lastRowFirstColumn="0" w:lastRowLastColumn="0"/>
            <w:tcW w:w="4333" w:type="dxa"/>
            <w:tcBorders>
              <w:top w:val="single" w:sz="4" w:space="0" w:color="auto"/>
            </w:tcBorders>
            <w:vAlign w:val="bottom"/>
            <w:hideMark/>
          </w:tcPr>
          <w:p w14:paraId="17E66CE5" w14:textId="77777777" w:rsidR="00900469" w:rsidRPr="001213F7" w:rsidRDefault="00900469">
            <w:pPr>
              <w:autoSpaceDE w:val="0"/>
              <w:autoSpaceDN w:val="0"/>
              <w:adjustRightInd w:val="0"/>
              <w:rPr>
                <w:rFonts w:eastAsiaTheme="minorEastAsia" w:cstheme="majorHAnsi"/>
                <w:b/>
                <w:szCs w:val="17"/>
                <w:lang w:eastAsia="en-AU"/>
              </w:rPr>
            </w:pPr>
            <w:r w:rsidRPr="001213F7">
              <w:rPr>
                <w:rFonts w:eastAsiaTheme="minorEastAsia" w:cstheme="majorHAnsi"/>
                <w:b/>
                <w:szCs w:val="17"/>
                <w:lang w:eastAsia="en-AU"/>
              </w:rPr>
              <w:t xml:space="preserve">Consumer prices </w:t>
            </w:r>
            <w:r w:rsidRPr="001213F7">
              <w:rPr>
                <w:rFonts w:eastAsiaTheme="minorEastAsia" w:cstheme="majorHAnsi"/>
                <w:b/>
                <w:szCs w:val="17"/>
                <w:vertAlign w:val="superscript"/>
                <w:lang w:eastAsia="en-AU"/>
              </w:rPr>
              <w:t>(g)</w:t>
            </w:r>
          </w:p>
        </w:tc>
        <w:tc>
          <w:tcPr>
            <w:tcW w:w="844" w:type="dxa"/>
            <w:tcBorders>
              <w:top w:val="single" w:sz="4" w:space="0" w:color="auto"/>
              <w:left w:val="nil"/>
              <w:bottom w:val="nil"/>
              <w:right w:val="nil"/>
            </w:tcBorders>
          </w:tcPr>
          <w:p w14:paraId="7DEC42D6" w14:textId="77777777" w:rsidR="00900469" w:rsidRPr="001213F7" w:rsidRDefault="00900469">
            <w:pPr>
              <w:cnfStyle w:val="000000000000" w:firstRow="0" w:lastRow="0" w:firstColumn="0" w:lastColumn="0" w:oddVBand="0" w:evenVBand="0" w:oddHBand="0" w:evenHBand="0" w:firstRowFirstColumn="0" w:firstRowLastColumn="0" w:lastRowFirstColumn="0" w:lastRowLastColumn="0"/>
              <w:rPr>
                <w:rFonts w:cstheme="majorHAnsi"/>
                <w:szCs w:val="17"/>
              </w:rPr>
            </w:pPr>
          </w:p>
        </w:tc>
        <w:tc>
          <w:tcPr>
            <w:tcW w:w="844" w:type="dxa"/>
            <w:tcBorders>
              <w:top w:val="single" w:sz="4" w:space="0" w:color="auto"/>
              <w:left w:val="nil"/>
              <w:bottom w:val="nil"/>
              <w:right w:val="nil"/>
            </w:tcBorders>
          </w:tcPr>
          <w:p w14:paraId="6BCD0E0A" w14:textId="77777777" w:rsidR="00900469" w:rsidRPr="001213F7" w:rsidRDefault="00900469">
            <w:pPr>
              <w:cnfStyle w:val="000000000000" w:firstRow="0" w:lastRow="0" w:firstColumn="0" w:lastColumn="0" w:oddVBand="0" w:evenVBand="0" w:oddHBand="0" w:evenHBand="0" w:firstRowFirstColumn="0" w:firstRowLastColumn="0" w:lastRowFirstColumn="0" w:lastRowLastColumn="0"/>
              <w:rPr>
                <w:rFonts w:cstheme="majorHAnsi"/>
                <w:szCs w:val="17"/>
              </w:rPr>
            </w:pPr>
          </w:p>
        </w:tc>
        <w:tc>
          <w:tcPr>
            <w:tcW w:w="845" w:type="dxa"/>
            <w:tcBorders>
              <w:top w:val="single" w:sz="4" w:space="0" w:color="auto"/>
              <w:left w:val="nil"/>
              <w:bottom w:val="nil"/>
              <w:right w:val="nil"/>
            </w:tcBorders>
          </w:tcPr>
          <w:p w14:paraId="34A0910A" w14:textId="77777777" w:rsidR="00900469" w:rsidRPr="001213F7" w:rsidRDefault="00900469">
            <w:pPr>
              <w:cnfStyle w:val="000000000000" w:firstRow="0" w:lastRow="0" w:firstColumn="0" w:lastColumn="0" w:oddVBand="0" w:evenVBand="0" w:oddHBand="0" w:evenHBand="0" w:firstRowFirstColumn="0" w:firstRowLastColumn="0" w:lastRowFirstColumn="0" w:lastRowLastColumn="0"/>
              <w:rPr>
                <w:rFonts w:cstheme="majorHAnsi"/>
                <w:szCs w:val="17"/>
              </w:rPr>
            </w:pPr>
          </w:p>
        </w:tc>
        <w:tc>
          <w:tcPr>
            <w:tcW w:w="845" w:type="dxa"/>
            <w:tcBorders>
              <w:top w:val="single" w:sz="4" w:space="0" w:color="auto"/>
              <w:left w:val="nil"/>
              <w:bottom w:val="nil"/>
              <w:right w:val="nil"/>
            </w:tcBorders>
          </w:tcPr>
          <w:p w14:paraId="0EE90CC5" w14:textId="77777777" w:rsidR="00900469" w:rsidRPr="001213F7" w:rsidRDefault="00900469">
            <w:pPr>
              <w:cnfStyle w:val="000000000000" w:firstRow="0" w:lastRow="0" w:firstColumn="0" w:lastColumn="0" w:oddVBand="0" w:evenVBand="0" w:oddHBand="0" w:evenHBand="0" w:firstRowFirstColumn="0" w:firstRowLastColumn="0" w:lastRowFirstColumn="0" w:lastRowLastColumn="0"/>
              <w:rPr>
                <w:rFonts w:cstheme="majorHAnsi"/>
                <w:szCs w:val="17"/>
              </w:rPr>
            </w:pPr>
          </w:p>
        </w:tc>
      </w:tr>
      <w:tr w:rsidR="00900469" w:rsidRPr="001213F7" w14:paraId="3AB1C9DF" w14:textId="77777777">
        <w:tc>
          <w:tcPr>
            <w:cnfStyle w:val="001000000000" w:firstRow="0" w:lastRow="0" w:firstColumn="1" w:lastColumn="0" w:oddVBand="0" w:evenVBand="0" w:oddHBand="0" w:evenHBand="0" w:firstRowFirstColumn="0" w:firstRowLastColumn="0" w:lastRowFirstColumn="0" w:lastRowLastColumn="0"/>
            <w:tcW w:w="4333" w:type="dxa"/>
            <w:vAlign w:val="bottom"/>
            <w:hideMark/>
          </w:tcPr>
          <w:p w14:paraId="74F3B5B1" w14:textId="77777777" w:rsidR="00900469" w:rsidRPr="001213F7" w:rsidRDefault="00900469">
            <w:pPr>
              <w:autoSpaceDE w:val="0"/>
              <w:autoSpaceDN w:val="0"/>
              <w:adjustRightInd w:val="0"/>
              <w:rPr>
                <w:rFonts w:eastAsiaTheme="minorEastAsia" w:cstheme="majorHAnsi"/>
                <w:szCs w:val="17"/>
                <w:lang w:eastAsia="en-AU"/>
              </w:rPr>
            </w:pPr>
            <w:r w:rsidRPr="001213F7">
              <w:rPr>
                <w:rFonts w:eastAsiaTheme="minorEastAsia" w:cstheme="majorHAnsi"/>
                <w:szCs w:val="17"/>
                <w:lang w:eastAsia="en-AU"/>
              </w:rPr>
              <w:t>Income from transactions</w:t>
            </w:r>
          </w:p>
        </w:tc>
        <w:tc>
          <w:tcPr>
            <w:tcW w:w="844" w:type="dxa"/>
            <w:tcBorders>
              <w:top w:val="nil"/>
              <w:left w:val="nil"/>
              <w:bottom w:val="nil"/>
              <w:right w:val="nil"/>
            </w:tcBorders>
            <w:shd w:val="clear" w:color="000000" w:fill="FFFFFF"/>
          </w:tcPr>
          <w:p w14:paraId="448E34FF" w14:textId="77777777" w:rsidR="00900469" w:rsidRPr="001213F7" w:rsidRDefault="00900469">
            <w:pPr>
              <w:cnfStyle w:val="000000000000" w:firstRow="0" w:lastRow="0" w:firstColumn="0" w:lastColumn="0" w:oddVBand="0" w:evenVBand="0" w:oddHBand="0" w:evenHBand="0" w:firstRowFirstColumn="0" w:firstRowLastColumn="0" w:lastRowFirstColumn="0" w:lastRowLastColumn="0"/>
              <w:rPr>
                <w:rFonts w:cstheme="majorHAnsi"/>
                <w:szCs w:val="17"/>
              </w:rPr>
            </w:pPr>
            <w:r w:rsidRPr="001213F7">
              <w:t>434</w:t>
            </w:r>
          </w:p>
        </w:tc>
        <w:tc>
          <w:tcPr>
            <w:tcW w:w="844" w:type="dxa"/>
            <w:tcBorders>
              <w:top w:val="nil"/>
              <w:left w:val="nil"/>
              <w:bottom w:val="nil"/>
              <w:right w:val="nil"/>
            </w:tcBorders>
            <w:shd w:val="clear" w:color="000000" w:fill="FFFFFF"/>
          </w:tcPr>
          <w:p w14:paraId="1E93F17B" w14:textId="77777777" w:rsidR="00900469" w:rsidRPr="001213F7" w:rsidRDefault="00900469">
            <w:pPr>
              <w:cnfStyle w:val="000000000000" w:firstRow="0" w:lastRow="0" w:firstColumn="0" w:lastColumn="0" w:oddVBand="0" w:evenVBand="0" w:oddHBand="0" w:evenHBand="0" w:firstRowFirstColumn="0" w:firstRowLastColumn="0" w:lastRowFirstColumn="0" w:lastRowLastColumn="0"/>
              <w:rPr>
                <w:rFonts w:cstheme="majorHAnsi"/>
                <w:szCs w:val="17"/>
              </w:rPr>
            </w:pPr>
            <w:r w:rsidRPr="001213F7">
              <w:t>437</w:t>
            </w:r>
          </w:p>
        </w:tc>
        <w:tc>
          <w:tcPr>
            <w:tcW w:w="845" w:type="dxa"/>
            <w:tcBorders>
              <w:top w:val="nil"/>
              <w:left w:val="nil"/>
              <w:bottom w:val="nil"/>
              <w:right w:val="nil"/>
            </w:tcBorders>
            <w:shd w:val="clear" w:color="000000" w:fill="FFFFFF"/>
          </w:tcPr>
          <w:p w14:paraId="2CA3C32B" w14:textId="77777777" w:rsidR="00900469" w:rsidRPr="001213F7" w:rsidRDefault="00900469">
            <w:pPr>
              <w:cnfStyle w:val="000000000000" w:firstRow="0" w:lastRow="0" w:firstColumn="0" w:lastColumn="0" w:oddVBand="0" w:evenVBand="0" w:oddHBand="0" w:evenHBand="0" w:firstRowFirstColumn="0" w:firstRowLastColumn="0" w:lastRowFirstColumn="0" w:lastRowLastColumn="0"/>
              <w:rPr>
                <w:rFonts w:cstheme="majorHAnsi"/>
                <w:szCs w:val="17"/>
              </w:rPr>
            </w:pPr>
            <w:r w:rsidRPr="001213F7">
              <w:t>443</w:t>
            </w:r>
          </w:p>
        </w:tc>
        <w:tc>
          <w:tcPr>
            <w:tcW w:w="845" w:type="dxa"/>
            <w:tcBorders>
              <w:top w:val="nil"/>
              <w:left w:val="nil"/>
              <w:bottom w:val="nil"/>
              <w:right w:val="nil"/>
            </w:tcBorders>
            <w:shd w:val="clear" w:color="000000" w:fill="FFFFFF"/>
          </w:tcPr>
          <w:p w14:paraId="2183070A" w14:textId="77777777" w:rsidR="00900469" w:rsidRPr="001213F7" w:rsidRDefault="00900469">
            <w:pPr>
              <w:cnfStyle w:val="000000000000" w:firstRow="0" w:lastRow="0" w:firstColumn="0" w:lastColumn="0" w:oddVBand="0" w:evenVBand="0" w:oddHBand="0" w:evenHBand="0" w:firstRowFirstColumn="0" w:firstRowLastColumn="0" w:lastRowFirstColumn="0" w:lastRowLastColumn="0"/>
              <w:rPr>
                <w:rFonts w:cstheme="majorHAnsi"/>
                <w:szCs w:val="17"/>
              </w:rPr>
            </w:pPr>
            <w:r w:rsidRPr="001213F7">
              <w:t>454</w:t>
            </w:r>
          </w:p>
        </w:tc>
      </w:tr>
      <w:tr w:rsidR="00900469" w:rsidRPr="001213F7" w14:paraId="61EB313A" w14:textId="77777777">
        <w:tc>
          <w:tcPr>
            <w:cnfStyle w:val="001000000000" w:firstRow="0" w:lastRow="0" w:firstColumn="1" w:lastColumn="0" w:oddVBand="0" w:evenVBand="0" w:oddHBand="0" w:evenHBand="0" w:firstRowFirstColumn="0" w:firstRowLastColumn="0" w:lastRowFirstColumn="0" w:lastRowLastColumn="0"/>
            <w:tcW w:w="4333" w:type="dxa"/>
            <w:tcBorders>
              <w:bottom w:val="single" w:sz="4" w:space="0" w:color="auto"/>
            </w:tcBorders>
            <w:vAlign w:val="bottom"/>
            <w:hideMark/>
          </w:tcPr>
          <w:p w14:paraId="519A558A" w14:textId="77777777" w:rsidR="00900469" w:rsidRPr="001213F7" w:rsidRDefault="00900469">
            <w:pPr>
              <w:autoSpaceDE w:val="0"/>
              <w:autoSpaceDN w:val="0"/>
              <w:adjustRightInd w:val="0"/>
              <w:rPr>
                <w:rFonts w:eastAsiaTheme="minorEastAsia" w:cstheme="majorHAnsi"/>
                <w:szCs w:val="17"/>
                <w:lang w:eastAsia="en-AU"/>
              </w:rPr>
            </w:pPr>
            <w:r w:rsidRPr="001213F7">
              <w:rPr>
                <w:rFonts w:eastAsiaTheme="minorEastAsia" w:cstheme="majorHAnsi"/>
                <w:szCs w:val="17"/>
                <w:lang w:eastAsia="en-AU"/>
              </w:rPr>
              <w:t>Expenses from transactions</w:t>
            </w:r>
          </w:p>
        </w:tc>
        <w:tc>
          <w:tcPr>
            <w:tcW w:w="844" w:type="dxa"/>
            <w:tcBorders>
              <w:top w:val="nil"/>
              <w:left w:val="nil"/>
              <w:bottom w:val="nil"/>
              <w:right w:val="nil"/>
            </w:tcBorders>
            <w:shd w:val="clear" w:color="000000" w:fill="FFFFFF"/>
          </w:tcPr>
          <w:p w14:paraId="28D06DB2" w14:textId="77777777" w:rsidR="00900469" w:rsidRPr="001213F7" w:rsidRDefault="00900469">
            <w:pPr>
              <w:cnfStyle w:val="000000000000" w:firstRow="0" w:lastRow="0" w:firstColumn="0" w:lastColumn="0" w:oddVBand="0" w:evenVBand="0" w:oddHBand="0" w:evenHBand="0" w:firstRowFirstColumn="0" w:firstRowLastColumn="0" w:lastRowFirstColumn="0" w:lastRowLastColumn="0"/>
              <w:rPr>
                <w:rFonts w:cstheme="majorHAnsi"/>
                <w:szCs w:val="17"/>
              </w:rPr>
            </w:pPr>
            <w:r w:rsidRPr="001213F7">
              <w:t>331</w:t>
            </w:r>
          </w:p>
        </w:tc>
        <w:tc>
          <w:tcPr>
            <w:tcW w:w="844" w:type="dxa"/>
            <w:tcBorders>
              <w:top w:val="nil"/>
              <w:left w:val="nil"/>
              <w:bottom w:val="nil"/>
              <w:right w:val="nil"/>
            </w:tcBorders>
            <w:shd w:val="clear" w:color="000000" w:fill="FFFFFF"/>
          </w:tcPr>
          <w:p w14:paraId="5F0D01FB" w14:textId="77777777" w:rsidR="00900469" w:rsidRPr="001213F7" w:rsidRDefault="00900469">
            <w:pPr>
              <w:cnfStyle w:val="000000000000" w:firstRow="0" w:lastRow="0" w:firstColumn="0" w:lastColumn="0" w:oddVBand="0" w:evenVBand="0" w:oddHBand="0" w:evenHBand="0" w:firstRowFirstColumn="0" w:firstRowLastColumn="0" w:lastRowFirstColumn="0" w:lastRowLastColumn="0"/>
              <w:rPr>
                <w:rFonts w:cstheme="majorHAnsi"/>
                <w:szCs w:val="17"/>
              </w:rPr>
            </w:pPr>
            <w:r w:rsidRPr="001213F7">
              <w:t>467</w:t>
            </w:r>
          </w:p>
        </w:tc>
        <w:tc>
          <w:tcPr>
            <w:tcW w:w="845" w:type="dxa"/>
            <w:tcBorders>
              <w:top w:val="nil"/>
              <w:left w:val="nil"/>
              <w:bottom w:val="nil"/>
              <w:right w:val="nil"/>
            </w:tcBorders>
            <w:shd w:val="clear" w:color="000000" w:fill="FFFFFF"/>
          </w:tcPr>
          <w:p w14:paraId="1111DC7E" w14:textId="77777777" w:rsidR="00900469" w:rsidRPr="001213F7" w:rsidRDefault="00900469">
            <w:pPr>
              <w:cnfStyle w:val="000000000000" w:firstRow="0" w:lastRow="0" w:firstColumn="0" w:lastColumn="0" w:oddVBand="0" w:evenVBand="0" w:oddHBand="0" w:evenHBand="0" w:firstRowFirstColumn="0" w:firstRowLastColumn="0" w:lastRowFirstColumn="0" w:lastRowLastColumn="0"/>
              <w:rPr>
                <w:rFonts w:cstheme="majorHAnsi"/>
                <w:szCs w:val="17"/>
              </w:rPr>
            </w:pPr>
            <w:r w:rsidRPr="001213F7">
              <w:t>476</w:t>
            </w:r>
          </w:p>
        </w:tc>
        <w:tc>
          <w:tcPr>
            <w:tcW w:w="845" w:type="dxa"/>
            <w:tcBorders>
              <w:top w:val="nil"/>
              <w:left w:val="nil"/>
              <w:bottom w:val="nil"/>
              <w:right w:val="nil"/>
            </w:tcBorders>
            <w:shd w:val="clear" w:color="000000" w:fill="FFFFFF"/>
          </w:tcPr>
          <w:p w14:paraId="75448D3C" w14:textId="77777777" w:rsidR="00900469" w:rsidRPr="001213F7" w:rsidRDefault="00900469">
            <w:pPr>
              <w:cnfStyle w:val="000000000000" w:firstRow="0" w:lastRow="0" w:firstColumn="0" w:lastColumn="0" w:oddVBand="0" w:evenVBand="0" w:oddHBand="0" w:evenHBand="0" w:firstRowFirstColumn="0" w:firstRowLastColumn="0" w:lastRowFirstColumn="0" w:lastRowLastColumn="0"/>
              <w:rPr>
                <w:rFonts w:cstheme="majorHAnsi"/>
                <w:szCs w:val="17"/>
              </w:rPr>
            </w:pPr>
            <w:r w:rsidRPr="001213F7">
              <w:t>489</w:t>
            </w:r>
          </w:p>
        </w:tc>
      </w:tr>
      <w:tr w:rsidR="00900469" w:rsidRPr="001213F7" w14:paraId="770A212A" w14:textId="77777777">
        <w:tc>
          <w:tcPr>
            <w:cnfStyle w:val="001000000000" w:firstRow="0" w:lastRow="0" w:firstColumn="1" w:lastColumn="0" w:oddVBand="0" w:evenVBand="0" w:oddHBand="0" w:evenHBand="0" w:firstRowFirstColumn="0" w:firstRowLastColumn="0" w:lastRowFirstColumn="0" w:lastRowLastColumn="0"/>
            <w:tcW w:w="4333" w:type="dxa"/>
            <w:tcBorders>
              <w:top w:val="single" w:sz="4" w:space="0" w:color="auto"/>
              <w:bottom w:val="nil"/>
            </w:tcBorders>
            <w:vAlign w:val="bottom"/>
            <w:hideMark/>
          </w:tcPr>
          <w:p w14:paraId="16CC76C8" w14:textId="77777777" w:rsidR="00900469" w:rsidRPr="001213F7" w:rsidRDefault="00900469">
            <w:pPr>
              <w:autoSpaceDE w:val="0"/>
              <w:autoSpaceDN w:val="0"/>
              <w:adjustRightInd w:val="0"/>
              <w:rPr>
                <w:rFonts w:eastAsiaTheme="minorEastAsia" w:cstheme="majorHAnsi"/>
                <w:b/>
                <w:szCs w:val="17"/>
                <w:lang w:eastAsia="en-AU"/>
              </w:rPr>
            </w:pPr>
            <w:r w:rsidRPr="001213F7">
              <w:rPr>
                <w:rFonts w:eastAsiaTheme="minorEastAsia" w:cstheme="majorHAnsi"/>
                <w:b/>
                <w:szCs w:val="17"/>
                <w:lang w:eastAsia="en-AU"/>
              </w:rPr>
              <w:t>Net result from transactions</w:t>
            </w:r>
          </w:p>
        </w:tc>
        <w:tc>
          <w:tcPr>
            <w:tcW w:w="844" w:type="dxa"/>
            <w:tcBorders>
              <w:top w:val="single" w:sz="4" w:space="0" w:color="auto"/>
              <w:left w:val="nil"/>
              <w:bottom w:val="nil"/>
              <w:right w:val="nil"/>
            </w:tcBorders>
            <w:shd w:val="clear" w:color="000000" w:fill="FFFFFF"/>
          </w:tcPr>
          <w:p w14:paraId="3CF5A209" w14:textId="77777777" w:rsidR="00900469" w:rsidRPr="001213F7" w:rsidRDefault="00900469">
            <w:pPr>
              <w:cnfStyle w:val="000000000000" w:firstRow="0" w:lastRow="0" w:firstColumn="0" w:lastColumn="0" w:oddVBand="0" w:evenVBand="0" w:oddHBand="0" w:evenHBand="0" w:firstRowFirstColumn="0" w:firstRowLastColumn="0" w:lastRowFirstColumn="0" w:lastRowLastColumn="0"/>
              <w:rPr>
                <w:rFonts w:cstheme="majorHAnsi"/>
                <w:b/>
                <w:szCs w:val="17"/>
              </w:rPr>
            </w:pPr>
            <w:r w:rsidRPr="001213F7">
              <w:rPr>
                <w:b/>
              </w:rPr>
              <w:t>103</w:t>
            </w:r>
          </w:p>
        </w:tc>
        <w:tc>
          <w:tcPr>
            <w:tcW w:w="844" w:type="dxa"/>
            <w:tcBorders>
              <w:top w:val="single" w:sz="4" w:space="0" w:color="auto"/>
              <w:left w:val="nil"/>
              <w:bottom w:val="nil"/>
              <w:right w:val="nil"/>
            </w:tcBorders>
            <w:shd w:val="clear" w:color="000000" w:fill="FFFFFF"/>
          </w:tcPr>
          <w:p w14:paraId="365602C5" w14:textId="77777777" w:rsidR="00900469" w:rsidRPr="001213F7" w:rsidRDefault="00900469">
            <w:pPr>
              <w:cnfStyle w:val="000000000000" w:firstRow="0" w:lastRow="0" w:firstColumn="0" w:lastColumn="0" w:oddVBand="0" w:evenVBand="0" w:oddHBand="0" w:evenHBand="0" w:firstRowFirstColumn="0" w:firstRowLastColumn="0" w:lastRowFirstColumn="0" w:lastRowLastColumn="0"/>
              <w:rPr>
                <w:rFonts w:cstheme="majorHAnsi"/>
                <w:b/>
                <w:szCs w:val="17"/>
              </w:rPr>
            </w:pPr>
            <w:r w:rsidRPr="001213F7">
              <w:rPr>
                <w:b/>
              </w:rPr>
              <w:t>(30</w:t>
            </w:r>
            <w:r w:rsidRPr="001213F7" w:rsidDel="00F1780B">
              <w:rPr>
                <w:b/>
              </w:rPr>
              <w:t>)</w:t>
            </w:r>
          </w:p>
        </w:tc>
        <w:tc>
          <w:tcPr>
            <w:tcW w:w="845" w:type="dxa"/>
            <w:tcBorders>
              <w:top w:val="single" w:sz="4" w:space="0" w:color="auto"/>
              <w:left w:val="nil"/>
              <w:bottom w:val="nil"/>
              <w:right w:val="nil"/>
            </w:tcBorders>
            <w:shd w:val="clear" w:color="000000" w:fill="FFFFFF"/>
          </w:tcPr>
          <w:p w14:paraId="1CB50EB1" w14:textId="77777777" w:rsidR="00900469" w:rsidRPr="001213F7" w:rsidRDefault="00900469">
            <w:pPr>
              <w:cnfStyle w:val="000000000000" w:firstRow="0" w:lastRow="0" w:firstColumn="0" w:lastColumn="0" w:oddVBand="0" w:evenVBand="0" w:oddHBand="0" w:evenHBand="0" w:firstRowFirstColumn="0" w:firstRowLastColumn="0" w:lastRowFirstColumn="0" w:lastRowLastColumn="0"/>
              <w:rPr>
                <w:rFonts w:cstheme="majorHAnsi"/>
                <w:b/>
                <w:szCs w:val="17"/>
              </w:rPr>
            </w:pPr>
            <w:r w:rsidRPr="001213F7">
              <w:rPr>
                <w:b/>
              </w:rPr>
              <w:t>(33</w:t>
            </w:r>
            <w:r w:rsidRPr="001213F7" w:rsidDel="00F1780B">
              <w:rPr>
                <w:b/>
              </w:rPr>
              <w:t>)</w:t>
            </w:r>
          </w:p>
        </w:tc>
        <w:tc>
          <w:tcPr>
            <w:tcW w:w="845" w:type="dxa"/>
            <w:tcBorders>
              <w:top w:val="single" w:sz="4" w:space="0" w:color="auto"/>
              <w:left w:val="nil"/>
              <w:bottom w:val="nil"/>
              <w:right w:val="nil"/>
            </w:tcBorders>
            <w:shd w:val="clear" w:color="000000" w:fill="FFFFFF"/>
          </w:tcPr>
          <w:p w14:paraId="69016EF2" w14:textId="77777777" w:rsidR="00900469" w:rsidRPr="001213F7" w:rsidRDefault="00900469">
            <w:pPr>
              <w:cnfStyle w:val="000000000000" w:firstRow="0" w:lastRow="0" w:firstColumn="0" w:lastColumn="0" w:oddVBand="0" w:evenVBand="0" w:oddHBand="0" w:evenHBand="0" w:firstRowFirstColumn="0" w:firstRowLastColumn="0" w:lastRowFirstColumn="0" w:lastRowLastColumn="0"/>
              <w:rPr>
                <w:rFonts w:cstheme="majorHAnsi"/>
                <w:b/>
                <w:szCs w:val="17"/>
              </w:rPr>
            </w:pPr>
            <w:r w:rsidRPr="001213F7">
              <w:rPr>
                <w:b/>
              </w:rPr>
              <w:t>(35</w:t>
            </w:r>
            <w:r w:rsidRPr="001213F7" w:rsidDel="00F1780B">
              <w:rPr>
                <w:b/>
              </w:rPr>
              <w:t>)</w:t>
            </w:r>
          </w:p>
        </w:tc>
      </w:tr>
      <w:tr w:rsidR="00900469" w:rsidRPr="001213F7" w14:paraId="2143F91D" w14:textId="77777777">
        <w:tc>
          <w:tcPr>
            <w:cnfStyle w:val="001000000000" w:firstRow="0" w:lastRow="0" w:firstColumn="1" w:lastColumn="0" w:oddVBand="0" w:evenVBand="0" w:oddHBand="0" w:evenHBand="0" w:firstRowFirstColumn="0" w:firstRowLastColumn="0" w:lastRowFirstColumn="0" w:lastRowLastColumn="0"/>
            <w:tcW w:w="4333" w:type="dxa"/>
            <w:tcBorders>
              <w:bottom w:val="single" w:sz="4" w:space="0" w:color="auto"/>
            </w:tcBorders>
            <w:vAlign w:val="bottom"/>
            <w:hideMark/>
          </w:tcPr>
          <w:p w14:paraId="5AA72DA2" w14:textId="77777777" w:rsidR="00900469" w:rsidRPr="001213F7" w:rsidRDefault="00900469">
            <w:pPr>
              <w:autoSpaceDE w:val="0"/>
              <w:autoSpaceDN w:val="0"/>
              <w:adjustRightInd w:val="0"/>
              <w:rPr>
                <w:rFonts w:eastAsiaTheme="minorEastAsia" w:cstheme="majorHAnsi"/>
                <w:b/>
                <w:szCs w:val="17"/>
                <w:lang w:eastAsia="en-AU"/>
              </w:rPr>
            </w:pPr>
            <w:r w:rsidRPr="001213F7">
              <w:rPr>
                <w:rFonts w:eastAsiaTheme="minorEastAsia" w:cstheme="majorHAnsi"/>
                <w:b/>
                <w:szCs w:val="17"/>
                <w:lang w:eastAsia="en-AU"/>
              </w:rPr>
              <w:t xml:space="preserve">Net debt </w:t>
            </w:r>
            <w:r w:rsidRPr="001213F7">
              <w:rPr>
                <w:rFonts w:eastAsiaTheme="minorEastAsia" w:cstheme="majorHAnsi"/>
                <w:b/>
                <w:szCs w:val="17"/>
                <w:vertAlign w:val="superscript"/>
                <w:lang w:eastAsia="en-AU"/>
              </w:rPr>
              <w:t>(h)</w:t>
            </w:r>
          </w:p>
        </w:tc>
        <w:tc>
          <w:tcPr>
            <w:tcW w:w="844" w:type="dxa"/>
            <w:tcBorders>
              <w:top w:val="nil"/>
              <w:left w:val="nil"/>
              <w:bottom w:val="single" w:sz="4" w:space="0" w:color="auto"/>
              <w:right w:val="nil"/>
            </w:tcBorders>
            <w:shd w:val="clear" w:color="000000" w:fill="FFFFFF"/>
          </w:tcPr>
          <w:p w14:paraId="5A8E96E9" w14:textId="77777777" w:rsidR="00900469" w:rsidRPr="001213F7" w:rsidRDefault="00900469">
            <w:pPr>
              <w:cnfStyle w:val="000000000000" w:firstRow="0" w:lastRow="0" w:firstColumn="0" w:lastColumn="0" w:oddVBand="0" w:evenVBand="0" w:oddHBand="0" w:evenHBand="0" w:firstRowFirstColumn="0" w:firstRowLastColumn="0" w:lastRowFirstColumn="0" w:lastRowLastColumn="0"/>
              <w:rPr>
                <w:rFonts w:cstheme="majorHAnsi"/>
                <w:b/>
                <w:szCs w:val="17"/>
              </w:rPr>
            </w:pPr>
            <w:r w:rsidRPr="001213F7">
              <w:rPr>
                <w:b/>
              </w:rPr>
              <w:t>(104</w:t>
            </w:r>
            <w:r w:rsidRPr="001213F7" w:rsidDel="00F1780B">
              <w:rPr>
                <w:b/>
              </w:rPr>
              <w:t>)</w:t>
            </w:r>
          </w:p>
        </w:tc>
        <w:tc>
          <w:tcPr>
            <w:tcW w:w="844" w:type="dxa"/>
            <w:tcBorders>
              <w:top w:val="nil"/>
              <w:left w:val="nil"/>
              <w:bottom w:val="single" w:sz="4" w:space="0" w:color="auto"/>
              <w:right w:val="nil"/>
            </w:tcBorders>
            <w:shd w:val="clear" w:color="000000" w:fill="FFFFFF"/>
          </w:tcPr>
          <w:p w14:paraId="2B405A8A" w14:textId="77777777" w:rsidR="00900469" w:rsidRPr="001213F7" w:rsidRDefault="00900469">
            <w:pPr>
              <w:cnfStyle w:val="000000000000" w:firstRow="0" w:lastRow="0" w:firstColumn="0" w:lastColumn="0" w:oddVBand="0" w:evenVBand="0" w:oddHBand="0" w:evenHBand="0" w:firstRowFirstColumn="0" w:firstRowLastColumn="0" w:lastRowFirstColumn="0" w:lastRowLastColumn="0"/>
              <w:rPr>
                <w:rFonts w:cstheme="majorHAnsi"/>
                <w:b/>
                <w:szCs w:val="17"/>
              </w:rPr>
            </w:pPr>
            <w:r w:rsidRPr="001213F7">
              <w:rPr>
                <w:b/>
              </w:rPr>
              <w:t>(224</w:t>
            </w:r>
            <w:r w:rsidRPr="001213F7" w:rsidDel="00F1780B">
              <w:rPr>
                <w:b/>
              </w:rPr>
              <w:t>)</w:t>
            </w:r>
          </w:p>
        </w:tc>
        <w:tc>
          <w:tcPr>
            <w:tcW w:w="845" w:type="dxa"/>
            <w:tcBorders>
              <w:top w:val="nil"/>
              <w:left w:val="nil"/>
              <w:bottom w:val="single" w:sz="4" w:space="0" w:color="auto"/>
              <w:right w:val="nil"/>
            </w:tcBorders>
            <w:shd w:val="clear" w:color="000000" w:fill="FFFFFF"/>
          </w:tcPr>
          <w:p w14:paraId="5EDE1734" w14:textId="77777777" w:rsidR="00900469" w:rsidRPr="001213F7" w:rsidRDefault="00900469">
            <w:pPr>
              <w:cnfStyle w:val="000000000000" w:firstRow="0" w:lastRow="0" w:firstColumn="0" w:lastColumn="0" w:oddVBand="0" w:evenVBand="0" w:oddHBand="0" w:evenHBand="0" w:firstRowFirstColumn="0" w:firstRowLastColumn="0" w:lastRowFirstColumn="0" w:lastRowLastColumn="0"/>
              <w:rPr>
                <w:rFonts w:cstheme="majorHAnsi"/>
                <w:b/>
                <w:szCs w:val="17"/>
              </w:rPr>
            </w:pPr>
            <w:r w:rsidRPr="001213F7">
              <w:rPr>
                <w:b/>
              </w:rPr>
              <w:t>(351</w:t>
            </w:r>
            <w:r w:rsidRPr="001213F7" w:rsidDel="00F1780B">
              <w:rPr>
                <w:b/>
              </w:rPr>
              <w:t>)</w:t>
            </w:r>
          </w:p>
        </w:tc>
        <w:tc>
          <w:tcPr>
            <w:tcW w:w="845" w:type="dxa"/>
            <w:tcBorders>
              <w:top w:val="nil"/>
              <w:left w:val="nil"/>
              <w:bottom w:val="single" w:sz="4" w:space="0" w:color="auto"/>
              <w:right w:val="nil"/>
            </w:tcBorders>
            <w:shd w:val="clear" w:color="000000" w:fill="FFFFFF"/>
          </w:tcPr>
          <w:p w14:paraId="092D1324" w14:textId="77777777" w:rsidR="00900469" w:rsidRPr="001213F7" w:rsidRDefault="00900469">
            <w:pPr>
              <w:cnfStyle w:val="000000000000" w:firstRow="0" w:lastRow="0" w:firstColumn="0" w:lastColumn="0" w:oddVBand="0" w:evenVBand="0" w:oddHBand="0" w:evenHBand="0" w:firstRowFirstColumn="0" w:firstRowLastColumn="0" w:lastRowFirstColumn="0" w:lastRowLastColumn="0"/>
              <w:rPr>
                <w:rFonts w:cstheme="majorHAnsi"/>
                <w:b/>
                <w:szCs w:val="17"/>
              </w:rPr>
            </w:pPr>
            <w:r w:rsidRPr="001213F7">
              <w:rPr>
                <w:b/>
              </w:rPr>
              <w:t>(483</w:t>
            </w:r>
            <w:r w:rsidRPr="001213F7" w:rsidDel="00F1780B">
              <w:rPr>
                <w:b/>
              </w:rPr>
              <w:t>)</w:t>
            </w:r>
          </w:p>
        </w:tc>
      </w:tr>
      <w:tr w:rsidR="00900469" w:rsidRPr="001213F7" w14:paraId="3EE7CFD4" w14:textId="77777777">
        <w:tc>
          <w:tcPr>
            <w:cnfStyle w:val="001000000000" w:firstRow="0" w:lastRow="0" w:firstColumn="1" w:lastColumn="0" w:oddVBand="0" w:evenVBand="0" w:oddHBand="0" w:evenHBand="0" w:firstRowFirstColumn="0" w:firstRowLastColumn="0" w:lastRowFirstColumn="0" w:lastRowLastColumn="0"/>
            <w:tcW w:w="4333" w:type="dxa"/>
            <w:tcBorders>
              <w:top w:val="single" w:sz="4" w:space="0" w:color="auto"/>
            </w:tcBorders>
            <w:vAlign w:val="bottom"/>
            <w:hideMark/>
          </w:tcPr>
          <w:p w14:paraId="47B88761" w14:textId="77777777" w:rsidR="00900469" w:rsidRPr="001213F7" w:rsidRDefault="00900469">
            <w:pPr>
              <w:autoSpaceDE w:val="0"/>
              <w:autoSpaceDN w:val="0"/>
              <w:adjustRightInd w:val="0"/>
              <w:rPr>
                <w:rFonts w:eastAsiaTheme="minorEastAsia" w:cstheme="majorHAnsi"/>
                <w:b/>
                <w:szCs w:val="17"/>
                <w:lang w:eastAsia="en-AU"/>
              </w:rPr>
            </w:pPr>
            <w:r w:rsidRPr="001213F7">
              <w:rPr>
                <w:rFonts w:eastAsiaTheme="minorEastAsia" w:cstheme="majorHAnsi"/>
                <w:b/>
                <w:szCs w:val="17"/>
                <w:lang w:eastAsia="en-AU"/>
              </w:rPr>
              <w:t xml:space="preserve">Average weekly earnings </w:t>
            </w:r>
            <w:r w:rsidRPr="001213F7">
              <w:rPr>
                <w:rFonts w:eastAsiaTheme="minorEastAsia" w:cstheme="majorHAnsi"/>
                <w:b/>
                <w:szCs w:val="17"/>
                <w:vertAlign w:val="superscript"/>
                <w:lang w:eastAsia="en-AU"/>
              </w:rPr>
              <w:t>(i)</w:t>
            </w:r>
          </w:p>
        </w:tc>
        <w:tc>
          <w:tcPr>
            <w:tcW w:w="844" w:type="dxa"/>
            <w:tcBorders>
              <w:top w:val="single" w:sz="4" w:space="0" w:color="auto"/>
              <w:left w:val="nil"/>
              <w:bottom w:val="nil"/>
              <w:right w:val="nil"/>
            </w:tcBorders>
          </w:tcPr>
          <w:p w14:paraId="0D2E76C6" w14:textId="77777777" w:rsidR="00900469" w:rsidRPr="001213F7" w:rsidRDefault="00900469">
            <w:pPr>
              <w:cnfStyle w:val="000000000000" w:firstRow="0" w:lastRow="0" w:firstColumn="0" w:lastColumn="0" w:oddVBand="0" w:evenVBand="0" w:oddHBand="0" w:evenHBand="0" w:firstRowFirstColumn="0" w:firstRowLastColumn="0" w:lastRowFirstColumn="0" w:lastRowLastColumn="0"/>
              <w:rPr>
                <w:rFonts w:cstheme="majorHAnsi"/>
                <w:szCs w:val="17"/>
              </w:rPr>
            </w:pPr>
          </w:p>
        </w:tc>
        <w:tc>
          <w:tcPr>
            <w:tcW w:w="844" w:type="dxa"/>
            <w:tcBorders>
              <w:top w:val="single" w:sz="4" w:space="0" w:color="auto"/>
              <w:left w:val="nil"/>
              <w:bottom w:val="nil"/>
              <w:right w:val="nil"/>
            </w:tcBorders>
          </w:tcPr>
          <w:p w14:paraId="4A8F37EF" w14:textId="77777777" w:rsidR="00900469" w:rsidRPr="001213F7" w:rsidRDefault="00900469">
            <w:pPr>
              <w:cnfStyle w:val="000000000000" w:firstRow="0" w:lastRow="0" w:firstColumn="0" w:lastColumn="0" w:oddVBand="0" w:evenVBand="0" w:oddHBand="0" w:evenHBand="0" w:firstRowFirstColumn="0" w:firstRowLastColumn="0" w:lastRowFirstColumn="0" w:lastRowLastColumn="0"/>
              <w:rPr>
                <w:rFonts w:cstheme="majorHAnsi"/>
                <w:szCs w:val="17"/>
              </w:rPr>
            </w:pPr>
          </w:p>
        </w:tc>
        <w:tc>
          <w:tcPr>
            <w:tcW w:w="845" w:type="dxa"/>
            <w:tcBorders>
              <w:top w:val="single" w:sz="4" w:space="0" w:color="auto"/>
              <w:left w:val="nil"/>
              <w:bottom w:val="nil"/>
              <w:right w:val="nil"/>
            </w:tcBorders>
          </w:tcPr>
          <w:p w14:paraId="7361B9E4" w14:textId="77777777" w:rsidR="00900469" w:rsidRPr="001213F7" w:rsidRDefault="00900469">
            <w:pPr>
              <w:cnfStyle w:val="000000000000" w:firstRow="0" w:lastRow="0" w:firstColumn="0" w:lastColumn="0" w:oddVBand="0" w:evenVBand="0" w:oddHBand="0" w:evenHBand="0" w:firstRowFirstColumn="0" w:firstRowLastColumn="0" w:lastRowFirstColumn="0" w:lastRowLastColumn="0"/>
              <w:rPr>
                <w:rFonts w:cstheme="majorHAnsi"/>
                <w:szCs w:val="17"/>
              </w:rPr>
            </w:pPr>
          </w:p>
        </w:tc>
        <w:tc>
          <w:tcPr>
            <w:tcW w:w="845" w:type="dxa"/>
            <w:tcBorders>
              <w:top w:val="single" w:sz="4" w:space="0" w:color="auto"/>
              <w:left w:val="nil"/>
              <w:bottom w:val="nil"/>
              <w:right w:val="nil"/>
            </w:tcBorders>
          </w:tcPr>
          <w:p w14:paraId="07255984" w14:textId="77777777" w:rsidR="00900469" w:rsidRPr="001213F7" w:rsidRDefault="00900469">
            <w:pPr>
              <w:cnfStyle w:val="000000000000" w:firstRow="0" w:lastRow="0" w:firstColumn="0" w:lastColumn="0" w:oddVBand="0" w:evenVBand="0" w:oddHBand="0" w:evenHBand="0" w:firstRowFirstColumn="0" w:firstRowLastColumn="0" w:lastRowFirstColumn="0" w:lastRowLastColumn="0"/>
              <w:rPr>
                <w:rFonts w:cstheme="majorHAnsi"/>
                <w:szCs w:val="17"/>
              </w:rPr>
            </w:pPr>
          </w:p>
        </w:tc>
      </w:tr>
      <w:tr w:rsidR="00900469" w:rsidRPr="001213F7" w14:paraId="424FC1C1" w14:textId="77777777">
        <w:tc>
          <w:tcPr>
            <w:cnfStyle w:val="001000000000" w:firstRow="0" w:lastRow="0" w:firstColumn="1" w:lastColumn="0" w:oddVBand="0" w:evenVBand="0" w:oddHBand="0" w:evenHBand="0" w:firstRowFirstColumn="0" w:firstRowLastColumn="0" w:lastRowFirstColumn="0" w:lastRowLastColumn="0"/>
            <w:tcW w:w="4333" w:type="dxa"/>
            <w:vAlign w:val="bottom"/>
            <w:hideMark/>
          </w:tcPr>
          <w:p w14:paraId="5E1CDEAA" w14:textId="77777777" w:rsidR="00900469" w:rsidRPr="001213F7" w:rsidRDefault="00900469">
            <w:pPr>
              <w:autoSpaceDE w:val="0"/>
              <w:autoSpaceDN w:val="0"/>
              <w:adjustRightInd w:val="0"/>
              <w:rPr>
                <w:rFonts w:eastAsiaTheme="minorEastAsia" w:cstheme="majorHAnsi"/>
                <w:szCs w:val="17"/>
                <w:lang w:eastAsia="en-AU"/>
              </w:rPr>
            </w:pPr>
            <w:r w:rsidRPr="001213F7">
              <w:rPr>
                <w:rFonts w:eastAsiaTheme="minorEastAsia" w:cstheme="majorHAnsi"/>
                <w:szCs w:val="17"/>
                <w:lang w:eastAsia="en-AU"/>
              </w:rPr>
              <w:t>Income from transactions</w:t>
            </w:r>
          </w:p>
        </w:tc>
        <w:tc>
          <w:tcPr>
            <w:tcW w:w="844" w:type="dxa"/>
            <w:tcBorders>
              <w:top w:val="nil"/>
              <w:left w:val="nil"/>
              <w:bottom w:val="nil"/>
              <w:right w:val="nil"/>
            </w:tcBorders>
            <w:shd w:val="clear" w:color="000000" w:fill="FFFFFF"/>
          </w:tcPr>
          <w:p w14:paraId="14971A1E" w14:textId="77777777" w:rsidR="00900469" w:rsidRPr="001213F7" w:rsidRDefault="00900469">
            <w:pPr>
              <w:cnfStyle w:val="000000000000" w:firstRow="0" w:lastRow="0" w:firstColumn="0" w:lastColumn="0" w:oddVBand="0" w:evenVBand="0" w:oddHBand="0" w:evenHBand="0" w:firstRowFirstColumn="0" w:firstRowLastColumn="0" w:lastRowFirstColumn="0" w:lastRowLastColumn="0"/>
              <w:rPr>
                <w:rFonts w:cstheme="majorHAnsi"/>
                <w:szCs w:val="17"/>
              </w:rPr>
            </w:pPr>
            <w:r w:rsidRPr="001213F7" w:rsidDel="00F1780B">
              <w:t>155</w:t>
            </w:r>
          </w:p>
        </w:tc>
        <w:tc>
          <w:tcPr>
            <w:tcW w:w="844" w:type="dxa"/>
            <w:tcBorders>
              <w:top w:val="nil"/>
              <w:left w:val="nil"/>
              <w:bottom w:val="nil"/>
              <w:right w:val="nil"/>
            </w:tcBorders>
            <w:shd w:val="clear" w:color="000000" w:fill="FFFFFF"/>
          </w:tcPr>
          <w:p w14:paraId="03D1BC21" w14:textId="77777777" w:rsidR="00900469" w:rsidRPr="001213F7" w:rsidRDefault="00900469">
            <w:pPr>
              <w:cnfStyle w:val="000000000000" w:firstRow="0" w:lastRow="0" w:firstColumn="0" w:lastColumn="0" w:oddVBand="0" w:evenVBand="0" w:oddHBand="0" w:evenHBand="0" w:firstRowFirstColumn="0" w:firstRowLastColumn="0" w:lastRowFirstColumn="0" w:lastRowLastColumn="0"/>
              <w:rPr>
                <w:rFonts w:cstheme="majorHAnsi"/>
                <w:szCs w:val="17"/>
              </w:rPr>
            </w:pPr>
            <w:r w:rsidRPr="001213F7" w:rsidDel="00F1780B">
              <w:t>162</w:t>
            </w:r>
          </w:p>
        </w:tc>
        <w:tc>
          <w:tcPr>
            <w:tcW w:w="845" w:type="dxa"/>
            <w:tcBorders>
              <w:top w:val="nil"/>
              <w:left w:val="nil"/>
              <w:bottom w:val="nil"/>
              <w:right w:val="nil"/>
            </w:tcBorders>
            <w:shd w:val="clear" w:color="000000" w:fill="FFFFFF"/>
          </w:tcPr>
          <w:p w14:paraId="202AFF8E" w14:textId="77777777" w:rsidR="00900469" w:rsidRPr="001213F7" w:rsidRDefault="00900469">
            <w:pPr>
              <w:cnfStyle w:val="000000000000" w:firstRow="0" w:lastRow="0" w:firstColumn="0" w:lastColumn="0" w:oddVBand="0" w:evenVBand="0" w:oddHBand="0" w:evenHBand="0" w:firstRowFirstColumn="0" w:firstRowLastColumn="0" w:lastRowFirstColumn="0" w:lastRowLastColumn="0"/>
              <w:rPr>
                <w:rFonts w:cstheme="majorHAnsi"/>
                <w:szCs w:val="17"/>
              </w:rPr>
            </w:pPr>
            <w:r w:rsidRPr="001213F7">
              <w:t>170</w:t>
            </w:r>
          </w:p>
        </w:tc>
        <w:tc>
          <w:tcPr>
            <w:tcW w:w="845" w:type="dxa"/>
            <w:tcBorders>
              <w:top w:val="nil"/>
              <w:left w:val="nil"/>
              <w:bottom w:val="nil"/>
              <w:right w:val="nil"/>
            </w:tcBorders>
            <w:shd w:val="clear" w:color="000000" w:fill="FFFFFF"/>
          </w:tcPr>
          <w:p w14:paraId="2C9A9B97" w14:textId="77777777" w:rsidR="00900469" w:rsidRPr="001213F7" w:rsidRDefault="00900469">
            <w:pPr>
              <w:cnfStyle w:val="000000000000" w:firstRow="0" w:lastRow="0" w:firstColumn="0" w:lastColumn="0" w:oddVBand="0" w:evenVBand="0" w:oddHBand="0" w:evenHBand="0" w:firstRowFirstColumn="0" w:firstRowLastColumn="0" w:lastRowFirstColumn="0" w:lastRowLastColumn="0"/>
              <w:rPr>
                <w:rFonts w:cstheme="majorHAnsi"/>
                <w:szCs w:val="17"/>
              </w:rPr>
            </w:pPr>
            <w:r w:rsidRPr="001213F7">
              <w:t>176</w:t>
            </w:r>
          </w:p>
        </w:tc>
      </w:tr>
      <w:tr w:rsidR="00900469" w:rsidRPr="001213F7" w14:paraId="2460CA42" w14:textId="77777777">
        <w:tc>
          <w:tcPr>
            <w:cnfStyle w:val="001000000000" w:firstRow="0" w:lastRow="0" w:firstColumn="1" w:lastColumn="0" w:oddVBand="0" w:evenVBand="0" w:oddHBand="0" w:evenHBand="0" w:firstRowFirstColumn="0" w:firstRowLastColumn="0" w:lastRowFirstColumn="0" w:lastRowLastColumn="0"/>
            <w:tcW w:w="4333" w:type="dxa"/>
            <w:tcBorders>
              <w:bottom w:val="single" w:sz="4" w:space="0" w:color="auto"/>
            </w:tcBorders>
            <w:vAlign w:val="bottom"/>
            <w:hideMark/>
          </w:tcPr>
          <w:p w14:paraId="08C8D10C" w14:textId="77777777" w:rsidR="00900469" w:rsidRPr="001213F7" w:rsidRDefault="00900469">
            <w:pPr>
              <w:autoSpaceDE w:val="0"/>
              <w:autoSpaceDN w:val="0"/>
              <w:adjustRightInd w:val="0"/>
              <w:rPr>
                <w:rFonts w:eastAsiaTheme="minorEastAsia" w:cstheme="majorHAnsi"/>
                <w:szCs w:val="17"/>
                <w:lang w:eastAsia="en-AU"/>
              </w:rPr>
            </w:pPr>
            <w:r w:rsidRPr="001213F7">
              <w:rPr>
                <w:rFonts w:eastAsiaTheme="minorEastAsia" w:cstheme="majorHAnsi"/>
                <w:szCs w:val="17"/>
                <w:lang w:eastAsia="en-AU"/>
              </w:rPr>
              <w:t>Expenses from transactions</w:t>
            </w:r>
          </w:p>
        </w:tc>
        <w:tc>
          <w:tcPr>
            <w:tcW w:w="844" w:type="dxa"/>
            <w:tcBorders>
              <w:top w:val="nil"/>
              <w:left w:val="nil"/>
              <w:bottom w:val="nil"/>
              <w:right w:val="nil"/>
            </w:tcBorders>
            <w:shd w:val="clear" w:color="000000" w:fill="FFFFFF"/>
          </w:tcPr>
          <w:p w14:paraId="1B087B39" w14:textId="77777777" w:rsidR="00900469" w:rsidRPr="001213F7" w:rsidRDefault="00900469">
            <w:pPr>
              <w:cnfStyle w:val="000000000000" w:firstRow="0" w:lastRow="0" w:firstColumn="0" w:lastColumn="0" w:oddVBand="0" w:evenVBand="0" w:oddHBand="0" w:evenHBand="0" w:firstRowFirstColumn="0" w:firstRowLastColumn="0" w:lastRowFirstColumn="0" w:lastRowLastColumn="0"/>
              <w:rPr>
                <w:rFonts w:cstheme="majorHAnsi"/>
                <w:szCs w:val="17"/>
              </w:rPr>
            </w:pPr>
            <w:r w:rsidRPr="001213F7" w:rsidDel="00F1780B">
              <w:t>2</w:t>
            </w:r>
          </w:p>
        </w:tc>
        <w:tc>
          <w:tcPr>
            <w:tcW w:w="844" w:type="dxa"/>
            <w:tcBorders>
              <w:top w:val="nil"/>
              <w:left w:val="nil"/>
              <w:bottom w:val="nil"/>
              <w:right w:val="nil"/>
            </w:tcBorders>
            <w:shd w:val="clear" w:color="000000" w:fill="FFFFFF"/>
          </w:tcPr>
          <w:p w14:paraId="2F6C0696" w14:textId="77777777" w:rsidR="00900469" w:rsidRPr="001213F7" w:rsidRDefault="00900469">
            <w:pPr>
              <w:cnfStyle w:val="000000000000" w:firstRow="0" w:lastRow="0" w:firstColumn="0" w:lastColumn="0" w:oddVBand="0" w:evenVBand="0" w:oddHBand="0" w:evenHBand="0" w:firstRowFirstColumn="0" w:firstRowLastColumn="0" w:lastRowFirstColumn="0" w:lastRowLastColumn="0"/>
              <w:rPr>
                <w:rFonts w:cstheme="majorHAnsi"/>
                <w:szCs w:val="17"/>
              </w:rPr>
            </w:pPr>
            <w:r w:rsidRPr="001213F7">
              <w:t>(6</w:t>
            </w:r>
            <w:r w:rsidRPr="001213F7" w:rsidDel="00F1780B">
              <w:t>)</w:t>
            </w:r>
          </w:p>
        </w:tc>
        <w:tc>
          <w:tcPr>
            <w:tcW w:w="845" w:type="dxa"/>
            <w:tcBorders>
              <w:top w:val="nil"/>
              <w:left w:val="nil"/>
              <w:bottom w:val="nil"/>
              <w:right w:val="nil"/>
            </w:tcBorders>
            <w:shd w:val="clear" w:color="000000" w:fill="FFFFFF"/>
          </w:tcPr>
          <w:p w14:paraId="5E4569E7" w14:textId="77777777" w:rsidR="00900469" w:rsidRPr="001213F7" w:rsidRDefault="00900469">
            <w:pPr>
              <w:cnfStyle w:val="000000000000" w:firstRow="0" w:lastRow="0" w:firstColumn="0" w:lastColumn="0" w:oddVBand="0" w:evenVBand="0" w:oddHBand="0" w:evenHBand="0" w:firstRowFirstColumn="0" w:firstRowLastColumn="0" w:lastRowFirstColumn="0" w:lastRowLastColumn="0"/>
              <w:rPr>
                <w:rFonts w:cstheme="majorHAnsi"/>
                <w:szCs w:val="17"/>
              </w:rPr>
            </w:pPr>
            <w:r w:rsidRPr="001213F7">
              <w:t>(14</w:t>
            </w:r>
            <w:r w:rsidRPr="001213F7" w:rsidDel="00F1780B">
              <w:t>)</w:t>
            </w:r>
          </w:p>
        </w:tc>
        <w:tc>
          <w:tcPr>
            <w:tcW w:w="845" w:type="dxa"/>
            <w:tcBorders>
              <w:top w:val="nil"/>
              <w:left w:val="nil"/>
              <w:bottom w:val="nil"/>
              <w:right w:val="nil"/>
            </w:tcBorders>
            <w:shd w:val="clear" w:color="000000" w:fill="FFFFFF"/>
          </w:tcPr>
          <w:p w14:paraId="27FCB2B6" w14:textId="77777777" w:rsidR="00900469" w:rsidRPr="001213F7" w:rsidRDefault="00900469">
            <w:pPr>
              <w:cnfStyle w:val="000000000000" w:firstRow="0" w:lastRow="0" w:firstColumn="0" w:lastColumn="0" w:oddVBand="0" w:evenVBand="0" w:oddHBand="0" w:evenHBand="0" w:firstRowFirstColumn="0" w:firstRowLastColumn="0" w:lastRowFirstColumn="0" w:lastRowLastColumn="0"/>
              <w:rPr>
                <w:rFonts w:cstheme="majorHAnsi"/>
                <w:szCs w:val="17"/>
              </w:rPr>
            </w:pPr>
            <w:r w:rsidRPr="001213F7">
              <w:t>(24</w:t>
            </w:r>
            <w:r w:rsidRPr="001213F7" w:rsidDel="00F1780B">
              <w:t>)</w:t>
            </w:r>
          </w:p>
        </w:tc>
      </w:tr>
      <w:tr w:rsidR="00900469" w:rsidRPr="001213F7" w14:paraId="71F9D1C9" w14:textId="77777777">
        <w:tc>
          <w:tcPr>
            <w:cnfStyle w:val="001000000000" w:firstRow="0" w:lastRow="0" w:firstColumn="1" w:lastColumn="0" w:oddVBand="0" w:evenVBand="0" w:oddHBand="0" w:evenHBand="0" w:firstRowFirstColumn="0" w:firstRowLastColumn="0" w:lastRowFirstColumn="0" w:lastRowLastColumn="0"/>
            <w:tcW w:w="4333" w:type="dxa"/>
            <w:tcBorders>
              <w:top w:val="single" w:sz="4" w:space="0" w:color="auto"/>
              <w:bottom w:val="nil"/>
            </w:tcBorders>
            <w:vAlign w:val="bottom"/>
            <w:hideMark/>
          </w:tcPr>
          <w:p w14:paraId="303C0D29" w14:textId="77777777" w:rsidR="00900469" w:rsidRPr="001213F7" w:rsidRDefault="00900469">
            <w:pPr>
              <w:autoSpaceDE w:val="0"/>
              <w:autoSpaceDN w:val="0"/>
              <w:adjustRightInd w:val="0"/>
              <w:rPr>
                <w:rFonts w:eastAsiaTheme="minorEastAsia" w:cstheme="majorHAnsi"/>
                <w:b/>
                <w:szCs w:val="17"/>
                <w:lang w:eastAsia="en-AU"/>
              </w:rPr>
            </w:pPr>
            <w:r w:rsidRPr="001213F7">
              <w:rPr>
                <w:rFonts w:eastAsiaTheme="minorEastAsia" w:cstheme="majorHAnsi"/>
                <w:b/>
                <w:szCs w:val="17"/>
                <w:lang w:eastAsia="en-AU"/>
              </w:rPr>
              <w:t>Net result from transactions</w:t>
            </w:r>
          </w:p>
        </w:tc>
        <w:tc>
          <w:tcPr>
            <w:tcW w:w="844" w:type="dxa"/>
            <w:tcBorders>
              <w:top w:val="single" w:sz="4" w:space="0" w:color="auto"/>
              <w:left w:val="nil"/>
              <w:bottom w:val="nil"/>
              <w:right w:val="nil"/>
            </w:tcBorders>
            <w:shd w:val="clear" w:color="000000" w:fill="FFFFFF"/>
          </w:tcPr>
          <w:p w14:paraId="0AD1A6CE" w14:textId="77777777" w:rsidR="00900469" w:rsidRPr="001213F7" w:rsidRDefault="00900469">
            <w:pPr>
              <w:cnfStyle w:val="000000000000" w:firstRow="0" w:lastRow="0" w:firstColumn="0" w:lastColumn="0" w:oddVBand="0" w:evenVBand="0" w:oddHBand="0" w:evenHBand="0" w:firstRowFirstColumn="0" w:firstRowLastColumn="0" w:lastRowFirstColumn="0" w:lastRowLastColumn="0"/>
              <w:rPr>
                <w:rFonts w:cstheme="majorHAnsi"/>
                <w:b/>
                <w:szCs w:val="17"/>
              </w:rPr>
            </w:pPr>
            <w:r w:rsidRPr="001213F7" w:rsidDel="00F1780B">
              <w:rPr>
                <w:b/>
              </w:rPr>
              <w:t>153</w:t>
            </w:r>
          </w:p>
        </w:tc>
        <w:tc>
          <w:tcPr>
            <w:tcW w:w="844" w:type="dxa"/>
            <w:tcBorders>
              <w:top w:val="single" w:sz="4" w:space="0" w:color="auto"/>
              <w:left w:val="nil"/>
              <w:bottom w:val="nil"/>
              <w:right w:val="nil"/>
            </w:tcBorders>
            <w:shd w:val="clear" w:color="000000" w:fill="FFFFFF"/>
          </w:tcPr>
          <w:p w14:paraId="27F8D633" w14:textId="77777777" w:rsidR="00900469" w:rsidRPr="001213F7" w:rsidRDefault="00900469">
            <w:pPr>
              <w:cnfStyle w:val="000000000000" w:firstRow="0" w:lastRow="0" w:firstColumn="0" w:lastColumn="0" w:oddVBand="0" w:evenVBand="0" w:oddHBand="0" w:evenHBand="0" w:firstRowFirstColumn="0" w:firstRowLastColumn="0" w:lastRowFirstColumn="0" w:lastRowLastColumn="0"/>
              <w:rPr>
                <w:rFonts w:cstheme="majorHAnsi"/>
                <w:b/>
                <w:szCs w:val="17"/>
              </w:rPr>
            </w:pPr>
            <w:r w:rsidRPr="001213F7">
              <w:rPr>
                <w:b/>
              </w:rPr>
              <w:t>168</w:t>
            </w:r>
          </w:p>
        </w:tc>
        <w:tc>
          <w:tcPr>
            <w:tcW w:w="845" w:type="dxa"/>
            <w:tcBorders>
              <w:top w:val="single" w:sz="4" w:space="0" w:color="auto"/>
              <w:left w:val="nil"/>
              <w:bottom w:val="nil"/>
              <w:right w:val="nil"/>
            </w:tcBorders>
            <w:shd w:val="clear" w:color="000000" w:fill="FFFFFF"/>
          </w:tcPr>
          <w:p w14:paraId="103E2032" w14:textId="77777777" w:rsidR="00900469" w:rsidRPr="001213F7" w:rsidRDefault="00900469">
            <w:pPr>
              <w:cnfStyle w:val="000000000000" w:firstRow="0" w:lastRow="0" w:firstColumn="0" w:lastColumn="0" w:oddVBand="0" w:evenVBand="0" w:oddHBand="0" w:evenHBand="0" w:firstRowFirstColumn="0" w:firstRowLastColumn="0" w:lastRowFirstColumn="0" w:lastRowLastColumn="0"/>
              <w:rPr>
                <w:rFonts w:cstheme="majorHAnsi"/>
                <w:b/>
                <w:szCs w:val="17"/>
              </w:rPr>
            </w:pPr>
            <w:r w:rsidRPr="001213F7">
              <w:rPr>
                <w:b/>
              </w:rPr>
              <w:t>184</w:t>
            </w:r>
          </w:p>
        </w:tc>
        <w:tc>
          <w:tcPr>
            <w:tcW w:w="845" w:type="dxa"/>
            <w:tcBorders>
              <w:top w:val="single" w:sz="4" w:space="0" w:color="auto"/>
              <w:left w:val="nil"/>
              <w:bottom w:val="nil"/>
              <w:right w:val="nil"/>
            </w:tcBorders>
            <w:shd w:val="clear" w:color="000000" w:fill="FFFFFF"/>
          </w:tcPr>
          <w:p w14:paraId="3A65E473" w14:textId="77777777" w:rsidR="00900469" w:rsidRPr="001213F7" w:rsidRDefault="00900469">
            <w:pPr>
              <w:cnfStyle w:val="000000000000" w:firstRow="0" w:lastRow="0" w:firstColumn="0" w:lastColumn="0" w:oddVBand="0" w:evenVBand="0" w:oddHBand="0" w:evenHBand="0" w:firstRowFirstColumn="0" w:firstRowLastColumn="0" w:lastRowFirstColumn="0" w:lastRowLastColumn="0"/>
              <w:rPr>
                <w:rFonts w:cstheme="majorHAnsi"/>
                <w:b/>
                <w:szCs w:val="17"/>
              </w:rPr>
            </w:pPr>
            <w:r w:rsidRPr="001213F7">
              <w:rPr>
                <w:b/>
              </w:rPr>
              <w:t>200</w:t>
            </w:r>
          </w:p>
        </w:tc>
      </w:tr>
      <w:tr w:rsidR="00900469" w:rsidRPr="001213F7" w14:paraId="3E5A878F" w14:textId="77777777">
        <w:tc>
          <w:tcPr>
            <w:cnfStyle w:val="001000000000" w:firstRow="0" w:lastRow="0" w:firstColumn="1" w:lastColumn="0" w:oddVBand="0" w:evenVBand="0" w:oddHBand="0" w:evenHBand="0" w:firstRowFirstColumn="0" w:firstRowLastColumn="0" w:lastRowFirstColumn="0" w:lastRowLastColumn="0"/>
            <w:tcW w:w="4333" w:type="dxa"/>
            <w:tcBorders>
              <w:bottom w:val="single" w:sz="4" w:space="0" w:color="auto"/>
            </w:tcBorders>
            <w:vAlign w:val="bottom"/>
            <w:hideMark/>
          </w:tcPr>
          <w:p w14:paraId="17F20D33" w14:textId="77777777" w:rsidR="00900469" w:rsidRPr="001213F7" w:rsidRDefault="00900469">
            <w:pPr>
              <w:autoSpaceDE w:val="0"/>
              <w:autoSpaceDN w:val="0"/>
              <w:adjustRightInd w:val="0"/>
              <w:rPr>
                <w:rFonts w:eastAsiaTheme="minorEastAsia" w:cstheme="majorHAnsi"/>
                <w:b/>
                <w:szCs w:val="17"/>
                <w:lang w:eastAsia="en-AU"/>
              </w:rPr>
            </w:pPr>
            <w:r w:rsidRPr="001213F7">
              <w:rPr>
                <w:rFonts w:eastAsiaTheme="minorEastAsia" w:cstheme="majorHAnsi"/>
                <w:b/>
                <w:szCs w:val="17"/>
                <w:lang w:eastAsia="en-AU"/>
              </w:rPr>
              <w:t>Net debt</w:t>
            </w:r>
          </w:p>
        </w:tc>
        <w:tc>
          <w:tcPr>
            <w:tcW w:w="844" w:type="dxa"/>
            <w:tcBorders>
              <w:top w:val="nil"/>
              <w:left w:val="nil"/>
              <w:bottom w:val="single" w:sz="4" w:space="0" w:color="auto"/>
              <w:right w:val="nil"/>
            </w:tcBorders>
            <w:shd w:val="clear" w:color="000000" w:fill="FFFFFF"/>
          </w:tcPr>
          <w:p w14:paraId="3BF116B3" w14:textId="77777777" w:rsidR="00900469" w:rsidRPr="001213F7" w:rsidRDefault="00900469">
            <w:pPr>
              <w:cnfStyle w:val="000000000000" w:firstRow="0" w:lastRow="0" w:firstColumn="0" w:lastColumn="0" w:oddVBand="0" w:evenVBand="0" w:oddHBand="0" w:evenHBand="0" w:firstRowFirstColumn="0" w:firstRowLastColumn="0" w:lastRowFirstColumn="0" w:lastRowLastColumn="0"/>
              <w:rPr>
                <w:rFonts w:cstheme="majorHAnsi"/>
                <w:b/>
                <w:szCs w:val="17"/>
              </w:rPr>
            </w:pPr>
            <w:r w:rsidRPr="001213F7" w:rsidDel="00F1780B">
              <w:rPr>
                <w:b/>
              </w:rPr>
              <w:t>(153)</w:t>
            </w:r>
          </w:p>
        </w:tc>
        <w:tc>
          <w:tcPr>
            <w:tcW w:w="844" w:type="dxa"/>
            <w:tcBorders>
              <w:top w:val="nil"/>
              <w:left w:val="nil"/>
              <w:bottom w:val="single" w:sz="4" w:space="0" w:color="auto"/>
              <w:right w:val="nil"/>
            </w:tcBorders>
            <w:shd w:val="clear" w:color="000000" w:fill="FFFFFF"/>
          </w:tcPr>
          <w:p w14:paraId="2B009B35" w14:textId="77777777" w:rsidR="00900469" w:rsidRPr="001213F7" w:rsidRDefault="00900469">
            <w:pPr>
              <w:cnfStyle w:val="000000000000" w:firstRow="0" w:lastRow="0" w:firstColumn="0" w:lastColumn="0" w:oddVBand="0" w:evenVBand="0" w:oddHBand="0" w:evenHBand="0" w:firstRowFirstColumn="0" w:firstRowLastColumn="0" w:lastRowFirstColumn="0" w:lastRowLastColumn="0"/>
              <w:rPr>
                <w:rFonts w:cstheme="majorHAnsi"/>
                <w:b/>
                <w:szCs w:val="17"/>
              </w:rPr>
            </w:pPr>
            <w:r w:rsidRPr="001213F7">
              <w:rPr>
                <w:b/>
              </w:rPr>
              <w:t>(321</w:t>
            </w:r>
            <w:r w:rsidRPr="001213F7" w:rsidDel="00F1780B">
              <w:rPr>
                <w:b/>
              </w:rPr>
              <w:t>)</w:t>
            </w:r>
          </w:p>
        </w:tc>
        <w:tc>
          <w:tcPr>
            <w:tcW w:w="845" w:type="dxa"/>
            <w:tcBorders>
              <w:top w:val="nil"/>
              <w:left w:val="nil"/>
              <w:bottom w:val="single" w:sz="4" w:space="0" w:color="auto"/>
              <w:right w:val="nil"/>
            </w:tcBorders>
            <w:shd w:val="clear" w:color="000000" w:fill="FFFFFF"/>
          </w:tcPr>
          <w:p w14:paraId="514F1359" w14:textId="77777777" w:rsidR="00900469" w:rsidRPr="001213F7" w:rsidRDefault="00900469">
            <w:pPr>
              <w:cnfStyle w:val="000000000000" w:firstRow="0" w:lastRow="0" w:firstColumn="0" w:lastColumn="0" w:oddVBand="0" w:evenVBand="0" w:oddHBand="0" w:evenHBand="0" w:firstRowFirstColumn="0" w:firstRowLastColumn="0" w:lastRowFirstColumn="0" w:lastRowLastColumn="0"/>
              <w:rPr>
                <w:rFonts w:cstheme="majorHAnsi"/>
                <w:b/>
                <w:szCs w:val="17"/>
              </w:rPr>
            </w:pPr>
            <w:r w:rsidRPr="001213F7">
              <w:rPr>
                <w:b/>
              </w:rPr>
              <w:t>(505</w:t>
            </w:r>
            <w:r w:rsidRPr="001213F7" w:rsidDel="00F1780B">
              <w:rPr>
                <w:b/>
              </w:rPr>
              <w:t>)</w:t>
            </w:r>
          </w:p>
        </w:tc>
        <w:tc>
          <w:tcPr>
            <w:tcW w:w="845" w:type="dxa"/>
            <w:tcBorders>
              <w:top w:val="nil"/>
              <w:left w:val="nil"/>
              <w:bottom w:val="single" w:sz="4" w:space="0" w:color="auto"/>
              <w:right w:val="nil"/>
            </w:tcBorders>
            <w:shd w:val="clear" w:color="000000" w:fill="FFFFFF"/>
          </w:tcPr>
          <w:p w14:paraId="61A62807" w14:textId="77777777" w:rsidR="00900469" w:rsidRPr="001213F7" w:rsidRDefault="00900469">
            <w:pPr>
              <w:cnfStyle w:val="000000000000" w:firstRow="0" w:lastRow="0" w:firstColumn="0" w:lastColumn="0" w:oddVBand="0" w:evenVBand="0" w:oddHBand="0" w:evenHBand="0" w:firstRowFirstColumn="0" w:firstRowLastColumn="0" w:lastRowFirstColumn="0" w:lastRowLastColumn="0"/>
              <w:rPr>
                <w:rFonts w:cstheme="majorHAnsi"/>
                <w:b/>
                <w:szCs w:val="17"/>
              </w:rPr>
            </w:pPr>
            <w:r w:rsidRPr="001213F7">
              <w:rPr>
                <w:b/>
              </w:rPr>
              <w:t>(705</w:t>
            </w:r>
            <w:r w:rsidRPr="001213F7" w:rsidDel="00F1780B">
              <w:rPr>
                <w:b/>
              </w:rPr>
              <w:t>)</w:t>
            </w:r>
          </w:p>
        </w:tc>
      </w:tr>
      <w:tr w:rsidR="00900469" w:rsidRPr="001213F7" w14:paraId="387DA3B7" w14:textId="77777777">
        <w:tc>
          <w:tcPr>
            <w:cnfStyle w:val="001000000000" w:firstRow="0" w:lastRow="0" w:firstColumn="1" w:lastColumn="0" w:oddVBand="0" w:evenVBand="0" w:oddHBand="0" w:evenHBand="0" w:firstRowFirstColumn="0" w:firstRowLastColumn="0" w:lastRowFirstColumn="0" w:lastRowLastColumn="0"/>
            <w:tcW w:w="4333" w:type="dxa"/>
            <w:tcBorders>
              <w:top w:val="single" w:sz="4" w:space="0" w:color="auto"/>
            </w:tcBorders>
            <w:vAlign w:val="bottom"/>
            <w:hideMark/>
          </w:tcPr>
          <w:p w14:paraId="320F4BD2" w14:textId="77777777" w:rsidR="00900469" w:rsidRPr="001213F7" w:rsidRDefault="00900469">
            <w:pPr>
              <w:autoSpaceDE w:val="0"/>
              <w:autoSpaceDN w:val="0"/>
              <w:adjustRightInd w:val="0"/>
              <w:rPr>
                <w:rFonts w:eastAsiaTheme="minorEastAsia" w:cstheme="majorHAnsi"/>
                <w:b/>
                <w:szCs w:val="17"/>
                <w:lang w:eastAsia="en-AU"/>
              </w:rPr>
            </w:pPr>
            <w:r w:rsidRPr="001213F7">
              <w:rPr>
                <w:rFonts w:eastAsiaTheme="minorEastAsia" w:cstheme="majorHAnsi"/>
                <w:b/>
                <w:szCs w:val="17"/>
                <w:lang w:eastAsia="en-AU"/>
              </w:rPr>
              <w:t xml:space="preserve">Total employee expenses </w:t>
            </w:r>
          </w:p>
        </w:tc>
        <w:tc>
          <w:tcPr>
            <w:tcW w:w="844" w:type="dxa"/>
            <w:tcBorders>
              <w:top w:val="single" w:sz="4" w:space="0" w:color="auto"/>
              <w:left w:val="nil"/>
              <w:bottom w:val="nil"/>
              <w:right w:val="nil"/>
            </w:tcBorders>
          </w:tcPr>
          <w:p w14:paraId="0FDC8D16" w14:textId="77777777" w:rsidR="00900469" w:rsidRPr="001213F7" w:rsidRDefault="00900469">
            <w:pPr>
              <w:cnfStyle w:val="000000000000" w:firstRow="0" w:lastRow="0" w:firstColumn="0" w:lastColumn="0" w:oddVBand="0" w:evenVBand="0" w:oddHBand="0" w:evenHBand="0" w:firstRowFirstColumn="0" w:firstRowLastColumn="0" w:lastRowFirstColumn="0" w:lastRowLastColumn="0"/>
              <w:rPr>
                <w:rFonts w:cstheme="majorHAnsi"/>
                <w:szCs w:val="17"/>
              </w:rPr>
            </w:pPr>
          </w:p>
        </w:tc>
        <w:tc>
          <w:tcPr>
            <w:tcW w:w="844" w:type="dxa"/>
            <w:tcBorders>
              <w:top w:val="single" w:sz="4" w:space="0" w:color="auto"/>
              <w:left w:val="nil"/>
              <w:bottom w:val="nil"/>
              <w:right w:val="nil"/>
            </w:tcBorders>
          </w:tcPr>
          <w:p w14:paraId="1B1D37A5" w14:textId="77777777" w:rsidR="00900469" w:rsidRPr="001213F7" w:rsidRDefault="00900469">
            <w:pPr>
              <w:cnfStyle w:val="000000000000" w:firstRow="0" w:lastRow="0" w:firstColumn="0" w:lastColumn="0" w:oddVBand="0" w:evenVBand="0" w:oddHBand="0" w:evenHBand="0" w:firstRowFirstColumn="0" w:firstRowLastColumn="0" w:lastRowFirstColumn="0" w:lastRowLastColumn="0"/>
              <w:rPr>
                <w:rFonts w:cstheme="majorHAnsi"/>
                <w:szCs w:val="17"/>
              </w:rPr>
            </w:pPr>
          </w:p>
        </w:tc>
        <w:tc>
          <w:tcPr>
            <w:tcW w:w="845" w:type="dxa"/>
            <w:tcBorders>
              <w:top w:val="single" w:sz="4" w:space="0" w:color="auto"/>
              <w:left w:val="nil"/>
              <w:bottom w:val="nil"/>
              <w:right w:val="nil"/>
            </w:tcBorders>
          </w:tcPr>
          <w:p w14:paraId="4AEC86B0" w14:textId="77777777" w:rsidR="00900469" w:rsidRPr="001213F7" w:rsidRDefault="00900469">
            <w:pPr>
              <w:cnfStyle w:val="000000000000" w:firstRow="0" w:lastRow="0" w:firstColumn="0" w:lastColumn="0" w:oddVBand="0" w:evenVBand="0" w:oddHBand="0" w:evenHBand="0" w:firstRowFirstColumn="0" w:firstRowLastColumn="0" w:lastRowFirstColumn="0" w:lastRowLastColumn="0"/>
              <w:rPr>
                <w:rFonts w:cstheme="majorHAnsi"/>
                <w:szCs w:val="17"/>
              </w:rPr>
            </w:pPr>
          </w:p>
        </w:tc>
        <w:tc>
          <w:tcPr>
            <w:tcW w:w="845" w:type="dxa"/>
            <w:tcBorders>
              <w:top w:val="single" w:sz="4" w:space="0" w:color="auto"/>
              <w:left w:val="nil"/>
              <w:bottom w:val="nil"/>
              <w:right w:val="nil"/>
            </w:tcBorders>
          </w:tcPr>
          <w:p w14:paraId="6EF7EE4B" w14:textId="77777777" w:rsidR="00900469" w:rsidRPr="001213F7" w:rsidRDefault="00900469">
            <w:pPr>
              <w:cnfStyle w:val="000000000000" w:firstRow="0" w:lastRow="0" w:firstColumn="0" w:lastColumn="0" w:oddVBand="0" w:evenVBand="0" w:oddHBand="0" w:evenHBand="0" w:firstRowFirstColumn="0" w:firstRowLastColumn="0" w:lastRowFirstColumn="0" w:lastRowLastColumn="0"/>
              <w:rPr>
                <w:rFonts w:cstheme="majorHAnsi"/>
                <w:szCs w:val="17"/>
              </w:rPr>
            </w:pPr>
          </w:p>
        </w:tc>
      </w:tr>
      <w:tr w:rsidR="00900469" w:rsidRPr="001213F7" w14:paraId="0206A0F3" w14:textId="77777777">
        <w:tc>
          <w:tcPr>
            <w:cnfStyle w:val="001000000000" w:firstRow="0" w:lastRow="0" w:firstColumn="1" w:lastColumn="0" w:oddVBand="0" w:evenVBand="0" w:oddHBand="0" w:evenHBand="0" w:firstRowFirstColumn="0" w:firstRowLastColumn="0" w:lastRowFirstColumn="0" w:lastRowLastColumn="0"/>
            <w:tcW w:w="4333" w:type="dxa"/>
            <w:vAlign w:val="bottom"/>
            <w:hideMark/>
          </w:tcPr>
          <w:p w14:paraId="46FE6FAF" w14:textId="77777777" w:rsidR="00900469" w:rsidRPr="001213F7" w:rsidRDefault="00900469">
            <w:pPr>
              <w:autoSpaceDE w:val="0"/>
              <w:autoSpaceDN w:val="0"/>
              <w:adjustRightInd w:val="0"/>
              <w:rPr>
                <w:rFonts w:eastAsiaTheme="minorEastAsia" w:cstheme="majorHAnsi"/>
                <w:szCs w:val="17"/>
                <w:lang w:eastAsia="en-AU"/>
              </w:rPr>
            </w:pPr>
            <w:r w:rsidRPr="001213F7">
              <w:rPr>
                <w:rFonts w:eastAsiaTheme="minorEastAsia" w:cstheme="majorHAnsi"/>
                <w:szCs w:val="17"/>
                <w:lang w:eastAsia="en-AU"/>
              </w:rPr>
              <w:t>Income from transactions</w:t>
            </w:r>
          </w:p>
        </w:tc>
        <w:tc>
          <w:tcPr>
            <w:tcW w:w="844" w:type="dxa"/>
            <w:tcBorders>
              <w:top w:val="nil"/>
              <w:left w:val="nil"/>
              <w:bottom w:val="nil"/>
              <w:right w:val="nil"/>
            </w:tcBorders>
          </w:tcPr>
          <w:p w14:paraId="2A0F5C00" w14:textId="77777777" w:rsidR="00900469" w:rsidRPr="001213F7" w:rsidRDefault="00900469">
            <w:pPr>
              <w:cnfStyle w:val="000000000000" w:firstRow="0" w:lastRow="0" w:firstColumn="0" w:lastColumn="0" w:oddVBand="0" w:evenVBand="0" w:oddHBand="0" w:evenHBand="0" w:firstRowFirstColumn="0" w:firstRowLastColumn="0" w:lastRowFirstColumn="0" w:lastRowLastColumn="0"/>
              <w:rPr>
                <w:rFonts w:cstheme="majorHAnsi"/>
                <w:szCs w:val="17"/>
              </w:rPr>
            </w:pPr>
            <w:r w:rsidRPr="001213F7" w:rsidDel="00F1780B">
              <w:t>..</w:t>
            </w:r>
          </w:p>
        </w:tc>
        <w:tc>
          <w:tcPr>
            <w:tcW w:w="844" w:type="dxa"/>
            <w:tcBorders>
              <w:top w:val="nil"/>
              <w:left w:val="nil"/>
              <w:bottom w:val="nil"/>
              <w:right w:val="nil"/>
            </w:tcBorders>
          </w:tcPr>
          <w:p w14:paraId="2A493428" w14:textId="77777777" w:rsidR="00900469" w:rsidRPr="001213F7" w:rsidRDefault="00900469">
            <w:pPr>
              <w:cnfStyle w:val="000000000000" w:firstRow="0" w:lastRow="0" w:firstColumn="0" w:lastColumn="0" w:oddVBand="0" w:evenVBand="0" w:oddHBand="0" w:evenHBand="0" w:firstRowFirstColumn="0" w:firstRowLastColumn="0" w:lastRowFirstColumn="0" w:lastRowLastColumn="0"/>
              <w:rPr>
                <w:rFonts w:cstheme="majorHAnsi"/>
                <w:szCs w:val="17"/>
              </w:rPr>
            </w:pPr>
            <w:r w:rsidRPr="001213F7" w:rsidDel="00F1780B">
              <w:t>51</w:t>
            </w:r>
          </w:p>
        </w:tc>
        <w:tc>
          <w:tcPr>
            <w:tcW w:w="845" w:type="dxa"/>
            <w:tcBorders>
              <w:top w:val="nil"/>
              <w:left w:val="nil"/>
              <w:bottom w:val="nil"/>
              <w:right w:val="nil"/>
            </w:tcBorders>
          </w:tcPr>
          <w:p w14:paraId="5562B94C" w14:textId="77777777" w:rsidR="00900469" w:rsidRPr="001213F7" w:rsidRDefault="00900469">
            <w:pPr>
              <w:cnfStyle w:val="000000000000" w:firstRow="0" w:lastRow="0" w:firstColumn="0" w:lastColumn="0" w:oddVBand="0" w:evenVBand="0" w:oddHBand="0" w:evenHBand="0" w:firstRowFirstColumn="0" w:firstRowLastColumn="0" w:lastRowFirstColumn="0" w:lastRowLastColumn="0"/>
              <w:rPr>
                <w:rFonts w:cstheme="majorHAnsi"/>
                <w:szCs w:val="17"/>
              </w:rPr>
            </w:pPr>
            <w:r w:rsidRPr="001213F7" w:rsidDel="00F1780B">
              <w:t>176</w:t>
            </w:r>
          </w:p>
        </w:tc>
        <w:tc>
          <w:tcPr>
            <w:tcW w:w="845" w:type="dxa"/>
            <w:tcBorders>
              <w:top w:val="nil"/>
              <w:left w:val="nil"/>
              <w:bottom w:val="nil"/>
              <w:right w:val="nil"/>
            </w:tcBorders>
          </w:tcPr>
          <w:p w14:paraId="476B7F7C" w14:textId="77777777" w:rsidR="00900469" w:rsidRPr="001213F7" w:rsidRDefault="00900469">
            <w:pPr>
              <w:cnfStyle w:val="000000000000" w:firstRow="0" w:lastRow="0" w:firstColumn="0" w:lastColumn="0" w:oddVBand="0" w:evenVBand="0" w:oddHBand="0" w:evenHBand="0" w:firstRowFirstColumn="0" w:firstRowLastColumn="0" w:lastRowFirstColumn="0" w:lastRowLastColumn="0"/>
              <w:rPr>
                <w:rFonts w:cstheme="majorHAnsi"/>
                <w:szCs w:val="17"/>
              </w:rPr>
            </w:pPr>
            <w:r w:rsidRPr="001213F7">
              <w:t>191</w:t>
            </w:r>
          </w:p>
        </w:tc>
      </w:tr>
      <w:tr w:rsidR="00900469" w:rsidRPr="001213F7" w14:paraId="7BC0A493" w14:textId="77777777">
        <w:tc>
          <w:tcPr>
            <w:cnfStyle w:val="001000000000" w:firstRow="0" w:lastRow="0" w:firstColumn="1" w:lastColumn="0" w:oddVBand="0" w:evenVBand="0" w:oddHBand="0" w:evenHBand="0" w:firstRowFirstColumn="0" w:firstRowLastColumn="0" w:lastRowFirstColumn="0" w:lastRowLastColumn="0"/>
            <w:tcW w:w="4333" w:type="dxa"/>
            <w:tcBorders>
              <w:bottom w:val="single" w:sz="4" w:space="0" w:color="auto"/>
            </w:tcBorders>
            <w:vAlign w:val="bottom"/>
            <w:hideMark/>
          </w:tcPr>
          <w:p w14:paraId="53594924" w14:textId="77777777" w:rsidR="00900469" w:rsidRPr="001213F7" w:rsidRDefault="00900469">
            <w:pPr>
              <w:autoSpaceDE w:val="0"/>
              <w:autoSpaceDN w:val="0"/>
              <w:adjustRightInd w:val="0"/>
              <w:rPr>
                <w:rFonts w:eastAsiaTheme="minorEastAsia" w:cstheme="majorHAnsi"/>
                <w:szCs w:val="17"/>
                <w:lang w:eastAsia="en-AU"/>
              </w:rPr>
            </w:pPr>
            <w:r w:rsidRPr="001213F7">
              <w:rPr>
                <w:rFonts w:eastAsiaTheme="minorEastAsia" w:cstheme="majorHAnsi"/>
                <w:szCs w:val="17"/>
                <w:lang w:eastAsia="en-AU"/>
              </w:rPr>
              <w:t>Expenses from transactions</w:t>
            </w:r>
          </w:p>
        </w:tc>
        <w:tc>
          <w:tcPr>
            <w:tcW w:w="844" w:type="dxa"/>
            <w:tcBorders>
              <w:top w:val="nil"/>
              <w:left w:val="nil"/>
              <w:bottom w:val="nil"/>
              <w:right w:val="nil"/>
            </w:tcBorders>
            <w:shd w:val="clear" w:color="000000" w:fill="FFFFFF"/>
          </w:tcPr>
          <w:p w14:paraId="2357D322" w14:textId="77777777" w:rsidR="00900469" w:rsidRPr="001213F7" w:rsidRDefault="00900469">
            <w:pPr>
              <w:cnfStyle w:val="000000000000" w:firstRow="0" w:lastRow="0" w:firstColumn="0" w:lastColumn="0" w:oddVBand="0" w:evenVBand="0" w:oddHBand="0" w:evenHBand="0" w:firstRowFirstColumn="0" w:firstRowLastColumn="0" w:lastRowFirstColumn="0" w:lastRowLastColumn="0"/>
              <w:rPr>
                <w:rFonts w:cstheme="majorHAnsi"/>
                <w:szCs w:val="17"/>
              </w:rPr>
            </w:pPr>
            <w:r w:rsidRPr="001213F7">
              <w:t>423</w:t>
            </w:r>
          </w:p>
        </w:tc>
        <w:tc>
          <w:tcPr>
            <w:tcW w:w="844" w:type="dxa"/>
            <w:tcBorders>
              <w:top w:val="nil"/>
              <w:left w:val="nil"/>
              <w:bottom w:val="nil"/>
              <w:right w:val="nil"/>
            </w:tcBorders>
            <w:shd w:val="clear" w:color="000000" w:fill="FFFFFF"/>
          </w:tcPr>
          <w:p w14:paraId="7B4B7CCA" w14:textId="77777777" w:rsidR="00900469" w:rsidRPr="001213F7" w:rsidRDefault="00900469">
            <w:pPr>
              <w:cnfStyle w:val="000000000000" w:firstRow="0" w:lastRow="0" w:firstColumn="0" w:lastColumn="0" w:oddVBand="0" w:evenVBand="0" w:oddHBand="0" w:evenHBand="0" w:firstRowFirstColumn="0" w:firstRowLastColumn="0" w:lastRowFirstColumn="0" w:lastRowLastColumn="0"/>
              <w:rPr>
                <w:rFonts w:cstheme="majorHAnsi"/>
                <w:szCs w:val="17"/>
              </w:rPr>
            </w:pPr>
            <w:r w:rsidRPr="001213F7">
              <w:t>552</w:t>
            </w:r>
          </w:p>
        </w:tc>
        <w:tc>
          <w:tcPr>
            <w:tcW w:w="845" w:type="dxa"/>
            <w:tcBorders>
              <w:top w:val="nil"/>
              <w:left w:val="nil"/>
              <w:bottom w:val="nil"/>
              <w:right w:val="nil"/>
            </w:tcBorders>
            <w:shd w:val="clear" w:color="000000" w:fill="FFFFFF"/>
          </w:tcPr>
          <w:p w14:paraId="19FF4F7D" w14:textId="77777777" w:rsidR="00900469" w:rsidRPr="001213F7" w:rsidRDefault="00900469">
            <w:pPr>
              <w:cnfStyle w:val="000000000000" w:firstRow="0" w:lastRow="0" w:firstColumn="0" w:lastColumn="0" w:oddVBand="0" w:evenVBand="0" w:oddHBand="0" w:evenHBand="0" w:firstRowFirstColumn="0" w:firstRowLastColumn="0" w:lastRowFirstColumn="0" w:lastRowLastColumn="0"/>
              <w:rPr>
                <w:rFonts w:cstheme="majorHAnsi"/>
                <w:szCs w:val="17"/>
              </w:rPr>
            </w:pPr>
            <w:r w:rsidRPr="001213F7">
              <w:t>591</w:t>
            </w:r>
          </w:p>
        </w:tc>
        <w:tc>
          <w:tcPr>
            <w:tcW w:w="845" w:type="dxa"/>
            <w:tcBorders>
              <w:top w:val="nil"/>
              <w:left w:val="nil"/>
              <w:bottom w:val="nil"/>
              <w:right w:val="nil"/>
            </w:tcBorders>
            <w:shd w:val="clear" w:color="000000" w:fill="FFFFFF"/>
          </w:tcPr>
          <w:p w14:paraId="72993CDB" w14:textId="77777777" w:rsidR="00900469" w:rsidRPr="001213F7" w:rsidRDefault="00900469">
            <w:pPr>
              <w:cnfStyle w:val="000000000000" w:firstRow="0" w:lastRow="0" w:firstColumn="0" w:lastColumn="0" w:oddVBand="0" w:evenVBand="0" w:oddHBand="0" w:evenHBand="0" w:firstRowFirstColumn="0" w:firstRowLastColumn="0" w:lastRowFirstColumn="0" w:lastRowLastColumn="0"/>
              <w:rPr>
                <w:rFonts w:cstheme="majorHAnsi"/>
                <w:szCs w:val="17"/>
              </w:rPr>
            </w:pPr>
            <w:r w:rsidRPr="001213F7">
              <w:t>626</w:t>
            </w:r>
          </w:p>
        </w:tc>
      </w:tr>
      <w:tr w:rsidR="00900469" w:rsidRPr="001213F7" w14:paraId="507D3F2D" w14:textId="77777777">
        <w:tc>
          <w:tcPr>
            <w:cnfStyle w:val="001000000000" w:firstRow="0" w:lastRow="0" w:firstColumn="1" w:lastColumn="0" w:oddVBand="0" w:evenVBand="0" w:oddHBand="0" w:evenHBand="0" w:firstRowFirstColumn="0" w:firstRowLastColumn="0" w:lastRowFirstColumn="0" w:lastRowLastColumn="0"/>
            <w:tcW w:w="4333" w:type="dxa"/>
            <w:tcBorders>
              <w:top w:val="single" w:sz="4" w:space="0" w:color="auto"/>
              <w:bottom w:val="nil"/>
            </w:tcBorders>
            <w:vAlign w:val="bottom"/>
            <w:hideMark/>
          </w:tcPr>
          <w:p w14:paraId="2876A7E5" w14:textId="77777777" w:rsidR="00900469" w:rsidRPr="001213F7" w:rsidRDefault="00900469">
            <w:pPr>
              <w:autoSpaceDE w:val="0"/>
              <w:autoSpaceDN w:val="0"/>
              <w:adjustRightInd w:val="0"/>
              <w:rPr>
                <w:rFonts w:eastAsiaTheme="minorEastAsia" w:cstheme="majorHAnsi"/>
                <w:b/>
                <w:szCs w:val="17"/>
                <w:lang w:eastAsia="en-AU"/>
              </w:rPr>
            </w:pPr>
            <w:r w:rsidRPr="001213F7">
              <w:rPr>
                <w:rFonts w:eastAsiaTheme="minorEastAsia" w:cstheme="majorHAnsi"/>
                <w:b/>
                <w:szCs w:val="17"/>
                <w:lang w:eastAsia="en-AU"/>
              </w:rPr>
              <w:t>Net result from transactions</w:t>
            </w:r>
          </w:p>
        </w:tc>
        <w:tc>
          <w:tcPr>
            <w:tcW w:w="844" w:type="dxa"/>
            <w:tcBorders>
              <w:top w:val="single" w:sz="4" w:space="0" w:color="auto"/>
              <w:left w:val="nil"/>
              <w:bottom w:val="nil"/>
              <w:right w:val="nil"/>
            </w:tcBorders>
            <w:shd w:val="clear" w:color="000000" w:fill="FFFFFF"/>
          </w:tcPr>
          <w:p w14:paraId="6B13C5D8" w14:textId="77777777" w:rsidR="00900469" w:rsidRPr="001213F7" w:rsidRDefault="00900469">
            <w:pPr>
              <w:cnfStyle w:val="000000000000" w:firstRow="0" w:lastRow="0" w:firstColumn="0" w:lastColumn="0" w:oddVBand="0" w:evenVBand="0" w:oddHBand="0" w:evenHBand="0" w:firstRowFirstColumn="0" w:firstRowLastColumn="0" w:lastRowFirstColumn="0" w:lastRowLastColumn="0"/>
              <w:rPr>
                <w:rFonts w:cstheme="majorHAnsi"/>
                <w:b/>
                <w:szCs w:val="17"/>
              </w:rPr>
            </w:pPr>
            <w:r w:rsidRPr="001213F7">
              <w:rPr>
                <w:b/>
              </w:rPr>
              <w:t>(423</w:t>
            </w:r>
            <w:r w:rsidRPr="001213F7" w:rsidDel="00F1780B">
              <w:rPr>
                <w:b/>
              </w:rPr>
              <w:t>)</w:t>
            </w:r>
          </w:p>
        </w:tc>
        <w:tc>
          <w:tcPr>
            <w:tcW w:w="844" w:type="dxa"/>
            <w:tcBorders>
              <w:top w:val="single" w:sz="4" w:space="0" w:color="auto"/>
              <w:left w:val="nil"/>
              <w:bottom w:val="nil"/>
              <w:right w:val="nil"/>
            </w:tcBorders>
            <w:shd w:val="clear" w:color="000000" w:fill="FFFFFF"/>
          </w:tcPr>
          <w:p w14:paraId="7099DE83" w14:textId="77777777" w:rsidR="00900469" w:rsidRPr="001213F7" w:rsidRDefault="00900469">
            <w:pPr>
              <w:cnfStyle w:val="000000000000" w:firstRow="0" w:lastRow="0" w:firstColumn="0" w:lastColumn="0" w:oddVBand="0" w:evenVBand="0" w:oddHBand="0" w:evenHBand="0" w:firstRowFirstColumn="0" w:firstRowLastColumn="0" w:lastRowFirstColumn="0" w:lastRowLastColumn="0"/>
              <w:rPr>
                <w:rFonts w:cstheme="majorHAnsi"/>
                <w:b/>
                <w:szCs w:val="17"/>
              </w:rPr>
            </w:pPr>
            <w:r w:rsidRPr="001213F7">
              <w:rPr>
                <w:b/>
              </w:rPr>
              <w:t>(500</w:t>
            </w:r>
            <w:r w:rsidRPr="001213F7" w:rsidDel="00F1780B">
              <w:rPr>
                <w:b/>
              </w:rPr>
              <w:t>)</w:t>
            </w:r>
          </w:p>
        </w:tc>
        <w:tc>
          <w:tcPr>
            <w:tcW w:w="845" w:type="dxa"/>
            <w:tcBorders>
              <w:top w:val="single" w:sz="4" w:space="0" w:color="auto"/>
              <w:left w:val="nil"/>
              <w:bottom w:val="nil"/>
              <w:right w:val="nil"/>
            </w:tcBorders>
            <w:shd w:val="clear" w:color="000000" w:fill="FFFFFF"/>
          </w:tcPr>
          <w:p w14:paraId="59FA28EC" w14:textId="77777777" w:rsidR="00900469" w:rsidRPr="001213F7" w:rsidRDefault="00900469">
            <w:pPr>
              <w:cnfStyle w:val="000000000000" w:firstRow="0" w:lastRow="0" w:firstColumn="0" w:lastColumn="0" w:oddVBand="0" w:evenVBand="0" w:oddHBand="0" w:evenHBand="0" w:firstRowFirstColumn="0" w:firstRowLastColumn="0" w:lastRowFirstColumn="0" w:lastRowLastColumn="0"/>
              <w:rPr>
                <w:rFonts w:cstheme="majorHAnsi"/>
                <w:b/>
                <w:szCs w:val="17"/>
              </w:rPr>
            </w:pPr>
            <w:r w:rsidRPr="001213F7">
              <w:rPr>
                <w:b/>
              </w:rPr>
              <w:t>(414</w:t>
            </w:r>
            <w:r w:rsidRPr="001213F7" w:rsidDel="00F1780B">
              <w:rPr>
                <w:b/>
              </w:rPr>
              <w:t>)</w:t>
            </w:r>
          </w:p>
        </w:tc>
        <w:tc>
          <w:tcPr>
            <w:tcW w:w="845" w:type="dxa"/>
            <w:tcBorders>
              <w:top w:val="single" w:sz="4" w:space="0" w:color="auto"/>
              <w:left w:val="nil"/>
              <w:bottom w:val="nil"/>
              <w:right w:val="nil"/>
            </w:tcBorders>
            <w:shd w:val="clear" w:color="000000" w:fill="FFFFFF"/>
          </w:tcPr>
          <w:p w14:paraId="6D00BDC6" w14:textId="77777777" w:rsidR="00900469" w:rsidRPr="001213F7" w:rsidRDefault="00900469">
            <w:pPr>
              <w:cnfStyle w:val="000000000000" w:firstRow="0" w:lastRow="0" w:firstColumn="0" w:lastColumn="0" w:oddVBand="0" w:evenVBand="0" w:oddHBand="0" w:evenHBand="0" w:firstRowFirstColumn="0" w:firstRowLastColumn="0" w:lastRowFirstColumn="0" w:lastRowLastColumn="0"/>
              <w:rPr>
                <w:rFonts w:cstheme="majorHAnsi"/>
                <w:b/>
                <w:szCs w:val="17"/>
              </w:rPr>
            </w:pPr>
            <w:r w:rsidRPr="001213F7">
              <w:rPr>
                <w:b/>
              </w:rPr>
              <w:t>(435</w:t>
            </w:r>
            <w:r w:rsidRPr="001213F7" w:rsidDel="00F1780B">
              <w:rPr>
                <w:b/>
              </w:rPr>
              <w:t>)</w:t>
            </w:r>
          </w:p>
        </w:tc>
      </w:tr>
      <w:tr w:rsidR="00900469" w:rsidRPr="001213F7" w14:paraId="688B3187" w14:textId="77777777">
        <w:tc>
          <w:tcPr>
            <w:cnfStyle w:val="001000000000" w:firstRow="0" w:lastRow="0" w:firstColumn="1" w:lastColumn="0" w:oddVBand="0" w:evenVBand="0" w:oddHBand="0" w:evenHBand="0" w:firstRowFirstColumn="0" w:firstRowLastColumn="0" w:lastRowFirstColumn="0" w:lastRowLastColumn="0"/>
            <w:tcW w:w="4333" w:type="dxa"/>
            <w:tcBorders>
              <w:bottom w:val="single" w:sz="4" w:space="0" w:color="auto"/>
            </w:tcBorders>
            <w:vAlign w:val="bottom"/>
            <w:hideMark/>
          </w:tcPr>
          <w:p w14:paraId="6FED9110" w14:textId="77777777" w:rsidR="00900469" w:rsidRPr="001213F7" w:rsidRDefault="00900469">
            <w:pPr>
              <w:autoSpaceDE w:val="0"/>
              <w:autoSpaceDN w:val="0"/>
              <w:adjustRightInd w:val="0"/>
              <w:rPr>
                <w:rFonts w:eastAsiaTheme="minorEastAsia" w:cstheme="majorHAnsi"/>
                <w:b/>
                <w:szCs w:val="17"/>
                <w:lang w:eastAsia="en-AU"/>
              </w:rPr>
            </w:pPr>
            <w:r w:rsidRPr="001213F7">
              <w:rPr>
                <w:rFonts w:eastAsiaTheme="minorEastAsia" w:cstheme="majorHAnsi"/>
                <w:b/>
                <w:szCs w:val="17"/>
                <w:lang w:eastAsia="en-AU"/>
              </w:rPr>
              <w:t xml:space="preserve">Net debt </w:t>
            </w:r>
            <w:r w:rsidRPr="001213F7">
              <w:rPr>
                <w:rFonts w:eastAsiaTheme="minorEastAsia" w:cstheme="majorHAnsi"/>
                <w:b/>
                <w:szCs w:val="17"/>
                <w:vertAlign w:val="superscript"/>
                <w:lang w:eastAsia="en-AU"/>
              </w:rPr>
              <w:t>(h)</w:t>
            </w:r>
          </w:p>
        </w:tc>
        <w:tc>
          <w:tcPr>
            <w:tcW w:w="844" w:type="dxa"/>
            <w:tcBorders>
              <w:top w:val="nil"/>
              <w:left w:val="nil"/>
              <w:bottom w:val="single" w:sz="4" w:space="0" w:color="auto"/>
              <w:right w:val="nil"/>
            </w:tcBorders>
            <w:shd w:val="clear" w:color="000000" w:fill="FFFFFF"/>
          </w:tcPr>
          <w:p w14:paraId="07E30C5A" w14:textId="77777777" w:rsidR="00900469" w:rsidRPr="001213F7" w:rsidRDefault="00900469">
            <w:pPr>
              <w:cnfStyle w:val="000000000000" w:firstRow="0" w:lastRow="0" w:firstColumn="0" w:lastColumn="0" w:oddVBand="0" w:evenVBand="0" w:oddHBand="0" w:evenHBand="0" w:firstRowFirstColumn="0" w:firstRowLastColumn="0" w:lastRowFirstColumn="0" w:lastRowLastColumn="0"/>
              <w:rPr>
                <w:rFonts w:cstheme="majorHAnsi"/>
                <w:b/>
                <w:szCs w:val="17"/>
              </w:rPr>
            </w:pPr>
            <w:r w:rsidRPr="001213F7">
              <w:rPr>
                <w:b/>
              </w:rPr>
              <w:t>423</w:t>
            </w:r>
          </w:p>
        </w:tc>
        <w:tc>
          <w:tcPr>
            <w:tcW w:w="844" w:type="dxa"/>
            <w:tcBorders>
              <w:top w:val="nil"/>
              <w:left w:val="nil"/>
              <w:bottom w:val="single" w:sz="4" w:space="0" w:color="auto"/>
              <w:right w:val="nil"/>
            </w:tcBorders>
            <w:shd w:val="clear" w:color="000000" w:fill="FFFFFF"/>
          </w:tcPr>
          <w:p w14:paraId="2C5D7DC9" w14:textId="77777777" w:rsidR="00900469" w:rsidRPr="001213F7" w:rsidRDefault="00900469">
            <w:pPr>
              <w:cnfStyle w:val="000000000000" w:firstRow="0" w:lastRow="0" w:firstColumn="0" w:lastColumn="0" w:oddVBand="0" w:evenVBand="0" w:oddHBand="0" w:evenHBand="0" w:firstRowFirstColumn="0" w:firstRowLastColumn="0" w:lastRowFirstColumn="0" w:lastRowLastColumn="0"/>
              <w:rPr>
                <w:rFonts w:cstheme="majorHAnsi"/>
                <w:b/>
                <w:szCs w:val="17"/>
              </w:rPr>
            </w:pPr>
            <w:r w:rsidRPr="001213F7">
              <w:rPr>
                <w:b/>
              </w:rPr>
              <w:t>872</w:t>
            </w:r>
          </w:p>
        </w:tc>
        <w:tc>
          <w:tcPr>
            <w:tcW w:w="845" w:type="dxa"/>
            <w:tcBorders>
              <w:top w:val="nil"/>
              <w:left w:val="nil"/>
              <w:bottom w:val="single" w:sz="4" w:space="0" w:color="auto"/>
              <w:right w:val="nil"/>
            </w:tcBorders>
            <w:shd w:val="clear" w:color="000000" w:fill="FFFFFF"/>
          </w:tcPr>
          <w:p w14:paraId="19AF5E7D" w14:textId="77777777" w:rsidR="00900469" w:rsidRPr="001213F7" w:rsidRDefault="00900469">
            <w:pPr>
              <w:cnfStyle w:val="000000000000" w:firstRow="0" w:lastRow="0" w:firstColumn="0" w:lastColumn="0" w:oddVBand="0" w:evenVBand="0" w:oddHBand="0" w:evenHBand="0" w:firstRowFirstColumn="0" w:firstRowLastColumn="0" w:lastRowFirstColumn="0" w:lastRowLastColumn="0"/>
              <w:rPr>
                <w:rFonts w:cstheme="majorHAnsi"/>
                <w:b/>
                <w:szCs w:val="17"/>
              </w:rPr>
            </w:pPr>
            <w:r w:rsidRPr="001213F7">
              <w:rPr>
                <w:b/>
              </w:rPr>
              <w:t>1 233</w:t>
            </w:r>
          </w:p>
        </w:tc>
        <w:tc>
          <w:tcPr>
            <w:tcW w:w="845" w:type="dxa"/>
            <w:tcBorders>
              <w:top w:val="nil"/>
              <w:left w:val="nil"/>
              <w:bottom w:val="single" w:sz="4" w:space="0" w:color="auto"/>
              <w:right w:val="nil"/>
            </w:tcBorders>
            <w:shd w:val="clear" w:color="000000" w:fill="FFFFFF"/>
          </w:tcPr>
          <w:p w14:paraId="77C8AC69" w14:textId="77777777" w:rsidR="00900469" w:rsidRPr="001213F7" w:rsidRDefault="00900469">
            <w:pPr>
              <w:cnfStyle w:val="000000000000" w:firstRow="0" w:lastRow="0" w:firstColumn="0" w:lastColumn="0" w:oddVBand="0" w:evenVBand="0" w:oddHBand="0" w:evenHBand="0" w:firstRowFirstColumn="0" w:firstRowLastColumn="0" w:lastRowFirstColumn="0" w:lastRowLastColumn="0"/>
              <w:rPr>
                <w:rFonts w:cstheme="majorHAnsi"/>
                <w:b/>
                <w:szCs w:val="17"/>
              </w:rPr>
            </w:pPr>
            <w:r w:rsidRPr="001213F7">
              <w:rPr>
                <w:b/>
              </w:rPr>
              <w:t>1 615</w:t>
            </w:r>
          </w:p>
        </w:tc>
      </w:tr>
      <w:tr w:rsidR="00900469" w:rsidRPr="001213F7" w14:paraId="71108AE1" w14:textId="77777777">
        <w:tc>
          <w:tcPr>
            <w:cnfStyle w:val="001000000000" w:firstRow="0" w:lastRow="0" w:firstColumn="1" w:lastColumn="0" w:oddVBand="0" w:evenVBand="0" w:oddHBand="0" w:evenHBand="0" w:firstRowFirstColumn="0" w:firstRowLastColumn="0" w:lastRowFirstColumn="0" w:lastRowLastColumn="0"/>
            <w:tcW w:w="4333" w:type="dxa"/>
            <w:tcBorders>
              <w:top w:val="single" w:sz="4" w:space="0" w:color="auto"/>
            </w:tcBorders>
            <w:vAlign w:val="bottom"/>
            <w:hideMark/>
          </w:tcPr>
          <w:p w14:paraId="3EF7EBC6" w14:textId="77777777" w:rsidR="00900469" w:rsidRPr="001213F7" w:rsidRDefault="00900469">
            <w:pPr>
              <w:keepNext/>
              <w:autoSpaceDE w:val="0"/>
              <w:autoSpaceDN w:val="0"/>
              <w:adjustRightInd w:val="0"/>
              <w:ind w:left="173" w:hanging="173"/>
              <w:rPr>
                <w:rFonts w:eastAsiaTheme="minorEastAsia" w:cstheme="majorHAnsi"/>
                <w:b/>
                <w:szCs w:val="17"/>
                <w:lang w:eastAsia="en-AU"/>
              </w:rPr>
            </w:pPr>
            <w:r w:rsidRPr="001213F7">
              <w:rPr>
                <w:rFonts w:eastAsiaTheme="minorEastAsia" w:cstheme="majorHAnsi"/>
                <w:b/>
                <w:szCs w:val="17"/>
                <w:lang w:eastAsia="en-AU"/>
              </w:rPr>
              <w:t xml:space="preserve">Domestic share prices </w:t>
            </w:r>
            <w:r w:rsidRPr="001213F7">
              <w:rPr>
                <w:rFonts w:eastAsiaTheme="minorEastAsia" w:cstheme="majorHAnsi"/>
                <w:b/>
                <w:szCs w:val="17"/>
                <w:vertAlign w:val="superscript"/>
                <w:lang w:eastAsia="en-AU"/>
              </w:rPr>
              <w:t>(j)</w:t>
            </w:r>
          </w:p>
        </w:tc>
        <w:tc>
          <w:tcPr>
            <w:tcW w:w="844" w:type="dxa"/>
            <w:tcBorders>
              <w:top w:val="single" w:sz="4" w:space="0" w:color="auto"/>
              <w:left w:val="nil"/>
              <w:bottom w:val="nil"/>
              <w:right w:val="nil"/>
            </w:tcBorders>
          </w:tcPr>
          <w:p w14:paraId="481CDBB4" w14:textId="77777777" w:rsidR="00900469" w:rsidRPr="001213F7" w:rsidRDefault="00900469">
            <w:pPr>
              <w:cnfStyle w:val="000000000000" w:firstRow="0" w:lastRow="0" w:firstColumn="0" w:lastColumn="0" w:oddVBand="0" w:evenVBand="0" w:oddHBand="0" w:evenHBand="0" w:firstRowFirstColumn="0" w:firstRowLastColumn="0" w:lastRowFirstColumn="0" w:lastRowLastColumn="0"/>
              <w:rPr>
                <w:rFonts w:cstheme="majorHAnsi"/>
                <w:szCs w:val="17"/>
              </w:rPr>
            </w:pPr>
          </w:p>
        </w:tc>
        <w:tc>
          <w:tcPr>
            <w:tcW w:w="844" w:type="dxa"/>
            <w:tcBorders>
              <w:top w:val="single" w:sz="4" w:space="0" w:color="auto"/>
              <w:left w:val="nil"/>
              <w:bottom w:val="nil"/>
              <w:right w:val="nil"/>
            </w:tcBorders>
          </w:tcPr>
          <w:p w14:paraId="16255AE4" w14:textId="77777777" w:rsidR="00900469" w:rsidRPr="001213F7" w:rsidRDefault="00900469">
            <w:pPr>
              <w:cnfStyle w:val="000000000000" w:firstRow="0" w:lastRow="0" w:firstColumn="0" w:lastColumn="0" w:oddVBand="0" w:evenVBand="0" w:oddHBand="0" w:evenHBand="0" w:firstRowFirstColumn="0" w:firstRowLastColumn="0" w:lastRowFirstColumn="0" w:lastRowLastColumn="0"/>
              <w:rPr>
                <w:rFonts w:cstheme="majorHAnsi"/>
                <w:szCs w:val="17"/>
              </w:rPr>
            </w:pPr>
          </w:p>
        </w:tc>
        <w:tc>
          <w:tcPr>
            <w:tcW w:w="845" w:type="dxa"/>
            <w:tcBorders>
              <w:top w:val="single" w:sz="4" w:space="0" w:color="auto"/>
              <w:left w:val="nil"/>
              <w:bottom w:val="nil"/>
              <w:right w:val="nil"/>
            </w:tcBorders>
          </w:tcPr>
          <w:p w14:paraId="321C8FC8" w14:textId="77777777" w:rsidR="00900469" w:rsidRPr="001213F7" w:rsidRDefault="00900469">
            <w:pPr>
              <w:cnfStyle w:val="000000000000" w:firstRow="0" w:lastRow="0" w:firstColumn="0" w:lastColumn="0" w:oddVBand="0" w:evenVBand="0" w:oddHBand="0" w:evenHBand="0" w:firstRowFirstColumn="0" w:firstRowLastColumn="0" w:lastRowFirstColumn="0" w:lastRowLastColumn="0"/>
              <w:rPr>
                <w:rFonts w:cstheme="majorHAnsi"/>
                <w:szCs w:val="17"/>
              </w:rPr>
            </w:pPr>
          </w:p>
        </w:tc>
        <w:tc>
          <w:tcPr>
            <w:tcW w:w="845" w:type="dxa"/>
            <w:tcBorders>
              <w:top w:val="single" w:sz="4" w:space="0" w:color="auto"/>
              <w:left w:val="nil"/>
              <w:bottom w:val="nil"/>
              <w:right w:val="nil"/>
            </w:tcBorders>
          </w:tcPr>
          <w:p w14:paraId="0CC4B2EB" w14:textId="77777777" w:rsidR="00900469" w:rsidRPr="001213F7" w:rsidRDefault="00900469">
            <w:pPr>
              <w:cnfStyle w:val="000000000000" w:firstRow="0" w:lastRow="0" w:firstColumn="0" w:lastColumn="0" w:oddVBand="0" w:evenVBand="0" w:oddHBand="0" w:evenHBand="0" w:firstRowFirstColumn="0" w:firstRowLastColumn="0" w:lastRowFirstColumn="0" w:lastRowLastColumn="0"/>
              <w:rPr>
                <w:rFonts w:cstheme="majorHAnsi"/>
                <w:szCs w:val="17"/>
              </w:rPr>
            </w:pPr>
          </w:p>
        </w:tc>
      </w:tr>
      <w:tr w:rsidR="00900469" w:rsidRPr="001213F7" w14:paraId="04F7E46B" w14:textId="77777777">
        <w:tc>
          <w:tcPr>
            <w:cnfStyle w:val="001000000000" w:firstRow="0" w:lastRow="0" w:firstColumn="1" w:lastColumn="0" w:oddVBand="0" w:evenVBand="0" w:oddHBand="0" w:evenHBand="0" w:firstRowFirstColumn="0" w:firstRowLastColumn="0" w:lastRowFirstColumn="0" w:lastRowLastColumn="0"/>
            <w:tcW w:w="4333" w:type="dxa"/>
            <w:vAlign w:val="bottom"/>
            <w:hideMark/>
          </w:tcPr>
          <w:p w14:paraId="22ACCBB5" w14:textId="77777777" w:rsidR="00900469" w:rsidRPr="001213F7" w:rsidRDefault="00900469">
            <w:pPr>
              <w:keepNext/>
              <w:autoSpaceDE w:val="0"/>
              <w:autoSpaceDN w:val="0"/>
              <w:adjustRightInd w:val="0"/>
              <w:ind w:left="173" w:hanging="173"/>
              <w:rPr>
                <w:rFonts w:eastAsiaTheme="minorEastAsia" w:cstheme="majorHAnsi"/>
                <w:szCs w:val="17"/>
                <w:lang w:eastAsia="en-AU"/>
              </w:rPr>
            </w:pPr>
            <w:r w:rsidRPr="001213F7">
              <w:rPr>
                <w:rFonts w:eastAsiaTheme="minorEastAsia" w:cstheme="majorHAnsi"/>
                <w:szCs w:val="17"/>
                <w:lang w:eastAsia="en-AU"/>
              </w:rPr>
              <w:t>Income from transactions</w:t>
            </w:r>
          </w:p>
        </w:tc>
        <w:tc>
          <w:tcPr>
            <w:tcW w:w="844" w:type="dxa"/>
            <w:tcBorders>
              <w:top w:val="nil"/>
              <w:left w:val="nil"/>
              <w:bottom w:val="nil"/>
              <w:right w:val="nil"/>
            </w:tcBorders>
            <w:shd w:val="clear" w:color="000000" w:fill="FFFFFF"/>
          </w:tcPr>
          <w:p w14:paraId="5A0F9CDE" w14:textId="77777777" w:rsidR="00900469" w:rsidRPr="001213F7" w:rsidRDefault="00900469">
            <w:pPr>
              <w:cnfStyle w:val="000000000000" w:firstRow="0" w:lastRow="0" w:firstColumn="0" w:lastColumn="0" w:oddVBand="0" w:evenVBand="0" w:oddHBand="0" w:evenHBand="0" w:firstRowFirstColumn="0" w:firstRowLastColumn="0" w:lastRowFirstColumn="0" w:lastRowLastColumn="0"/>
              <w:rPr>
                <w:rFonts w:cstheme="majorHAnsi"/>
                <w:szCs w:val="17"/>
              </w:rPr>
            </w:pPr>
            <w:r w:rsidRPr="001213F7" w:rsidDel="00F1780B">
              <w:t>..</w:t>
            </w:r>
          </w:p>
        </w:tc>
        <w:tc>
          <w:tcPr>
            <w:tcW w:w="844" w:type="dxa"/>
            <w:tcBorders>
              <w:top w:val="nil"/>
              <w:left w:val="nil"/>
              <w:bottom w:val="nil"/>
              <w:right w:val="nil"/>
            </w:tcBorders>
            <w:shd w:val="clear" w:color="000000" w:fill="FFFFFF"/>
          </w:tcPr>
          <w:p w14:paraId="2401E0BE" w14:textId="77777777" w:rsidR="00900469" w:rsidRPr="001213F7" w:rsidRDefault="00900469">
            <w:pPr>
              <w:cnfStyle w:val="000000000000" w:firstRow="0" w:lastRow="0" w:firstColumn="0" w:lastColumn="0" w:oddVBand="0" w:evenVBand="0" w:oddHBand="0" w:evenHBand="0" w:firstRowFirstColumn="0" w:firstRowLastColumn="0" w:lastRowFirstColumn="0" w:lastRowLastColumn="0"/>
              <w:rPr>
                <w:rFonts w:cstheme="majorHAnsi"/>
                <w:szCs w:val="17"/>
              </w:rPr>
            </w:pPr>
            <w:r w:rsidRPr="001213F7">
              <w:t>2</w:t>
            </w:r>
          </w:p>
        </w:tc>
        <w:tc>
          <w:tcPr>
            <w:tcW w:w="845" w:type="dxa"/>
            <w:tcBorders>
              <w:top w:val="nil"/>
              <w:left w:val="nil"/>
              <w:bottom w:val="nil"/>
              <w:right w:val="nil"/>
            </w:tcBorders>
            <w:shd w:val="clear" w:color="000000" w:fill="FFFFFF"/>
          </w:tcPr>
          <w:p w14:paraId="7717A8AB" w14:textId="77777777" w:rsidR="00900469" w:rsidRPr="001213F7" w:rsidRDefault="00900469">
            <w:pPr>
              <w:cnfStyle w:val="000000000000" w:firstRow="0" w:lastRow="0" w:firstColumn="0" w:lastColumn="0" w:oddVBand="0" w:evenVBand="0" w:oddHBand="0" w:evenHBand="0" w:firstRowFirstColumn="0" w:firstRowLastColumn="0" w:lastRowFirstColumn="0" w:lastRowLastColumn="0"/>
              <w:rPr>
                <w:rFonts w:cstheme="majorHAnsi"/>
                <w:szCs w:val="17"/>
              </w:rPr>
            </w:pPr>
            <w:r w:rsidRPr="001213F7">
              <w:t>3</w:t>
            </w:r>
          </w:p>
        </w:tc>
        <w:tc>
          <w:tcPr>
            <w:tcW w:w="845" w:type="dxa"/>
            <w:tcBorders>
              <w:top w:val="nil"/>
              <w:left w:val="nil"/>
              <w:bottom w:val="nil"/>
              <w:right w:val="nil"/>
            </w:tcBorders>
            <w:shd w:val="clear" w:color="000000" w:fill="FFFFFF"/>
          </w:tcPr>
          <w:p w14:paraId="61AEAB8B" w14:textId="77777777" w:rsidR="00900469" w:rsidRPr="001213F7" w:rsidRDefault="00900469">
            <w:pPr>
              <w:cnfStyle w:val="000000000000" w:firstRow="0" w:lastRow="0" w:firstColumn="0" w:lastColumn="0" w:oddVBand="0" w:evenVBand="0" w:oddHBand="0" w:evenHBand="0" w:firstRowFirstColumn="0" w:firstRowLastColumn="0" w:lastRowFirstColumn="0" w:lastRowLastColumn="0"/>
              <w:rPr>
                <w:rFonts w:cstheme="majorHAnsi"/>
                <w:szCs w:val="17"/>
              </w:rPr>
            </w:pPr>
            <w:r w:rsidRPr="001213F7">
              <w:t>5</w:t>
            </w:r>
          </w:p>
        </w:tc>
      </w:tr>
      <w:tr w:rsidR="00900469" w:rsidRPr="001213F7" w14:paraId="49812537" w14:textId="77777777">
        <w:tc>
          <w:tcPr>
            <w:cnfStyle w:val="001000000000" w:firstRow="0" w:lastRow="0" w:firstColumn="1" w:lastColumn="0" w:oddVBand="0" w:evenVBand="0" w:oddHBand="0" w:evenHBand="0" w:firstRowFirstColumn="0" w:firstRowLastColumn="0" w:lastRowFirstColumn="0" w:lastRowLastColumn="0"/>
            <w:tcW w:w="4333" w:type="dxa"/>
            <w:tcBorders>
              <w:bottom w:val="single" w:sz="4" w:space="0" w:color="auto"/>
            </w:tcBorders>
            <w:vAlign w:val="bottom"/>
            <w:hideMark/>
          </w:tcPr>
          <w:p w14:paraId="35028615" w14:textId="77777777" w:rsidR="00900469" w:rsidRPr="001213F7" w:rsidRDefault="00900469">
            <w:pPr>
              <w:keepNext/>
              <w:autoSpaceDE w:val="0"/>
              <w:autoSpaceDN w:val="0"/>
              <w:adjustRightInd w:val="0"/>
              <w:ind w:left="173" w:hanging="173"/>
              <w:rPr>
                <w:rFonts w:eastAsiaTheme="minorEastAsia" w:cstheme="majorHAnsi"/>
                <w:szCs w:val="17"/>
                <w:lang w:eastAsia="en-AU"/>
              </w:rPr>
            </w:pPr>
            <w:r w:rsidRPr="001213F7">
              <w:rPr>
                <w:rFonts w:eastAsiaTheme="minorEastAsia" w:cstheme="majorHAnsi"/>
                <w:szCs w:val="17"/>
                <w:lang w:eastAsia="en-AU"/>
              </w:rPr>
              <w:t>Expenses from transactions</w:t>
            </w:r>
          </w:p>
        </w:tc>
        <w:tc>
          <w:tcPr>
            <w:tcW w:w="844" w:type="dxa"/>
            <w:tcBorders>
              <w:top w:val="nil"/>
              <w:left w:val="nil"/>
              <w:bottom w:val="nil"/>
              <w:right w:val="nil"/>
            </w:tcBorders>
            <w:shd w:val="clear" w:color="000000" w:fill="FFFFFF"/>
          </w:tcPr>
          <w:p w14:paraId="3CDEA9B9" w14:textId="77777777" w:rsidR="00900469" w:rsidRPr="001213F7" w:rsidRDefault="00900469">
            <w:pPr>
              <w:cnfStyle w:val="000000000000" w:firstRow="0" w:lastRow="0" w:firstColumn="0" w:lastColumn="0" w:oddVBand="0" w:evenVBand="0" w:oddHBand="0" w:evenHBand="0" w:firstRowFirstColumn="0" w:firstRowLastColumn="0" w:lastRowFirstColumn="0" w:lastRowLastColumn="0"/>
              <w:rPr>
                <w:rFonts w:cstheme="majorHAnsi"/>
                <w:szCs w:val="17"/>
              </w:rPr>
            </w:pPr>
            <w:r w:rsidRPr="001213F7" w:rsidDel="00F1780B">
              <w:t>..</w:t>
            </w:r>
          </w:p>
        </w:tc>
        <w:tc>
          <w:tcPr>
            <w:tcW w:w="844" w:type="dxa"/>
            <w:tcBorders>
              <w:top w:val="nil"/>
              <w:left w:val="nil"/>
              <w:bottom w:val="nil"/>
              <w:right w:val="nil"/>
            </w:tcBorders>
            <w:shd w:val="clear" w:color="000000" w:fill="FFFFFF"/>
          </w:tcPr>
          <w:p w14:paraId="4521ECBB" w14:textId="77777777" w:rsidR="00900469" w:rsidRPr="001213F7" w:rsidRDefault="00900469">
            <w:pPr>
              <w:cnfStyle w:val="000000000000" w:firstRow="0" w:lastRow="0" w:firstColumn="0" w:lastColumn="0" w:oddVBand="0" w:evenVBand="0" w:oddHBand="0" w:evenHBand="0" w:firstRowFirstColumn="0" w:firstRowLastColumn="0" w:lastRowFirstColumn="0" w:lastRowLastColumn="0"/>
              <w:rPr>
                <w:rFonts w:cstheme="majorHAnsi"/>
                <w:szCs w:val="17"/>
              </w:rPr>
            </w:pPr>
            <w:r w:rsidRPr="001213F7" w:rsidDel="00F1780B">
              <w:t>(2)</w:t>
            </w:r>
          </w:p>
        </w:tc>
        <w:tc>
          <w:tcPr>
            <w:tcW w:w="845" w:type="dxa"/>
            <w:tcBorders>
              <w:top w:val="nil"/>
              <w:left w:val="nil"/>
              <w:bottom w:val="nil"/>
              <w:right w:val="nil"/>
            </w:tcBorders>
            <w:shd w:val="clear" w:color="000000" w:fill="FFFFFF"/>
          </w:tcPr>
          <w:p w14:paraId="4183A98F" w14:textId="77777777" w:rsidR="00900469" w:rsidRPr="001213F7" w:rsidRDefault="00900469">
            <w:pPr>
              <w:cnfStyle w:val="000000000000" w:firstRow="0" w:lastRow="0" w:firstColumn="0" w:lastColumn="0" w:oddVBand="0" w:evenVBand="0" w:oddHBand="0" w:evenHBand="0" w:firstRowFirstColumn="0" w:firstRowLastColumn="0" w:lastRowFirstColumn="0" w:lastRowLastColumn="0"/>
              <w:rPr>
                <w:rFonts w:cstheme="majorHAnsi"/>
                <w:szCs w:val="17"/>
              </w:rPr>
            </w:pPr>
            <w:r w:rsidRPr="001213F7">
              <w:t>1</w:t>
            </w:r>
          </w:p>
        </w:tc>
        <w:tc>
          <w:tcPr>
            <w:tcW w:w="845" w:type="dxa"/>
            <w:tcBorders>
              <w:top w:val="nil"/>
              <w:left w:val="nil"/>
              <w:bottom w:val="nil"/>
              <w:right w:val="nil"/>
            </w:tcBorders>
            <w:shd w:val="clear" w:color="000000" w:fill="FFFFFF"/>
          </w:tcPr>
          <w:p w14:paraId="730CB4CE" w14:textId="77777777" w:rsidR="00900469" w:rsidRPr="001213F7" w:rsidRDefault="00900469">
            <w:pPr>
              <w:cnfStyle w:val="000000000000" w:firstRow="0" w:lastRow="0" w:firstColumn="0" w:lastColumn="0" w:oddVBand="0" w:evenVBand="0" w:oddHBand="0" w:evenHBand="0" w:firstRowFirstColumn="0" w:firstRowLastColumn="0" w:lastRowFirstColumn="0" w:lastRowLastColumn="0"/>
              <w:rPr>
                <w:rFonts w:cstheme="majorHAnsi"/>
                <w:szCs w:val="17"/>
              </w:rPr>
            </w:pPr>
            <w:r w:rsidRPr="001213F7">
              <w:t>3</w:t>
            </w:r>
          </w:p>
        </w:tc>
      </w:tr>
      <w:tr w:rsidR="00900469" w:rsidRPr="001213F7" w14:paraId="1A4039A8" w14:textId="77777777">
        <w:tc>
          <w:tcPr>
            <w:cnfStyle w:val="001000000000" w:firstRow="0" w:lastRow="0" w:firstColumn="1" w:lastColumn="0" w:oddVBand="0" w:evenVBand="0" w:oddHBand="0" w:evenHBand="0" w:firstRowFirstColumn="0" w:firstRowLastColumn="0" w:lastRowFirstColumn="0" w:lastRowLastColumn="0"/>
            <w:tcW w:w="4333" w:type="dxa"/>
            <w:tcBorders>
              <w:top w:val="single" w:sz="4" w:space="0" w:color="auto"/>
              <w:bottom w:val="nil"/>
            </w:tcBorders>
            <w:vAlign w:val="bottom"/>
            <w:hideMark/>
          </w:tcPr>
          <w:p w14:paraId="7A7D9BD9" w14:textId="77777777" w:rsidR="00900469" w:rsidRPr="001213F7" w:rsidRDefault="00900469">
            <w:pPr>
              <w:autoSpaceDE w:val="0"/>
              <w:autoSpaceDN w:val="0"/>
              <w:adjustRightInd w:val="0"/>
              <w:rPr>
                <w:rFonts w:eastAsiaTheme="minorEastAsia" w:cstheme="majorHAnsi"/>
                <w:b/>
                <w:szCs w:val="17"/>
                <w:lang w:eastAsia="en-AU"/>
              </w:rPr>
            </w:pPr>
            <w:r w:rsidRPr="001213F7">
              <w:rPr>
                <w:rFonts w:eastAsiaTheme="minorEastAsia" w:cstheme="majorHAnsi"/>
                <w:b/>
                <w:szCs w:val="17"/>
                <w:lang w:eastAsia="en-AU"/>
              </w:rPr>
              <w:t>Net result from transactions</w:t>
            </w:r>
          </w:p>
        </w:tc>
        <w:tc>
          <w:tcPr>
            <w:tcW w:w="844" w:type="dxa"/>
            <w:tcBorders>
              <w:top w:val="single" w:sz="4" w:space="0" w:color="auto"/>
              <w:left w:val="nil"/>
              <w:bottom w:val="nil"/>
              <w:right w:val="nil"/>
            </w:tcBorders>
            <w:shd w:val="clear" w:color="000000" w:fill="FFFFFF"/>
          </w:tcPr>
          <w:p w14:paraId="3FD0D11D" w14:textId="77777777" w:rsidR="00900469" w:rsidRPr="001213F7" w:rsidRDefault="00900469">
            <w:pPr>
              <w:cnfStyle w:val="000000000000" w:firstRow="0" w:lastRow="0" w:firstColumn="0" w:lastColumn="0" w:oddVBand="0" w:evenVBand="0" w:oddHBand="0" w:evenHBand="0" w:firstRowFirstColumn="0" w:firstRowLastColumn="0" w:lastRowFirstColumn="0" w:lastRowLastColumn="0"/>
              <w:rPr>
                <w:rFonts w:ascii="Calibri" w:hAnsi="Calibri" w:cs="Calibri"/>
                <w:b/>
                <w:szCs w:val="17"/>
              </w:rPr>
            </w:pPr>
            <w:r w:rsidRPr="001213F7" w:rsidDel="00F1780B">
              <w:rPr>
                <w:b/>
              </w:rPr>
              <w:t>..</w:t>
            </w:r>
          </w:p>
        </w:tc>
        <w:tc>
          <w:tcPr>
            <w:tcW w:w="844" w:type="dxa"/>
            <w:tcBorders>
              <w:top w:val="single" w:sz="4" w:space="0" w:color="auto"/>
              <w:left w:val="nil"/>
              <w:bottom w:val="nil"/>
              <w:right w:val="nil"/>
            </w:tcBorders>
            <w:shd w:val="clear" w:color="000000" w:fill="FFFFFF"/>
          </w:tcPr>
          <w:p w14:paraId="48F313FC" w14:textId="77777777" w:rsidR="00900469" w:rsidRPr="001213F7" w:rsidRDefault="00900469">
            <w:pPr>
              <w:cnfStyle w:val="000000000000" w:firstRow="0" w:lastRow="0" w:firstColumn="0" w:lastColumn="0" w:oddVBand="0" w:evenVBand="0" w:oddHBand="0" w:evenHBand="0" w:firstRowFirstColumn="0" w:firstRowLastColumn="0" w:lastRowFirstColumn="0" w:lastRowLastColumn="0"/>
              <w:rPr>
                <w:rFonts w:ascii="Calibri" w:hAnsi="Calibri" w:cs="Calibri"/>
                <w:b/>
                <w:szCs w:val="17"/>
              </w:rPr>
            </w:pPr>
            <w:r w:rsidRPr="001213F7">
              <w:rPr>
                <w:b/>
              </w:rPr>
              <w:t>3</w:t>
            </w:r>
          </w:p>
        </w:tc>
        <w:tc>
          <w:tcPr>
            <w:tcW w:w="845" w:type="dxa"/>
            <w:tcBorders>
              <w:top w:val="single" w:sz="4" w:space="0" w:color="auto"/>
              <w:left w:val="nil"/>
              <w:bottom w:val="nil"/>
              <w:right w:val="nil"/>
            </w:tcBorders>
            <w:shd w:val="clear" w:color="000000" w:fill="FFFFFF"/>
          </w:tcPr>
          <w:p w14:paraId="30528B35" w14:textId="77777777" w:rsidR="00900469" w:rsidRPr="001213F7" w:rsidRDefault="00900469">
            <w:pPr>
              <w:cnfStyle w:val="000000000000" w:firstRow="0" w:lastRow="0" w:firstColumn="0" w:lastColumn="0" w:oddVBand="0" w:evenVBand="0" w:oddHBand="0" w:evenHBand="0" w:firstRowFirstColumn="0" w:firstRowLastColumn="0" w:lastRowFirstColumn="0" w:lastRowLastColumn="0"/>
              <w:rPr>
                <w:rFonts w:ascii="Calibri" w:hAnsi="Calibri" w:cs="Calibri"/>
                <w:b/>
                <w:szCs w:val="17"/>
              </w:rPr>
            </w:pPr>
            <w:r w:rsidRPr="001213F7">
              <w:rPr>
                <w:b/>
              </w:rPr>
              <w:t>2</w:t>
            </w:r>
          </w:p>
        </w:tc>
        <w:tc>
          <w:tcPr>
            <w:tcW w:w="845" w:type="dxa"/>
            <w:tcBorders>
              <w:top w:val="single" w:sz="4" w:space="0" w:color="auto"/>
              <w:left w:val="nil"/>
              <w:bottom w:val="nil"/>
              <w:right w:val="nil"/>
            </w:tcBorders>
            <w:shd w:val="clear" w:color="000000" w:fill="FFFFFF"/>
          </w:tcPr>
          <w:p w14:paraId="69B32FDE" w14:textId="77777777" w:rsidR="00900469" w:rsidRPr="001213F7" w:rsidRDefault="00900469">
            <w:pPr>
              <w:cnfStyle w:val="000000000000" w:firstRow="0" w:lastRow="0" w:firstColumn="0" w:lastColumn="0" w:oddVBand="0" w:evenVBand="0" w:oddHBand="0" w:evenHBand="0" w:firstRowFirstColumn="0" w:firstRowLastColumn="0" w:lastRowFirstColumn="0" w:lastRowLastColumn="0"/>
              <w:rPr>
                <w:rFonts w:ascii="Calibri" w:hAnsi="Calibri" w:cs="Calibri"/>
                <w:b/>
                <w:szCs w:val="17"/>
              </w:rPr>
            </w:pPr>
            <w:r w:rsidRPr="001213F7">
              <w:rPr>
                <w:b/>
              </w:rPr>
              <w:t>2</w:t>
            </w:r>
          </w:p>
        </w:tc>
      </w:tr>
      <w:tr w:rsidR="00900469" w:rsidRPr="001213F7" w14:paraId="1E143E4A" w14:textId="77777777">
        <w:tc>
          <w:tcPr>
            <w:cnfStyle w:val="001000000000" w:firstRow="0" w:lastRow="0" w:firstColumn="1" w:lastColumn="0" w:oddVBand="0" w:evenVBand="0" w:oddHBand="0" w:evenHBand="0" w:firstRowFirstColumn="0" w:firstRowLastColumn="0" w:lastRowFirstColumn="0" w:lastRowLastColumn="0"/>
            <w:tcW w:w="4333" w:type="dxa"/>
            <w:tcBorders>
              <w:top w:val="nil"/>
              <w:bottom w:val="single" w:sz="4" w:space="0" w:color="auto"/>
            </w:tcBorders>
            <w:vAlign w:val="bottom"/>
            <w:hideMark/>
          </w:tcPr>
          <w:p w14:paraId="2CF0ABFD" w14:textId="77777777" w:rsidR="00900469" w:rsidRPr="001213F7" w:rsidRDefault="00900469">
            <w:pPr>
              <w:autoSpaceDE w:val="0"/>
              <w:autoSpaceDN w:val="0"/>
              <w:adjustRightInd w:val="0"/>
              <w:rPr>
                <w:rFonts w:eastAsiaTheme="minorEastAsia" w:cstheme="majorHAnsi"/>
                <w:b/>
                <w:szCs w:val="17"/>
                <w:lang w:eastAsia="en-AU"/>
              </w:rPr>
            </w:pPr>
            <w:r w:rsidRPr="001213F7">
              <w:rPr>
                <w:rFonts w:eastAsiaTheme="minorEastAsia" w:cstheme="majorHAnsi"/>
                <w:szCs w:val="17"/>
                <w:lang w:eastAsia="en-AU"/>
              </w:rPr>
              <w:t>Net debt</w:t>
            </w:r>
          </w:p>
        </w:tc>
        <w:tc>
          <w:tcPr>
            <w:tcW w:w="844" w:type="dxa"/>
            <w:tcBorders>
              <w:top w:val="nil"/>
              <w:left w:val="nil"/>
              <w:bottom w:val="single" w:sz="4" w:space="0" w:color="auto"/>
              <w:right w:val="nil"/>
            </w:tcBorders>
            <w:shd w:val="clear" w:color="000000" w:fill="FFFFFF"/>
          </w:tcPr>
          <w:p w14:paraId="2802C71A" w14:textId="77777777" w:rsidR="00900469" w:rsidRPr="001213F7" w:rsidRDefault="00900469">
            <w:pPr>
              <w:cnfStyle w:val="000000000000" w:firstRow="0" w:lastRow="0" w:firstColumn="0" w:lastColumn="0" w:oddVBand="0" w:evenVBand="0" w:oddHBand="0" w:evenHBand="0" w:firstRowFirstColumn="0" w:firstRowLastColumn="0" w:lastRowFirstColumn="0" w:lastRowLastColumn="0"/>
              <w:rPr>
                <w:rFonts w:ascii="Calibri" w:hAnsi="Calibri" w:cs="Calibri"/>
                <w:b/>
                <w:szCs w:val="17"/>
              </w:rPr>
            </w:pPr>
            <w:r w:rsidRPr="001213F7" w:rsidDel="00F1780B">
              <w:rPr>
                <w:b/>
              </w:rPr>
              <w:t>(14)</w:t>
            </w:r>
          </w:p>
        </w:tc>
        <w:tc>
          <w:tcPr>
            <w:tcW w:w="844" w:type="dxa"/>
            <w:tcBorders>
              <w:top w:val="nil"/>
              <w:left w:val="nil"/>
              <w:bottom w:val="single" w:sz="4" w:space="0" w:color="auto"/>
              <w:right w:val="nil"/>
            </w:tcBorders>
            <w:shd w:val="clear" w:color="000000" w:fill="FFFFFF"/>
          </w:tcPr>
          <w:p w14:paraId="0D9D0126" w14:textId="77777777" w:rsidR="00900469" w:rsidRPr="001213F7" w:rsidRDefault="00900469">
            <w:pPr>
              <w:cnfStyle w:val="000000000000" w:firstRow="0" w:lastRow="0" w:firstColumn="0" w:lastColumn="0" w:oddVBand="0" w:evenVBand="0" w:oddHBand="0" w:evenHBand="0" w:firstRowFirstColumn="0" w:firstRowLastColumn="0" w:lastRowFirstColumn="0" w:lastRowLastColumn="0"/>
              <w:rPr>
                <w:rFonts w:ascii="Calibri" w:hAnsi="Calibri" w:cs="Calibri"/>
                <w:b/>
                <w:szCs w:val="17"/>
              </w:rPr>
            </w:pPr>
            <w:r w:rsidRPr="001213F7">
              <w:rPr>
                <w:b/>
              </w:rPr>
              <w:t>(30</w:t>
            </w:r>
            <w:r w:rsidRPr="001213F7" w:rsidDel="00F1780B">
              <w:rPr>
                <w:b/>
              </w:rPr>
              <w:t>)</w:t>
            </w:r>
          </w:p>
        </w:tc>
        <w:tc>
          <w:tcPr>
            <w:tcW w:w="845" w:type="dxa"/>
            <w:tcBorders>
              <w:top w:val="nil"/>
              <w:left w:val="nil"/>
              <w:bottom w:val="single" w:sz="4" w:space="0" w:color="auto"/>
              <w:right w:val="nil"/>
            </w:tcBorders>
            <w:shd w:val="clear" w:color="000000" w:fill="FFFFFF"/>
          </w:tcPr>
          <w:p w14:paraId="5B41B3F8" w14:textId="77777777" w:rsidR="00900469" w:rsidRPr="001213F7" w:rsidRDefault="00900469">
            <w:pPr>
              <w:cnfStyle w:val="000000000000" w:firstRow="0" w:lastRow="0" w:firstColumn="0" w:lastColumn="0" w:oddVBand="0" w:evenVBand="0" w:oddHBand="0" w:evenHBand="0" w:firstRowFirstColumn="0" w:firstRowLastColumn="0" w:lastRowFirstColumn="0" w:lastRowLastColumn="0"/>
              <w:rPr>
                <w:rFonts w:ascii="Calibri" w:hAnsi="Calibri" w:cs="Calibri"/>
                <w:b/>
                <w:szCs w:val="17"/>
              </w:rPr>
            </w:pPr>
            <w:r w:rsidRPr="001213F7">
              <w:rPr>
                <w:b/>
              </w:rPr>
              <w:t>(48</w:t>
            </w:r>
            <w:r w:rsidRPr="001213F7" w:rsidDel="00F1780B">
              <w:rPr>
                <w:b/>
              </w:rPr>
              <w:t>)</w:t>
            </w:r>
          </w:p>
        </w:tc>
        <w:tc>
          <w:tcPr>
            <w:tcW w:w="845" w:type="dxa"/>
            <w:tcBorders>
              <w:top w:val="nil"/>
              <w:left w:val="nil"/>
              <w:bottom w:val="single" w:sz="4" w:space="0" w:color="auto"/>
              <w:right w:val="nil"/>
            </w:tcBorders>
            <w:shd w:val="clear" w:color="000000" w:fill="FFFFFF"/>
          </w:tcPr>
          <w:p w14:paraId="02A20E89" w14:textId="77777777" w:rsidR="00900469" w:rsidRPr="001213F7" w:rsidRDefault="00900469">
            <w:pPr>
              <w:cnfStyle w:val="000000000000" w:firstRow="0" w:lastRow="0" w:firstColumn="0" w:lastColumn="0" w:oddVBand="0" w:evenVBand="0" w:oddHBand="0" w:evenHBand="0" w:firstRowFirstColumn="0" w:firstRowLastColumn="0" w:lastRowFirstColumn="0" w:lastRowLastColumn="0"/>
              <w:rPr>
                <w:rFonts w:ascii="Calibri" w:hAnsi="Calibri" w:cs="Calibri"/>
                <w:b/>
                <w:szCs w:val="17"/>
              </w:rPr>
            </w:pPr>
            <w:r w:rsidRPr="001213F7">
              <w:rPr>
                <w:b/>
              </w:rPr>
              <w:t>(69</w:t>
            </w:r>
            <w:r w:rsidRPr="001213F7" w:rsidDel="00F1780B">
              <w:rPr>
                <w:b/>
              </w:rPr>
              <w:t>)</w:t>
            </w:r>
          </w:p>
        </w:tc>
      </w:tr>
      <w:tr w:rsidR="00900469" w:rsidRPr="001213F7" w14:paraId="56F06679" w14:textId="77777777">
        <w:tc>
          <w:tcPr>
            <w:cnfStyle w:val="001000000000" w:firstRow="0" w:lastRow="0" w:firstColumn="1" w:lastColumn="0" w:oddVBand="0" w:evenVBand="0" w:oddHBand="0" w:evenHBand="0" w:firstRowFirstColumn="0" w:firstRowLastColumn="0" w:lastRowFirstColumn="0" w:lastRowLastColumn="0"/>
            <w:tcW w:w="4333" w:type="dxa"/>
            <w:tcBorders>
              <w:top w:val="single" w:sz="4" w:space="0" w:color="auto"/>
              <w:bottom w:val="nil"/>
            </w:tcBorders>
            <w:vAlign w:val="bottom"/>
            <w:hideMark/>
          </w:tcPr>
          <w:p w14:paraId="09A67049" w14:textId="77777777" w:rsidR="00900469" w:rsidRPr="001213F7" w:rsidRDefault="00900469">
            <w:pPr>
              <w:keepNext/>
              <w:autoSpaceDE w:val="0"/>
              <w:autoSpaceDN w:val="0"/>
              <w:adjustRightInd w:val="0"/>
              <w:rPr>
                <w:rFonts w:eastAsiaTheme="minorEastAsia" w:cstheme="majorHAnsi"/>
                <w:b/>
                <w:szCs w:val="17"/>
                <w:lang w:eastAsia="en-AU"/>
              </w:rPr>
            </w:pPr>
            <w:r w:rsidRPr="001213F7">
              <w:rPr>
                <w:rFonts w:eastAsiaTheme="minorEastAsia" w:cstheme="majorHAnsi"/>
                <w:b/>
                <w:szCs w:val="17"/>
                <w:lang w:eastAsia="en-AU"/>
              </w:rPr>
              <w:t xml:space="preserve">Overseas share prices </w:t>
            </w:r>
            <w:r w:rsidRPr="001213F7">
              <w:rPr>
                <w:rFonts w:eastAsiaTheme="minorEastAsia" w:cstheme="majorHAnsi"/>
                <w:b/>
                <w:szCs w:val="17"/>
                <w:vertAlign w:val="superscript"/>
                <w:lang w:eastAsia="en-AU"/>
              </w:rPr>
              <w:t>(j)</w:t>
            </w:r>
          </w:p>
        </w:tc>
        <w:tc>
          <w:tcPr>
            <w:tcW w:w="844" w:type="dxa"/>
            <w:tcBorders>
              <w:top w:val="single" w:sz="4" w:space="0" w:color="auto"/>
              <w:left w:val="nil"/>
              <w:bottom w:val="nil"/>
              <w:right w:val="nil"/>
            </w:tcBorders>
          </w:tcPr>
          <w:p w14:paraId="512E4B01" w14:textId="77777777" w:rsidR="00900469" w:rsidRPr="001213F7" w:rsidRDefault="00900469">
            <w:pPr>
              <w:cnfStyle w:val="000000000000" w:firstRow="0" w:lastRow="0" w:firstColumn="0" w:lastColumn="0" w:oddVBand="0" w:evenVBand="0" w:oddHBand="0" w:evenHBand="0" w:firstRowFirstColumn="0" w:firstRowLastColumn="0" w:lastRowFirstColumn="0" w:lastRowLastColumn="0"/>
              <w:rPr>
                <w:rFonts w:cstheme="majorHAnsi"/>
                <w:szCs w:val="17"/>
              </w:rPr>
            </w:pPr>
            <w:r w:rsidRPr="001213F7" w:rsidDel="00F1780B">
              <w:t>..</w:t>
            </w:r>
          </w:p>
        </w:tc>
        <w:tc>
          <w:tcPr>
            <w:tcW w:w="844" w:type="dxa"/>
            <w:tcBorders>
              <w:top w:val="single" w:sz="4" w:space="0" w:color="auto"/>
              <w:left w:val="nil"/>
              <w:bottom w:val="nil"/>
              <w:right w:val="nil"/>
            </w:tcBorders>
          </w:tcPr>
          <w:p w14:paraId="78003ED3" w14:textId="77777777" w:rsidR="00900469" w:rsidRPr="001213F7" w:rsidRDefault="00900469">
            <w:pPr>
              <w:cnfStyle w:val="000000000000" w:firstRow="0" w:lastRow="0" w:firstColumn="0" w:lastColumn="0" w:oddVBand="0" w:evenVBand="0" w:oddHBand="0" w:evenHBand="0" w:firstRowFirstColumn="0" w:firstRowLastColumn="0" w:lastRowFirstColumn="0" w:lastRowLastColumn="0"/>
              <w:rPr>
                <w:rFonts w:cstheme="majorHAnsi"/>
                <w:szCs w:val="17"/>
              </w:rPr>
            </w:pPr>
            <w:r w:rsidRPr="001213F7" w:rsidDel="00F1780B">
              <w:t>..</w:t>
            </w:r>
          </w:p>
        </w:tc>
        <w:tc>
          <w:tcPr>
            <w:tcW w:w="845" w:type="dxa"/>
            <w:tcBorders>
              <w:top w:val="single" w:sz="4" w:space="0" w:color="auto"/>
              <w:left w:val="nil"/>
              <w:bottom w:val="nil"/>
              <w:right w:val="nil"/>
            </w:tcBorders>
          </w:tcPr>
          <w:p w14:paraId="3C772036" w14:textId="77777777" w:rsidR="00900469" w:rsidRPr="001213F7" w:rsidRDefault="00900469">
            <w:pPr>
              <w:cnfStyle w:val="000000000000" w:firstRow="0" w:lastRow="0" w:firstColumn="0" w:lastColumn="0" w:oddVBand="0" w:evenVBand="0" w:oddHBand="0" w:evenHBand="0" w:firstRowFirstColumn="0" w:firstRowLastColumn="0" w:lastRowFirstColumn="0" w:lastRowLastColumn="0"/>
              <w:rPr>
                <w:rFonts w:cstheme="majorHAnsi"/>
                <w:szCs w:val="17"/>
              </w:rPr>
            </w:pPr>
            <w:r w:rsidRPr="001213F7" w:rsidDel="00F1780B">
              <w:t>..</w:t>
            </w:r>
          </w:p>
        </w:tc>
        <w:tc>
          <w:tcPr>
            <w:tcW w:w="845" w:type="dxa"/>
            <w:tcBorders>
              <w:top w:val="single" w:sz="4" w:space="0" w:color="auto"/>
              <w:left w:val="nil"/>
              <w:bottom w:val="nil"/>
              <w:right w:val="nil"/>
            </w:tcBorders>
          </w:tcPr>
          <w:p w14:paraId="411B7F53" w14:textId="77777777" w:rsidR="00900469" w:rsidRPr="001213F7" w:rsidRDefault="00900469">
            <w:pPr>
              <w:cnfStyle w:val="000000000000" w:firstRow="0" w:lastRow="0" w:firstColumn="0" w:lastColumn="0" w:oddVBand="0" w:evenVBand="0" w:oddHBand="0" w:evenHBand="0" w:firstRowFirstColumn="0" w:firstRowLastColumn="0" w:lastRowFirstColumn="0" w:lastRowLastColumn="0"/>
              <w:rPr>
                <w:rFonts w:cstheme="majorHAnsi"/>
                <w:szCs w:val="17"/>
              </w:rPr>
            </w:pPr>
            <w:r w:rsidRPr="001213F7" w:rsidDel="00F1780B">
              <w:t>..</w:t>
            </w:r>
          </w:p>
        </w:tc>
      </w:tr>
      <w:tr w:rsidR="00900469" w:rsidRPr="001213F7" w14:paraId="35C4BF9D" w14:textId="77777777">
        <w:tc>
          <w:tcPr>
            <w:cnfStyle w:val="001000000000" w:firstRow="0" w:lastRow="0" w:firstColumn="1" w:lastColumn="0" w:oddVBand="0" w:evenVBand="0" w:oddHBand="0" w:evenHBand="0" w:firstRowFirstColumn="0" w:firstRowLastColumn="0" w:lastRowFirstColumn="0" w:lastRowLastColumn="0"/>
            <w:tcW w:w="4333" w:type="dxa"/>
            <w:tcBorders>
              <w:top w:val="nil"/>
              <w:bottom w:val="nil"/>
            </w:tcBorders>
            <w:vAlign w:val="bottom"/>
            <w:hideMark/>
          </w:tcPr>
          <w:p w14:paraId="5F980932" w14:textId="77777777" w:rsidR="00900469" w:rsidRPr="001213F7" w:rsidRDefault="00900469">
            <w:pPr>
              <w:autoSpaceDE w:val="0"/>
              <w:autoSpaceDN w:val="0"/>
              <w:adjustRightInd w:val="0"/>
              <w:rPr>
                <w:rFonts w:eastAsiaTheme="minorEastAsia" w:cstheme="majorHAnsi"/>
                <w:szCs w:val="17"/>
                <w:lang w:eastAsia="en-AU"/>
              </w:rPr>
            </w:pPr>
            <w:r w:rsidRPr="001213F7">
              <w:rPr>
                <w:rFonts w:eastAsiaTheme="minorEastAsia" w:cstheme="majorHAnsi"/>
                <w:szCs w:val="17"/>
                <w:lang w:eastAsia="en-AU"/>
              </w:rPr>
              <w:t>Income from transactions</w:t>
            </w:r>
          </w:p>
        </w:tc>
        <w:tc>
          <w:tcPr>
            <w:tcW w:w="844" w:type="dxa"/>
            <w:tcBorders>
              <w:top w:val="nil"/>
              <w:left w:val="nil"/>
              <w:bottom w:val="nil"/>
              <w:right w:val="nil"/>
            </w:tcBorders>
          </w:tcPr>
          <w:p w14:paraId="66A5A9D0" w14:textId="77777777" w:rsidR="00900469" w:rsidRPr="001213F7" w:rsidRDefault="00900469">
            <w:pPr>
              <w:cnfStyle w:val="000000000000" w:firstRow="0" w:lastRow="0" w:firstColumn="0" w:lastColumn="0" w:oddVBand="0" w:evenVBand="0" w:oddHBand="0" w:evenHBand="0" w:firstRowFirstColumn="0" w:firstRowLastColumn="0" w:lastRowFirstColumn="0" w:lastRowLastColumn="0"/>
              <w:rPr>
                <w:rFonts w:cstheme="majorHAnsi"/>
                <w:szCs w:val="17"/>
              </w:rPr>
            </w:pPr>
            <w:r w:rsidRPr="001213F7" w:rsidDel="00F1780B">
              <w:t>..</w:t>
            </w:r>
          </w:p>
        </w:tc>
        <w:tc>
          <w:tcPr>
            <w:tcW w:w="844" w:type="dxa"/>
            <w:tcBorders>
              <w:top w:val="nil"/>
              <w:left w:val="nil"/>
              <w:bottom w:val="nil"/>
              <w:right w:val="nil"/>
            </w:tcBorders>
          </w:tcPr>
          <w:p w14:paraId="7C708AEB" w14:textId="77777777" w:rsidR="00900469" w:rsidRPr="001213F7" w:rsidRDefault="00900469">
            <w:pPr>
              <w:cnfStyle w:val="000000000000" w:firstRow="0" w:lastRow="0" w:firstColumn="0" w:lastColumn="0" w:oddVBand="0" w:evenVBand="0" w:oddHBand="0" w:evenHBand="0" w:firstRowFirstColumn="0" w:firstRowLastColumn="0" w:lastRowFirstColumn="0" w:lastRowLastColumn="0"/>
              <w:rPr>
                <w:rFonts w:cstheme="majorHAnsi"/>
                <w:szCs w:val="17"/>
              </w:rPr>
            </w:pPr>
            <w:r w:rsidRPr="001213F7">
              <w:t>4</w:t>
            </w:r>
          </w:p>
        </w:tc>
        <w:tc>
          <w:tcPr>
            <w:tcW w:w="845" w:type="dxa"/>
            <w:tcBorders>
              <w:top w:val="nil"/>
              <w:left w:val="nil"/>
              <w:bottom w:val="nil"/>
              <w:right w:val="nil"/>
            </w:tcBorders>
          </w:tcPr>
          <w:p w14:paraId="048E4AF7" w14:textId="77777777" w:rsidR="00900469" w:rsidRPr="001213F7" w:rsidRDefault="00900469">
            <w:pPr>
              <w:cnfStyle w:val="000000000000" w:firstRow="0" w:lastRow="0" w:firstColumn="0" w:lastColumn="0" w:oddVBand="0" w:evenVBand="0" w:oddHBand="0" w:evenHBand="0" w:firstRowFirstColumn="0" w:firstRowLastColumn="0" w:lastRowFirstColumn="0" w:lastRowLastColumn="0"/>
              <w:rPr>
                <w:rFonts w:cstheme="majorHAnsi"/>
                <w:szCs w:val="17"/>
              </w:rPr>
            </w:pPr>
            <w:r w:rsidRPr="001213F7">
              <w:t>8</w:t>
            </w:r>
          </w:p>
        </w:tc>
        <w:tc>
          <w:tcPr>
            <w:tcW w:w="845" w:type="dxa"/>
            <w:tcBorders>
              <w:top w:val="nil"/>
              <w:left w:val="nil"/>
              <w:bottom w:val="nil"/>
              <w:right w:val="nil"/>
            </w:tcBorders>
          </w:tcPr>
          <w:p w14:paraId="61DEA74A" w14:textId="77777777" w:rsidR="00900469" w:rsidRPr="001213F7" w:rsidRDefault="00900469">
            <w:pPr>
              <w:cnfStyle w:val="000000000000" w:firstRow="0" w:lastRow="0" w:firstColumn="0" w:lastColumn="0" w:oddVBand="0" w:evenVBand="0" w:oddHBand="0" w:evenHBand="0" w:firstRowFirstColumn="0" w:firstRowLastColumn="0" w:lastRowFirstColumn="0" w:lastRowLastColumn="0"/>
              <w:rPr>
                <w:rFonts w:cstheme="majorHAnsi"/>
                <w:szCs w:val="17"/>
              </w:rPr>
            </w:pPr>
            <w:r w:rsidRPr="001213F7">
              <w:t>13</w:t>
            </w:r>
          </w:p>
        </w:tc>
      </w:tr>
      <w:tr w:rsidR="00900469" w:rsidRPr="001213F7" w14:paraId="497D174C" w14:textId="77777777">
        <w:tc>
          <w:tcPr>
            <w:cnfStyle w:val="001000000000" w:firstRow="0" w:lastRow="0" w:firstColumn="1" w:lastColumn="0" w:oddVBand="0" w:evenVBand="0" w:oddHBand="0" w:evenHBand="0" w:firstRowFirstColumn="0" w:firstRowLastColumn="0" w:lastRowFirstColumn="0" w:lastRowLastColumn="0"/>
            <w:tcW w:w="4333" w:type="dxa"/>
            <w:tcBorders>
              <w:top w:val="nil"/>
              <w:bottom w:val="single" w:sz="4" w:space="0" w:color="auto"/>
            </w:tcBorders>
            <w:vAlign w:val="bottom"/>
            <w:hideMark/>
          </w:tcPr>
          <w:p w14:paraId="57F7BBEE" w14:textId="77777777" w:rsidR="00900469" w:rsidRPr="001213F7" w:rsidRDefault="00900469">
            <w:pPr>
              <w:autoSpaceDE w:val="0"/>
              <w:autoSpaceDN w:val="0"/>
              <w:adjustRightInd w:val="0"/>
              <w:rPr>
                <w:rFonts w:eastAsiaTheme="minorEastAsia" w:cstheme="majorHAnsi"/>
                <w:szCs w:val="17"/>
                <w:lang w:eastAsia="en-AU"/>
              </w:rPr>
            </w:pPr>
            <w:r w:rsidRPr="001213F7">
              <w:rPr>
                <w:rFonts w:eastAsiaTheme="minorEastAsia" w:cstheme="majorHAnsi"/>
                <w:szCs w:val="17"/>
                <w:lang w:eastAsia="en-AU"/>
              </w:rPr>
              <w:t>Expenses from transactions</w:t>
            </w:r>
          </w:p>
        </w:tc>
        <w:tc>
          <w:tcPr>
            <w:tcW w:w="844" w:type="dxa"/>
            <w:tcBorders>
              <w:top w:val="nil"/>
              <w:left w:val="nil"/>
              <w:bottom w:val="nil"/>
              <w:right w:val="nil"/>
            </w:tcBorders>
            <w:shd w:val="clear" w:color="000000" w:fill="FFFFFF"/>
          </w:tcPr>
          <w:p w14:paraId="55F187C1" w14:textId="77777777" w:rsidR="00900469" w:rsidRPr="001213F7" w:rsidRDefault="00900469">
            <w:pPr>
              <w:cnfStyle w:val="000000000000" w:firstRow="0" w:lastRow="0" w:firstColumn="0" w:lastColumn="0" w:oddVBand="0" w:evenVBand="0" w:oddHBand="0" w:evenHBand="0" w:firstRowFirstColumn="0" w:firstRowLastColumn="0" w:lastRowFirstColumn="0" w:lastRowLastColumn="0"/>
              <w:rPr>
                <w:rFonts w:cstheme="majorHAnsi"/>
                <w:szCs w:val="17"/>
              </w:rPr>
            </w:pPr>
            <w:r w:rsidRPr="001213F7" w:rsidDel="00F1780B">
              <w:t>..</w:t>
            </w:r>
          </w:p>
        </w:tc>
        <w:tc>
          <w:tcPr>
            <w:tcW w:w="844" w:type="dxa"/>
            <w:tcBorders>
              <w:top w:val="nil"/>
              <w:left w:val="nil"/>
              <w:bottom w:val="nil"/>
              <w:right w:val="nil"/>
            </w:tcBorders>
            <w:shd w:val="clear" w:color="000000" w:fill="FFFFFF"/>
          </w:tcPr>
          <w:p w14:paraId="2DF1DF57" w14:textId="77777777" w:rsidR="00900469" w:rsidRPr="001213F7" w:rsidRDefault="00900469">
            <w:pPr>
              <w:cnfStyle w:val="000000000000" w:firstRow="0" w:lastRow="0" w:firstColumn="0" w:lastColumn="0" w:oddVBand="0" w:evenVBand="0" w:oddHBand="0" w:evenHBand="0" w:firstRowFirstColumn="0" w:firstRowLastColumn="0" w:lastRowFirstColumn="0" w:lastRowLastColumn="0"/>
              <w:rPr>
                <w:rFonts w:cstheme="majorHAnsi"/>
                <w:szCs w:val="17"/>
              </w:rPr>
            </w:pPr>
            <w:r w:rsidRPr="001213F7">
              <w:t>(3</w:t>
            </w:r>
            <w:r w:rsidRPr="001213F7" w:rsidDel="00F1780B">
              <w:t>)</w:t>
            </w:r>
          </w:p>
        </w:tc>
        <w:tc>
          <w:tcPr>
            <w:tcW w:w="845" w:type="dxa"/>
            <w:tcBorders>
              <w:top w:val="nil"/>
              <w:left w:val="nil"/>
              <w:bottom w:val="nil"/>
              <w:right w:val="nil"/>
            </w:tcBorders>
            <w:shd w:val="clear" w:color="000000" w:fill="FFFFFF"/>
          </w:tcPr>
          <w:p w14:paraId="3311D97C" w14:textId="77777777" w:rsidR="00900469" w:rsidRPr="001213F7" w:rsidRDefault="00900469">
            <w:pPr>
              <w:cnfStyle w:val="000000000000" w:firstRow="0" w:lastRow="0" w:firstColumn="0" w:lastColumn="0" w:oddVBand="0" w:evenVBand="0" w:oddHBand="0" w:evenHBand="0" w:firstRowFirstColumn="0" w:firstRowLastColumn="0" w:lastRowFirstColumn="0" w:lastRowLastColumn="0"/>
              <w:rPr>
                <w:rFonts w:cstheme="majorHAnsi"/>
                <w:szCs w:val="17"/>
              </w:rPr>
            </w:pPr>
            <w:r w:rsidRPr="001213F7">
              <w:t>(0</w:t>
            </w:r>
            <w:r w:rsidRPr="001213F7" w:rsidDel="00F1780B">
              <w:t>)</w:t>
            </w:r>
          </w:p>
        </w:tc>
        <w:tc>
          <w:tcPr>
            <w:tcW w:w="845" w:type="dxa"/>
            <w:tcBorders>
              <w:top w:val="nil"/>
              <w:left w:val="nil"/>
              <w:bottom w:val="nil"/>
              <w:right w:val="nil"/>
            </w:tcBorders>
            <w:shd w:val="clear" w:color="000000" w:fill="FFFFFF"/>
          </w:tcPr>
          <w:p w14:paraId="4ED12B75" w14:textId="77777777" w:rsidR="00900469" w:rsidRPr="001213F7" w:rsidRDefault="00900469">
            <w:pPr>
              <w:cnfStyle w:val="000000000000" w:firstRow="0" w:lastRow="0" w:firstColumn="0" w:lastColumn="0" w:oddVBand="0" w:evenVBand="0" w:oddHBand="0" w:evenHBand="0" w:firstRowFirstColumn="0" w:firstRowLastColumn="0" w:lastRowFirstColumn="0" w:lastRowLastColumn="0"/>
              <w:rPr>
                <w:rFonts w:cstheme="majorHAnsi"/>
                <w:szCs w:val="17"/>
              </w:rPr>
            </w:pPr>
            <w:r w:rsidRPr="001213F7">
              <w:t>2</w:t>
            </w:r>
          </w:p>
        </w:tc>
      </w:tr>
      <w:tr w:rsidR="00900469" w:rsidRPr="001213F7" w14:paraId="1B979719" w14:textId="77777777">
        <w:tc>
          <w:tcPr>
            <w:cnfStyle w:val="001000000000" w:firstRow="0" w:lastRow="0" w:firstColumn="1" w:lastColumn="0" w:oddVBand="0" w:evenVBand="0" w:oddHBand="0" w:evenHBand="0" w:firstRowFirstColumn="0" w:firstRowLastColumn="0" w:lastRowFirstColumn="0" w:lastRowLastColumn="0"/>
            <w:tcW w:w="4333" w:type="dxa"/>
            <w:tcBorders>
              <w:top w:val="single" w:sz="4" w:space="0" w:color="auto"/>
              <w:bottom w:val="nil"/>
            </w:tcBorders>
            <w:vAlign w:val="bottom"/>
            <w:hideMark/>
          </w:tcPr>
          <w:p w14:paraId="5EF398BF" w14:textId="77777777" w:rsidR="00900469" w:rsidRPr="001213F7" w:rsidRDefault="00900469">
            <w:pPr>
              <w:autoSpaceDE w:val="0"/>
              <w:autoSpaceDN w:val="0"/>
              <w:adjustRightInd w:val="0"/>
              <w:rPr>
                <w:rFonts w:eastAsiaTheme="minorEastAsia" w:cstheme="majorHAnsi"/>
                <w:b/>
                <w:szCs w:val="17"/>
                <w:lang w:eastAsia="en-AU"/>
              </w:rPr>
            </w:pPr>
            <w:r w:rsidRPr="001213F7">
              <w:rPr>
                <w:rFonts w:eastAsiaTheme="minorEastAsia" w:cstheme="majorHAnsi"/>
                <w:b/>
                <w:szCs w:val="17"/>
                <w:lang w:eastAsia="en-AU"/>
              </w:rPr>
              <w:t>Net result from transactions</w:t>
            </w:r>
          </w:p>
        </w:tc>
        <w:tc>
          <w:tcPr>
            <w:tcW w:w="844" w:type="dxa"/>
            <w:tcBorders>
              <w:top w:val="single" w:sz="4" w:space="0" w:color="auto"/>
              <w:left w:val="nil"/>
              <w:bottom w:val="nil"/>
              <w:right w:val="nil"/>
            </w:tcBorders>
            <w:shd w:val="clear" w:color="000000" w:fill="FFFFFF"/>
          </w:tcPr>
          <w:p w14:paraId="4237C4EF" w14:textId="77777777" w:rsidR="00900469" w:rsidRPr="001213F7" w:rsidRDefault="00900469">
            <w:pPr>
              <w:cnfStyle w:val="000000000000" w:firstRow="0" w:lastRow="0" w:firstColumn="0" w:lastColumn="0" w:oddVBand="0" w:evenVBand="0" w:oddHBand="0" w:evenHBand="0" w:firstRowFirstColumn="0" w:firstRowLastColumn="0" w:lastRowFirstColumn="0" w:lastRowLastColumn="0"/>
              <w:rPr>
                <w:rFonts w:cstheme="majorHAnsi"/>
                <w:b/>
                <w:szCs w:val="17"/>
              </w:rPr>
            </w:pPr>
            <w:r w:rsidRPr="001213F7" w:rsidDel="00F1780B">
              <w:rPr>
                <w:b/>
              </w:rPr>
              <w:t>..</w:t>
            </w:r>
          </w:p>
        </w:tc>
        <w:tc>
          <w:tcPr>
            <w:tcW w:w="844" w:type="dxa"/>
            <w:tcBorders>
              <w:top w:val="single" w:sz="4" w:space="0" w:color="auto"/>
              <w:left w:val="nil"/>
              <w:bottom w:val="nil"/>
              <w:right w:val="nil"/>
            </w:tcBorders>
            <w:shd w:val="clear" w:color="000000" w:fill="FFFFFF"/>
          </w:tcPr>
          <w:p w14:paraId="708ACDBA" w14:textId="77777777" w:rsidR="00900469" w:rsidRPr="001213F7" w:rsidRDefault="00900469">
            <w:pPr>
              <w:cnfStyle w:val="000000000000" w:firstRow="0" w:lastRow="0" w:firstColumn="0" w:lastColumn="0" w:oddVBand="0" w:evenVBand="0" w:oddHBand="0" w:evenHBand="0" w:firstRowFirstColumn="0" w:firstRowLastColumn="0" w:lastRowFirstColumn="0" w:lastRowLastColumn="0"/>
              <w:rPr>
                <w:rFonts w:cstheme="majorHAnsi"/>
                <w:b/>
                <w:szCs w:val="17"/>
              </w:rPr>
            </w:pPr>
            <w:r w:rsidRPr="001213F7">
              <w:rPr>
                <w:b/>
              </w:rPr>
              <w:t>6</w:t>
            </w:r>
          </w:p>
        </w:tc>
        <w:tc>
          <w:tcPr>
            <w:tcW w:w="845" w:type="dxa"/>
            <w:tcBorders>
              <w:top w:val="single" w:sz="4" w:space="0" w:color="auto"/>
              <w:left w:val="nil"/>
              <w:bottom w:val="nil"/>
              <w:right w:val="nil"/>
            </w:tcBorders>
            <w:shd w:val="clear" w:color="000000" w:fill="FFFFFF"/>
          </w:tcPr>
          <w:p w14:paraId="18034EA9" w14:textId="77777777" w:rsidR="00900469" w:rsidRPr="001213F7" w:rsidRDefault="00900469">
            <w:pPr>
              <w:cnfStyle w:val="000000000000" w:firstRow="0" w:lastRow="0" w:firstColumn="0" w:lastColumn="0" w:oddVBand="0" w:evenVBand="0" w:oddHBand="0" w:evenHBand="0" w:firstRowFirstColumn="0" w:firstRowLastColumn="0" w:lastRowFirstColumn="0" w:lastRowLastColumn="0"/>
              <w:rPr>
                <w:rFonts w:cstheme="majorHAnsi"/>
                <w:b/>
                <w:szCs w:val="17"/>
              </w:rPr>
            </w:pPr>
            <w:r w:rsidRPr="001213F7">
              <w:rPr>
                <w:b/>
              </w:rPr>
              <w:t>8</w:t>
            </w:r>
          </w:p>
        </w:tc>
        <w:tc>
          <w:tcPr>
            <w:tcW w:w="845" w:type="dxa"/>
            <w:tcBorders>
              <w:top w:val="single" w:sz="4" w:space="0" w:color="auto"/>
              <w:left w:val="nil"/>
              <w:bottom w:val="nil"/>
              <w:right w:val="nil"/>
            </w:tcBorders>
            <w:shd w:val="clear" w:color="000000" w:fill="FFFFFF"/>
          </w:tcPr>
          <w:p w14:paraId="51ED670F" w14:textId="77777777" w:rsidR="00900469" w:rsidRPr="001213F7" w:rsidRDefault="00900469">
            <w:pPr>
              <w:cnfStyle w:val="000000000000" w:firstRow="0" w:lastRow="0" w:firstColumn="0" w:lastColumn="0" w:oddVBand="0" w:evenVBand="0" w:oddHBand="0" w:evenHBand="0" w:firstRowFirstColumn="0" w:firstRowLastColumn="0" w:lastRowFirstColumn="0" w:lastRowLastColumn="0"/>
              <w:rPr>
                <w:rFonts w:cstheme="majorHAnsi"/>
                <w:b/>
                <w:szCs w:val="17"/>
              </w:rPr>
            </w:pPr>
            <w:r w:rsidRPr="001213F7">
              <w:rPr>
                <w:b/>
              </w:rPr>
              <w:t>10</w:t>
            </w:r>
          </w:p>
        </w:tc>
      </w:tr>
      <w:tr w:rsidR="00900469" w:rsidRPr="001213F7" w14:paraId="58EB39FB" w14:textId="77777777">
        <w:tc>
          <w:tcPr>
            <w:cnfStyle w:val="001000000000" w:firstRow="0" w:lastRow="0" w:firstColumn="1" w:lastColumn="0" w:oddVBand="0" w:evenVBand="0" w:oddHBand="0" w:evenHBand="0" w:firstRowFirstColumn="0" w:firstRowLastColumn="0" w:lastRowFirstColumn="0" w:lastRowLastColumn="0"/>
            <w:tcW w:w="4333" w:type="dxa"/>
            <w:tcBorders>
              <w:top w:val="nil"/>
              <w:bottom w:val="single" w:sz="4" w:space="0" w:color="auto"/>
            </w:tcBorders>
            <w:vAlign w:val="bottom"/>
            <w:hideMark/>
          </w:tcPr>
          <w:p w14:paraId="218C5C19" w14:textId="77777777" w:rsidR="00900469" w:rsidRPr="001213F7" w:rsidRDefault="00900469">
            <w:pPr>
              <w:autoSpaceDE w:val="0"/>
              <w:autoSpaceDN w:val="0"/>
              <w:adjustRightInd w:val="0"/>
              <w:rPr>
                <w:rFonts w:eastAsiaTheme="minorEastAsia" w:cstheme="majorHAnsi"/>
                <w:b/>
                <w:szCs w:val="17"/>
                <w:lang w:eastAsia="en-AU"/>
              </w:rPr>
            </w:pPr>
            <w:r w:rsidRPr="001213F7">
              <w:rPr>
                <w:rFonts w:eastAsiaTheme="minorEastAsia" w:cstheme="majorHAnsi"/>
                <w:b/>
                <w:szCs w:val="17"/>
                <w:lang w:eastAsia="en-AU"/>
              </w:rPr>
              <w:t>Net debt</w:t>
            </w:r>
          </w:p>
        </w:tc>
        <w:tc>
          <w:tcPr>
            <w:tcW w:w="844" w:type="dxa"/>
            <w:tcBorders>
              <w:top w:val="nil"/>
              <w:left w:val="nil"/>
              <w:bottom w:val="single" w:sz="4" w:space="0" w:color="auto"/>
              <w:right w:val="nil"/>
            </w:tcBorders>
            <w:shd w:val="clear" w:color="000000" w:fill="FFFFFF"/>
          </w:tcPr>
          <w:p w14:paraId="20B5DF89" w14:textId="77777777" w:rsidR="00900469" w:rsidRPr="001213F7" w:rsidRDefault="00900469">
            <w:pPr>
              <w:ind w:left="170" w:hanging="170"/>
              <w:cnfStyle w:val="000000000000" w:firstRow="0" w:lastRow="0" w:firstColumn="0" w:lastColumn="0" w:oddVBand="0" w:evenVBand="0" w:oddHBand="0" w:evenHBand="0" w:firstRowFirstColumn="0" w:firstRowLastColumn="0" w:lastRowFirstColumn="0" w:lastRowLastColumn="0"/>
              <w:rPr>
                <w:rFonts w:ascii="Calibri" w:eastAsia="Calibri" w:hAnsi="Calibri" w:cs="Calibri"/>
                <w:b/>
                <w:szCs w:val="17"/>
              </w:rPr>
            </w:pPr>
            <w:r w:rsidRPr="001213F7" w:rsidDel="00F1780B">
              <w:rPr>
                <w:b/>
              </w:rPr>
              <w:t>(34)</w:t>
            </w:r>
          </w:p>
        </w:tc>
        <w:tc>
          <w:tcPr>
            <w:tcW w:w="844" w:type="dxa"/>
            <w:tcBorders>
              <w:top w:val="nil"/>
              <w:left w:val="nil"/>
              <w:bottom w:val="single" w:sz="4" w:space="0" w:color="auto"/>
              <w:right w:val="nil"/>
            </w:tcBorders>
            <w:shd w:val="clear" w:color="000000" w:fill="FFFFFF"/>
          </w:tcPr>
          <w:p w14:paraId="7C4D43F0" w14:textId="77777777" w:rsidR="00900469" w:rsidRPr="001213F7" w:rsidRDefault="00900469">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szCs w:val="17"/>
              </w:rPr>
            </w:pPr>
            <w:r w:rsidRPr="001213F7">
              <w:rPr>
                <w:b/>
              </w:rPr>
              <w:t>(73</w:t>
            </w:r>
            <w:r w:rsidRPr="001213F7" w:rsidDel="00F1780B">
              <w:rPr>
                <w:b/>
              </w:rPr>
              <w:t>)</w:t>
            </w:r>
          </w:p>
        </w:tc>
        <w:tc>
          <w:tcPr>
            <w:tcW w:w="845" w:type="dxa"/>
            <w:tcBorders>
              <w:top w:val="nil"/>
              <w:left w:val="nil"/>
              <w:bottom w:val="single" w:sz="4" w:space="0" w:color="auto"/>
              <w:right w:val="nil"/>
            </w:tcBorders>
            <w:shd w:val="clear" w:color="000000" w:fill="FFFFFF"/>
          </w:tcPr>
          <w:p w14:paraId="3B343EBB" w14:textId="77777777" w:rsidR="00900469" w:rsidRPr="001213F7" w:rsidRDefault="00900469">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szCs w:val="17"/>
              </w:rPr>
            </w:pPr>
            <w:r w:rsidRPr="001213F7">
              <w:rPr>
                <w:b/>
              </w:rPr>
              <w:t>(117</w:t>
            </w:r>
            <w:r w:rsidRPr="001213F7" w:rsidDel="00F1780B">
              <w:rPr>
                <w:b/>
              </w:rPr>
              <w:t>)</w:t>
            </w:r>
          </w:p>
        </w:tc>
        <w:tc>
          <w:tcPr>
            <w:tcW w:w="845" w:type="dxa"/>
            <w:tcBorders>
              <w:top w:val="nil"/>
              <w:left w:val="nil"/>
              <w:bottom w:val="single" w:sz="4" w:space="0" w:color="auto"/>
              <w:right w:val="nil"/>
            </w:tcBorders>
            <w:shd w:val="clear" w:color="000000" w:fill="FFFFFF"/>
          </w:tcPr>
          <w:p w14:paraId="5E575F2D" w14:textId="77777777" w:rsidR="00900469" w:rsidRPr="001213F7" w:rsidRDefault="00900469">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szCs w:val="17"/>
              </w:rPr>
            </w:pPr>
            <w:r w:rsidRPr="001213F7">
              <w:rPr>
                <w:b/>
              </w:rPr>
              <w:t>(168</w:t>
            </w:r>
            <w:r w:rsidRPr="001213F7" w:rsidDel="00F1780B">
              <w:rPr>
                <w:b/>
              </w:rPr>
              <w:t>)</w:t>
            </w:r>
          </w:p>
        </w:tc>
      </w:tr>
      <w:tr w:rsidR="00900469" w:rsidRPr="001213F7" w14:paraId="49669975" w14:textId="77777777">
        <w:tc>
          <w:tcPr>
            <w:cnfStyle w:val="001000000000" w:firstRow="0" w:lastRow="0" w:firstColumn="1" w:lastColumn="0" w:oddVBand="0" w:evenVBand="0" w:oddHBand="0" w:evenHBand="0" w:firstRowFirstColumn="0" w:firstRowLastColumn="0" w:lastRowFirstColumn="0" w:lastRowLastColumn="0"/>
            <w:tcW w:w="4333" w:type="dxa"/>
            <w:tcBorders>
              <w:top w:val="single" w:sz="4" w:space="0" w:color="auto"/>
              <w:bottom w:val="nil"/>
            </w:tcBorders>
            <w:vAlign w:val="bottom"/>
            <w:hideMark/>
          </w:tcPr>
          <w:p w14:paraId="531C3CF5" w14:textId="77777777" w:rsidR="00900469" w:rsidRPr="001213F7" w:rsidRDefault="00900469">
            <w:pPr>
              <w:autoSpaceDE w:val="0"/>
              <w:autoSpaceDN w:val="0"/>
              <w:adjustRightInd w:val="0"/>
              <w:rPr>
                <w:rFonts w:eastAsiaTheme="minorEastAsia" w:cstheme="majorHAnsi"/>
                <w:b/>
                <w:szCs w:val="17"/>
                <w:lang w:eastAsia="en-AU"/>
              </w:rPr>
            </w:pPr>
            <w:r w:rsidRPr="001213F7">
              <w:rPr>
                <w:rFonts w:eastAsiaTheme="minorEastAsia" w:cstheme="majorHAnsi"/>
                <w:b/>
                <w:szCs w:val="17"/>
                <w:lang w:eastAsia="en-AU"/>
              </w:rPr>
              <w:t>Property prices</w:t>
            </w:r>
          </w:p>
        </w:tc>
        <w:tc>
          <w:tcPr>
            <w:tcW w:w="844" w:type="dxa"/>
            <w:tcBorders>
              <w:top w:val="single" w:sz="4" w:space="0" w:color="auto"/>
              <w:left w:val="nil"/>
              <w:bottom w:val="nil"/>
              <w:right w:val="nil"/>
            </w:tcBorders>
          </w:tcPr>
          <w:p w14:paraId="7D5B569F" w14:textId="77777777" w:rsidR="00900469" w:rsidRPr="001213F7" w:rsidRDefault="00900469">
            <w:pPr>
              <w:cnfStyle w:val="000000000000" w:firstRow="0" w:lastRow="0" w:firstColumn="0" w:lastColumn="0" w:oddVBand="0" w:evenVBand="0" w:oddHBand="0" w:evenHBand="0" w:firstRowFirstColumn="0" w:firstRowLastColumn="0" w:lastRowFirstColumn="0" w:lastRowLastColumn="0"/>
              <w:rPr>
                <w:rFonts w:cstheme="majorHAnsi"/>
                <w:szCs w:val="17"/>
              </w:rPr>
            </w:pPr>
          </w:p>
        </w:tc>
        <w:tc>
          <w:tcPr>
            <w:tcW w:w="844" w:type="dxa"/>
            <w:tcBorders>
              <w:top w:val="single" w:sz="4" w:space="0" w:color="auto"/>
              <w:left w:val="nil"/>
              <w:bottom w:val="nil"/>
              <w:right w:val="nil"/>
            </w:tcBorders>
          </w:tcPr>
          <w:p w14:paraId="341706E0" w14:textId="77777777" w:rsidR="00900469" w:rsidRPr="001213F7" w:rsidRDefault="00900469">
            <w:pPr>
              <w:cnfStyle w:val="000000000000" w:firstRow="0" w:lastRow="0" w:firstColumn="0" w:lastColumn="0" w:oddVBand="0" w:evenVBand="0" w:oddHBand="0" w:evenHBand="0" w:firstRowFirstColumn="0" w:firstRowLastColumn="0" w:lastRowFirstColumn="0" w:lastRowLastColumn="0"/>
              <w:rPr>
                <w:rFonts w:cstheme="majorHAnsi"/>
                <w:szCs w:val="17"/>
              </w:rPr>
            </w:pPr>
          </w:p>
        </w:tc>
        <w:tc>
          <w:tcPr>
            <w:tcW w:w="845" w:type="dxa"/>
            <w:tcBorders>
              <w:top w:val="single" w:sz="4" w:space="0" w:color="auto"/>
              <w:left w:val="nil"/>
              <w:bottom w:val="nil"/>
              <w:right w:val="nil"/>
            </w:tcBorders>
          </w:tcPr>
          <w:p w14:paraId="726F959D" w14:textId="77777777" w:rsidR="00900469" w:rsidRPr="001213F7" w:rsidRDefault="00900469">
            <w:pPr>
              <w:cnfStyle w:val="000000000000" w:firstRow="0" w:lastRow="0" w:firstColumn="0" w:lastColumn="0" w:oddVBand="0" w:evenVBand="0" w:oddHBand="0" w:evenHBand="0" w:firstRowFirstColumn="0" w:firstRowLastColumn="0" w:lastRowFirstColumn="0" w:lastRowLastColumn="0"/>
              <w:rPr>
                <w:rFonts w:cstheme="majorHAnsi"/>
                <w:szCs w:val="17"/>
              </w:rPr>
            </w:pPr>
          </w:p>
        </w:tc>
        <w:tc>
          <w:tcPr>
            <w:tcW w:w="845" w:type="dxa"/>
            <w:tcBorders>
              <w:top w:val="single" w:sz="4" w:space="0" w:color="auto"/>
              <w:left w:val="nil"/>
              <w:bottom w:val="nil"/>
              <w:right w:val="nil"/>
            </w:tcBorders>
          </w:tcPr>
          <w:p w14:paraId="3DCBAADC" w14:textId="77777777" w:rsidR="00900469" w:rsidRPr="001213F7" w:rsidRDefault="00900469">
            <w:pPr>
              <w:cnfStyle w:val="000000000000" w:firstRow="0" w:lastRow="0" w:firstColumn="0" w:lastColumn="0" w:oddVBand="0" w:evenVBand="0" w:oddHBand="0" w:evenHBand="0" w:firstRowFirstColumn="0" w:firstRowLastColumn="0" w:lastRowFirstColumn="0" w:lastRowLastColumn="0"/>
              <w:rPr>
                <w:rFonts w:cstheme="majorHAnsi"/>
                <w:szCs w:val="17"/>
              </w:rPr>
            </w:pPr>
          </w:p>
        </w:tc>
      </w:tr>
      <w:tr w:rsidR="00900469" w:rsidRPr="001213F7" w14:paraId="23FA0E10" w14:textId="77777777">
        <w:tc>
          <w:tcPr>
            <w:cnfStyle w:val="001000000000" w:firstRow="0" w:lastRow="0" w:firstColumn="1" w:lastColumn="0" w:oddVBand="0" w:evenVBand="0" w:oddHBand="0" w:evenHBand="0" w:firstRowFirstColumn="0" w:firstRowLastColumn="0" w:lastRowFirstColumn="0" w:lastRowLastColumn="0"/>
            <w:tcW w:w="4333" w:type="dxa"/>
            <w:tcBorders>
              <w:top w:val="nil"/>
              <w:bottom w:val="nil"/>
            </w:tcBorders>
            <w:vAlign w:val="bottom"/>
            <w:hideMark/>
          </w:tcPr>
          <w:p w14:paraId="0019E7B0" w14:textId="77777777" w:rsidR="00900469" w:rsidRPr="001213F7" w:rsidRDefault="00900469">
            <w:pPr>
              <w:autoSpaceDE w:val="0"/>
              <w:autoSpaceDN w:val="0"/>
              <w:adjustRightInd w:val="0"/>
              <w:rPr>
                <w:rFonts w:eastAsiaTheme="minorEastAsia" w:cstheme="majorHAnsi"/>
                <w:szCs w:val="17"/>
                <w:lang w:eastAsia="en-AU"/>
              </w:rPr>
            </w:pPr>
            <w:r w:rsidRPr="001213F7">
              <w:rPr>
                <w:rFonts w:eastAsiaTheme="minorEastAsia" w:cstheme="majorHAnsi"/>
                <w:szCs w:val="17"/>
                <w:lang w:eastAsia="en-AU"/>
              </w:rPr>
              <w:t>Income from transactions</w:t>
            </w:r>
          </w:p>
        </w:tc>
        <w:tc>
          <w:tcPr>
            <w:tcW w:w="844" w:type="dxa"/>
            <w:tcBorders>
              <w:top w:val="nil"/>
              <w:left w:val="nil"/>
              <w:bottom w:val="nil"/>
              <w:right w:val="nil"/>
            </w:tcBorders>
            <w:shd w:val="clear" w:color="000000" w:fill="FFFFFF"/>
          </w:tcPr>
          <w:p w14:paraId="7CD9F7AB" w14:textId="77777777" w:rsidR="00900469" w:rsidRPr="001213F7" w:rsidRDefault="00900469">
            <w:pPr>
              <w:cnfStyle w:val="000000000000" w:firstRow="0" w:lastRow="0" w:firstColumn="0" w:lastColumn="0" w:oddVBand="0" w:evenVBand="0" w:oddHBand="0" w:evenHBand="0" w:firstRowFirstColumn="0" w:firstRowLastColumn="0" w:lastRowFirstColumn="0" w:lastRowLastColumn="0"/>
              <w:rPr>
                <w:rFonts w:cstheme="majorHAnsi"/>
                <w:szCs w:val="17"/>
              </w:rPr>
            </w:pPr>
            <w:r w:rsidRPr="001213F7">
              <w:t>228</w:t>
            </w:r>
          </w:p>
        </w:tc>
        <w:tc>
          <w:tcPr>
            <w:tcW w:w="844" w:type="dxa"/>
            <w:tcBorders>
              <w:top w:val="nil"/>
              <w:left w:val="nil"/>
              <w:bottom w:val="nil"/>
              <w:right w:val="nil"/>
            </w:tcBorders>
            <w:shd w:val="clear" w:color="000000" w:fill="FFFFFF"/>
          </w:tcPr>
          <w:p w14:paraId="50FF45D2" w14:textId="77777777" w:rsidR="00900469" w:rsidRPr="001213F7" w:rsidRDefault="00900469">
            <w:pPr>
              <w:cnfStyle w:val="000000000000" w:firstRow="0" w:lastRow="0" w:firstColumn="0" w:lastColumn="0" w:oddVBand="0" w:evenVBand="0" w:oddHBand="0" w:evenHBand="0" w:firstRowFirstColumn="0" w:firstRowLastColumn="0" w:lastRowFirstColumn="0" w:lastRowLastColumn="0"/>
              <w:rPr>
                <w:rFonts w:cstheme="majorHAnsi"/>
                <w:szCs w:val="17"/>
              </w:rPr>
            </w:pPr>
            <w:r w:rsidRPr="001213F7">
              <w:t>245</w:t>
            </w:r>
          </w:p>
        </w:tc>
        <w:tc>
          <w:tcPr>
            <w:tcW w:w="845" w:type="dxa"/>
            <w:tcBorders>
              <w:top w:val="nil"/>
              <w:left w:val="nil"/>
              <w:bottom w:val="nil"/>
              <w:right w:val="nil"/>
            </w:tcBorders>
            <w:shd w:val="clear" w:color="000000" w:fill="FFFFFF"/>
          </w:tcPr>
          <w:p w14:paraId="6C2663BA" w14:textId="77777777" w:rsidR="00900469" w:rsidRPr="001213F7" w:rsidRDefault="00900469">
            <w:pPr>
              <w:cnfStyle w:val="000000000000" w:firstRow="0" w:lastRow="0" w:firstColumn="0" w:lastColumn="0" w:oddVBand="0" w:evenVBand="0" w:oddHBand="0" w:evenHBand="0" w:firstRowFirstColumn="0" w:firstRowLastColumn="0" w:lastRowFirstColumn="0" w:lastRowLastColumn="0"/>
              <w:rPr>
                <w:rFonts w:cstheme="majorHAnsi"/>
                <w:szCs w:val="17"/>
              </w:rPr>
            </w:pPr>
            <w:r w:rsidRPr="001213F7">
              <w:t>261</w:t>
            </w:r>
          </w:p>
        </w:tc>
        <w:tc>
          <w:tcPr>
            <w:tcW w:w="845" w:type="dxa"/>
            <w:tcBorders>
              <w:top w:val="nil"/>
              <w:left w:val="nil"/>
              <w:bottom w:val="nil"/>
              <w:right w:val="nil"/>
            </w:tcBorders>
            <w:shd w:val="clear" w:color="000000" w:fill="FFFFFF"/>
          </w:tcPr>
          <w:p w14:paraId="17CCB9A1" w14:textId="77777777" w:rsidR="00900469" w:rsidRPr="001213F7" w:rsidRDefault="00900469">
            <w:pPr>
              <w:cnfStyle w:val="000000000000" w:firstRow="0" w:lastRow="0" w:firstColumn="0" w:lastColumn="0" w:oddVBand="0" w:evenVBand="0" w:oddHBand="0" w:evenHBand="0" w:firstRowFirstColumn="0" w:firstRowLastColumn="0" w:lastRowFirstColumn="0" w:lastRowLastColumn="0"/>
              <w:rPr>
                <w:rFonts w:cstheme="majorHAnsi"/>
                <w:szCs w:val="17"/>
              </w:rPr>
            </w:pPr>
            <w:r w:rsidRPr="001213F7">
              <w:t>276</w:t>
            </w:r>
          </w:p>
        </w:tc>
      </w:tr>
      <w:tr w:rsidR="00900469" w:rsidRPr="001213F7" w14:paraId="045CA2E0" w14:textId="77777777">
        <w:tc>
          <w:tcPr>
            <w:cnfStyle w:val="001000000000" w:firstRow="0" w:lastRow="0" w:firstColumn="1" w:lastColumn="0" w:oddVBand="0" w:evenVBand="0" w:oddHBand="0" w:evenHBand="0" w:firstRowFirstColumn="0" w:firstRowLastColumn="0" w:lastRowFirstColumn="0" w:lastRowLastColumn="0"/>
            <w:tcW w:w="4333" w:type="dxa"/>
            <w:tcBorders>
              <w:top w:val="nil"/>
              <w:bottom w:val="single" w:sz="4" w:space="0" w:color="auto"/>
            </w:tcBorders>
            <w:vAlign w:val="bottom"/>
            <w:hideMark/>
          </w:tcPr>
          <w:p w14:paraId="4AFA349C" w14:textId="77777777" w:rsidR="00900469" w:rsidRPr="001213F7" w:rsidRDefault="00900469">
            <w:pPr>
              <w:autoSpaceDE w:val="0"/>
              <w:autoSpaceDN w:val="0"/>
              <w:adjustRightInd w:val="0"/>
              <w:rPr>
                <w:rFonts w:eastAsiaTheme="minorEastAsia" w:cstheme="majorHAnsi"/>
                <w:szCs w:val="17"/>
                <w:lang w:eastAsia="en-AU"/>
              </w:rPr>
            </w:pPr>
            <w:r w:rsidRPr="001213F7">
              <w:rPr>
                <w:rFonts w:eastAsiaTheme="minorEastAsia" w:cstheme="majorHAnsi"/>
                <w:szCs w:val="17"/>
                <w:lang w:eastAsia="en-AU"/>
              </w:rPr>
              <w:t>Expenses from transactions</w:t>
            </w:r>
          </w:p>
        </w:tc>
        <w:tc>
          <w:tcPr>
            <w:tcW w:w="844" w:type="dxa"/>
            <w:tcBorders>
              <w:top w:val="nil"/>
              <w:left w:val="nil"/>
              <w:bottom w:val="nil"/>
              <w:right w:val="nil"/>
            </w:tcBorders>
            <w:shd w:val="clear" w:color="000000" w:fill="FFFFFF"/>
          </w:tcPr>
          <w:p w14:paraId="7BC1125F" w14:textId="77777777" w:rsidR="00900469" w:rsidRPr="001213F7" w:rsidRDefault="00900469">
            <w:pPr>
              <w:cnfStyle w:val="000000000000" w:firstRow="0" w:lastRow="0" w:firstColumn="0" w:lastColumn="0" w:oddVBand="0" w:evenVBand="0" w:oddHBand="0" w:evenHBand="0" w:firstRowFirstColumn="0" w:firstRowLastColumn="0" w:lastRowFirstColumn="0" w:lastRowLastColumn="0"/>
              <w:rPr>
                <w:rFonts w:cstheme="majorHAnsi"/>
                <w:szCs w:val="17"/>
              </w:rPr>
            </w:pPr>
            <w:r w:rsidRPr="001213F7" w:rsidDel="00F1780B">
              <w:t>(6)</w:t>
            </w:r>
          </w:p>
        </w:tc>
        <w:tc>
          <w:tcPr>
            <w:tcW w:w="844" w:type="dxa"/>
            <w:tcBorders>
              <w:top w:val="nil"/>
              <w:left w:val="nil"/>
              <w:bottom w:val="nil"/>
              <w:right w:val="nil"/>
            </w:tcBorders>
            <w:shd w:val="clear" w:color="000000" w:fill="FFFFFF"/>
          </w:tcPr>
          <w:p w14:paraId="38EAAE37" w14:textId="77777777" w:rsidR="00900469" w:rsidRPr="001213F7" w:rsidRDefault="00900469">
            <w:pPr>
              <w:cnfStyle w:val="000000000000" w:firstRow="0" w:lastRow="0" w:firstColumn="0" w:lastColumn="0" w:oddVBand="0" w:evenVBand="0" w:oddHBand="0" w:evenHBand="0" w:firstRowFirstColumn="0" w:firstRowLastColumn="0" w:lastRowFirstColumn="0" w:lastRowLastColumn="0"/>
              <w:rPr>
                <w:rFonts w:cstheme="majorHAnsi"/>
                <w:szCs w:val="17"/>
              </w:rPr>
            </w:pPr>
            <w:r w:rsidRPr="001213F7">
              <w:t>(21</w:t>
            </w:r>
            <w:r w:rsidRPr="001213F7" w:rsidDel="00F1780B">
              <w:t>)</w:t>
            </w:r>
          </w:p>
        </w:tc>
        <w:tc>
          <w:tcPr>
            <w:tcW w:w="845" w:type="dxa"/>
            <w:tcBorders>
              <w:top w:val="nil"/>
              <w:left w:val="nil"/>
              <w:bottom w:val="nil"/>
              <w:right w:val="nil"/>
            </w:tcBorders>
            <w:shd w:val="clear" w:color="000000" w:fill="FFFFFF"/>
          </w:tcPr>
          <w:p w14:paraId="1E2A3672" w14:textId="77777777" w:rsidR="00900469" w:rsidRPr="001213F7" w:rsidRDefault="00900469">
            <w:pPr>
              <w:cnfStyle w:val="000000000000" w:firstRow="0" w:lastRow="0" w:firstColumn="0" w:lastColumn="0" w:oddVBand="0" w:evenVBand="0" w:oddHBand="0" w:evenHBand="0" w:firstRowFirstColumn="0" w:firstRowLastColumn="0" w:lastRowFirstColumn="0" w:lastRowLastColumn="0"/>
              <w:rPr>
                <w:rFonts w:cstheme="majorHAnsi"/>
                <w:szCs w:val="17"/>
              </w:rPr>
            </w:pPr>
            <w:r w:rsidRPr="001213F7">
              <w:t>(36</w:t>
            </w:r>
            <w:r w:rsidRPr="001213F7" w:rsidDel="00F1780B">
              <w:t>)</w:t>
            </w:r>
          </w:p>
        </w:tc>
        <w:tc>
          <w:tcPr>
            <w:tcW w:w="845" w:type="dxa"/>
            <w:tcBorders>
              <w:top w:val="nil"/>
              <w:left w:val="nil"/>
              <w:bottom w:val="nil"/>
              <w:right w:val="nil"/>
            </w:tcBorders>
            <w:shd w:val="clear" w:color="000000" w:fill="FFFFFF"/>
          </w:tcPr>
          <w:p w14:paraId="54776B4F" w14:textId="77777777" w:rsidR="00900469" w:rsidRPr="001213F7" w:rsidRDefault="00900469">
            <w:pPr>
              <w:cnfStyle w:val="000000000000" w:firstRow="0" w:lastRow="0" w:firstColumn="0" w:lastColumn="0" w:oddVBand="0" w:evenVBand="0" w:oddHBand="0" w:evenHBand="0" w:firstRowFirstColumn="0" w:firstRowLastColumn="0" w:lastRowFirstColumn="0" w:lastRowLastColumn="0"/>
              <w:rPr>
                <w:rFonts w:cstheme="majorHAnsi"/>
                <w:szCs w:val="17"/>
              </w:rPr>
            </w:pPr>
            <w:r w:rsidRPr="001213F7">
              <w:t>(54</w:t>
            </w:r>
            <w:r w:rsidRPr="001213F7" w:rsidDel="00F1780B">
              <w:t>)</w:t>
            </w:r>
          </w:p>
        </w:tc>
      </w:tr>
      <w:tr w:rsidR="00900469" w:rsidRPr="001213F7" w14:paraId="666524C6" w14:textId="77777777">
        <w:tc>
          <w:tcPr>
            <w:cnfStyle w:val="001000000000" w:firstRow="0" w:lastRow="0" w:firstColumn="1" w:lastColumn="0" w:oddVBand="0" w:evenVBand="0" w:oddHBand="0" w:evenHBand="0" w:firstRowFirstColumn="0" w:firstRowLastColumn="0" w:lastRowFirstColumn="0" w:lastRowLastColumn="0"/>
            <w:tcW w:w="4333" w:type="dxa"/>
            <w:tcBorders>
              <w:top w:val="single" w:sz="4" w:space="0" w:color="auto"/>
              <w:bottom w:val="nil"/>
            </w:tcBorders>
            <w:vAlign w:val="bottom"/>
            <w:hideMark/>
          </w:tcPr>
          <w:p w14:paraId="70E11170" w14:textId="77777777" w:rsidR="00900469" w:rsidRPr="001213F7" w:rsidRDefault="00900469">
            <w:pPr>
              <w:autoSpaceDE w:val="0"/>
              <w:autoSpaceDN w:val="0"/>
              <w:adjustRightInd w:val="0"/>
              <w:rPr>
                <w:rFonts w:eastAsiaTheme="minorEastAsia" w:cstheme="majorHAnsi"/>
                <w:b/>
                <w:szCs w:val="17"/>
                <w:lang w:eastAsia="en-AU"/>
              </w:rPr>
            </w:pPr>
            <w:r w:rsidRPr="001213F7">
              <w:rPr>
                <w:rFonts w:eastAsiaTheme="minorEastAsia" w:cstheme="majorHAnsi"/>
                <w:b/>
                <w:szCs w:val="17"/>
                <w:lang w:eastAsia="en-AU"/>
              </w:rPr>
              <w:t>Net result from transactions</w:t>
            </w:r>
          </w:p>
        </w:tc>
        <w:tc>
          <w:tcPr>
            <w:tcW w:w="844" w:type="dxa"/>
            <w:tcBorders>
              <w:top w:val="single" w:sz="4" w:space="0" w:color="auto"/>
              <w:left w:val="nil"/>
              <w:bottom w:val="nil"/>
              <w:right w:val="nil"/>
            </w:tcBorders>
            <w:shd w:val="clear" w:color="000000" w:fill="FFFFFF"/>
          </w:tcPr>
          <w:p w14:paraId="0566DA05" w14:textId="77777777" w:rsidR="00900469" w:rsidRPr="001213F7" w:rsidRDefault="00900469">
            <w:pPr>
              <w:cnfStyle w:val="000000000000" w:firstRow="0" w:lastRow="0" w:firstColumn="0" w:lastColumn="0" w:oddVBand="0" w:evenVBand="0" w:oddHBand="0" w:evenHBand="0" w:firstRowFirstColumn="0" w:firstRowLastColumn="0" w:lastRowFirstColumn="0" w:lastRowLastColumn="0"/>
              <w:rPr>
                <w:rFonts w:cstheme="majorHAnsi"/>
                <w:b/>
                <w:szCs w:val="17"/>
              </w:rPr>
            </w:pPr>
            <w:r w:rsidRPr="001213F7">
              <w:rPr>
                <w:b/>
              </w:rPr>
              <w:t>234</w:t>
            </w:r>
          </w:p>
        </w:tc>
        <w:tc>
          <w:tcPr>
            <w:tcW w:w="844" w:type="dxa"/>
            <w:tcBorders>
              <w:top w:val="single" w:sz="4" w:space="0" w:color="auto"/>
              <w:left w:val="nil"/>
              <w:bottom w:val="nil"/>
              <w:right w:val="nil"/>
            </w:tcBorders>
            <w:shd w:val="clear" w:color="000000" w:fill="FFFFFF"/>
          </w:tcPr>
          <w:p w14:paraId="55C6ADAF" w14:textId="77777777" w:rsidR="00900469" w:rsidRPr="001213F7" w:rsidRDefault="00900469">
            <w:pPr>
              <w:cnfStyle w:val="000000000000" w:firstRow="0" w:lastRow="0" w:firstColumn="0" w:lastColumn="0" w:oddVBand="0" w:evenVBand="0" w:oddHBand="0" w:evenHBand="0" w:firstRowFirstColumn="0" w:firstRowLastColumn="0" w:lastRowFirstColumn="0" w:lastRowLastColumn="0"/>
              <w:rPr>
                <w:rFonts w:cstheme="majorHAnsi"/>
                <w:b/>
                <w:szCs w:val="17"/>
              </w:rPr>
            </w:pPr>
            <w:r w:rsidRPr="001213F7">
              <w:rPr>
                <w:b/>
              </w:rPr>
              <w:t>266</w:t>
            </w:r>
          </w:p>
        </w:tc>
        <w:tc>
          <w:tcPr>
            <w:tcW w:w="845" w:type="dxa"/>
            <w:tcBorders>
              <w:top w:val="single" w:sz="4" w:space="0" w:color="auto"/>
              <w:left w:val="nil"/>
              <w:bottom w:val="nil"/>
              <w:right w:val="nil"/>
            </w:tcBorders>
            <w:shd w:val="clear" w:color="000000" w:fill="FFFFFF"/>
          </w:tcPr>
          <w:p w14:paraId="4201F16F" w14:textId="77777777" w:rsidR="00900469" w:rsidRPr="001213F7" w:rsidRDefault="00900469">
            <w:pPr>
              <w:cnfStyle w:val="000000000000" w:firstRow="0" w:lastRow="0" w:firstColumn="0" w:lastColumn="0" w:oddVBand="0" w:evenVBand="0" w:oddHBand="0" w:evenHBand="0" w:firstRowFirstColumn="0" w:firstRowLastColumn="0" w:lastRowFirstColumn="0" w:lastRowLastColumn="0"/>
              <w:rPr>
                <w:rFonts w:cstheme="majorHAnsi"/>
                <w:b/>
                <w:szCs w:val="17"/>
              </w:rPr>
            </w:pPr>
            <w:r w:rsidRPr="001213F7">
              <w:rPr>
                <w:b/>
              </w:rPr>
              <w:t>297</w:t>
            </w:r>
          </w:p>
        </w:tc>
        <w:tc>
          <w:tcPr>
            <w:tcW w:w="845" w:type="dxa"/>
            <w:tcBorders>
              <w:top w:val="single" w:sz="4" w:space="0" w:color="auto"/>
              <w:left w:val="nil"/>
              <w:bottom w:val="nil"/>
              <w:right w:val="nil"/>
            </w:tcBorders>
            <w:shd w:val="clear" w:color="000000" w:fill="FFFFFF"/>
          </w:tcPr>
          <w:p w14:paraId="5F980783" w14:textId="77777777" w:rsidR="00900469" w:rsidRPr="001213F7" w:rsidRDefault="00900469">
            <w:pPr>
              <w:cnfStyle w:val="000000000000" w:firstRow="0" w:lastRow="0" w:firstColumn="0" w:lastColumn="0" w:oddVBand="0" w:evenVBand="0" w:oddHBand="0" w:evenHBand="0" w:firstRowFirstColumn="0" w:firstRowLastColumn="0" w:lastRowFirstColumn="0" w:lastRowLastColumn="0"/>
              <w:rPr>
                <w:rFonts w:cstheme="majorHAnsi"/>
                <w:b/>
                <w:szCs w:val="17"/>
              </w:rPr>
            </w:pPr>
            <w:r w:rsidRPr="001213F7" w:rsidDel="00F1780B">
              <w:rPr>
                <w:b/>
              </w:rPr>
              <w:t>330</w:t>
            </w:r>
          </w:p>
        </w:tc>
      </w:tr>
      <w:tr w:rsidR="00900469" w:rsidRPr="001213F7" w14:paraId="77E4078A" w14:textId="77777777">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33" w:type="dxa"/>
            <w:tcBorders>
              <w:top w:val="nil"/>
              <w:bottom w:val="single" w:sz="4" w:space="0" w:color="auto"/>
            </w:tcBorders>
            <w:vAlign w:val="bottom"/>
            <w:hideMark/>
          </w:tcPr>
          <w:p w14:paraId="5140A741" w14:textId="77777777" w:rsidR="00900469" w:rsidRPr="001213F7" w:rsidRDefault="00900469">
            <w:pPr>
              <w:autoSpaceDE w:val="0"/>
              <w:autoSpaceDN w:val="0"/>
              <w:adjustRightInd w:val="0"/>
              <w:rPr>
                <w:rFonts w:eastAsiaTheme="minorEastAsia" w:cstheme="majorHAnsi"/>
                <w:b w:val="0"/>
                <w:szCs w:val="17"/>
                <w:lang w:eastAsia="en-AU"/>
              </w:rPr>
            </w:pPr>
            <w:r w:rsidRPr="001213F7">
              <w:rPr>
                <w:rFonts w:eastAsiaTheme="minorEastAsia" w:cstheme="majorHAnsi"/>
                <w:szCs w:val="17"/>
                <w:lang w:eastAsia="en-AU"/>
              </w:rPr>
              <w:t>Net debt</w:t>
            </w:r>
          </w:p>
        </w:tc>
        <w:tc>
          <w:tcPr>
            <w:tcW w:w="844" w:type="dxa"/>
            <w:tcBorders>
              <w:top w:val="nil"/>
              <w:bottom w:val="single" w:sz="4" w:space="0" w:color="auto"/>
            </w:tcBorders>
            <w:shd w:val="clear" w:color="000000" w:fill="FFFFFF"/>
          </w:tcPr>
          <w:p w14:paraId="385D54F6" w14:textId="77777777" w:rsidR="00900469" w:rsidRPr="001213F7" w:rsidRDefault="00900469">
            <w:pPr>
              <w:cnfStyle w:val="010000000000" w:firstRow="0" w:lastRow="1" w:firstColumn="0" w:lastColumn="0" w:oddVBand="0" w:evenVBand="0" w:oddHBand="0" w:evenHBand="0" w:firstRowFirstColumn="0" w:firstRowLastColumn="0" w:lastRowFirstColumn="0" w:lastRowLastColumn="0"/>
              <w:rPr>
                <w:rFonts w:cstheme="majorHAnsi"/>
                <w:szCs w:val="17"/>
              </w:rPr>
            </w:pPr>
            <w:r w:rsidRPr="001213F7">
              <w:t>(243</w:t>
            </w:r>
            <w:r w:rsidRPr="001213F7" w:rsidDel="00F1780B">
              <w:t>)</w:t>
            </w:r>
          </w:p>
        </w:tc>
        <w:tc>
          <w:tcPr>
            <w:tcW w:w="844" w:type="dxa"/>
            <w:tcBorders>
              <w:top w:val="nil"/>
              <w:bottom w:val="single" w:sz="4" w:space="0" w:color="auto"/>
            </w:tcBorders>
            <w:shd w:val="clear" w:color="000000" w:fill="FFFFFF"/>
          </w:tcPr>
          <w:p w14:paraId="6F912DDE" w14:textId="77777777" w:rsidR="00900469" w:rsidRPr="001213F7" w:rsidRDefault="00900469">
            <w:pPr>
              <w:cnfStyle w:val="010000000000" w:firstRow="0" w:lastRow="1" w:firstColumn="0" w:lastColumn="0" w:oddVBand="0" w:evenVBand="0" w:oddHBand="0" w:evenHBand="0" w:firstRowFirstColumn="0" w:firstRowLastColumn="0" w:lastRowFirstColumn="0" w:lastRowLastColumn="0"/>
              <w:rPr>
                <w:rFonts w:cstheme="majorHAnsi"/>
                <w:szCs w:val="17"/>
              </w:rPr>
            </w:pPr>
            <w:r w:rsidRPr="001213F7">
              <w:t>(516</w:t>
            </w:r>
            <w:r w:rsidRPr="001213F7" w:rsidDel="00F1780B">
              <w:t>)</w:t>
            </w:r>
          </w:p>
        </w:tc>
        <w:tc>
          <w:tcPr>
            <w:tcW w:w="845" w:type="dxa"/>
            <w:tcBorders>
              <w:top w:val="nil"/>
              <w:bottom w:val="single" w:sz="4" w:space="0" w:color="auto"/>
            </w:tcBorders>
            <w:shd w:val="clear" w:color="000000" w:fill="FFFFFF"/>
          </w:tcPr>
          <w:p w14:paraId="2F9988F2" w14:textId="77777777" w:rsidR="00900469" w:rsidRPr="001213F7" w:rsidRDefault="00900469">
            <w:pPr>
              <w:cnfStyle w:val="010000000000" w:firstRow="0" w:lastRow="1" w:firstColumn="0" w:lastColumn="0" w:oddVBand="0" w:evenVBand="0" w:oddHBand="0" w:evenHBand="0" w:firstRowFirstColumn="0" w:firstRowLastColumn="0" w:lastRowFirstColumn="0" w:lastRowLastColumn="0"/>
              <w:rPr>
                <w:rFonts w:cstheme="majorHAnsi"/>
                <w:szCs w:val="17"/>
              </w:rPr>
            </w:pPr>
            <w:r w:rsidRPr="001213F7">
              <w:t>(822</w:t>
            </w:r>
            <w:r w:rsidRPr="001213F7" w:rsidDel="00F1780B">
              <w:t>)</w:t>
            </w:r>
          </w:p>
        </w:tc>
        <w:tc>
          <w:tcPr>
            <w:tcW w:w="845" w:type="dxa"/>
            <w:tcBorders>
              <w:top w:val="nil"/>
              <w:bottom w:val="single" w:sz="4" w:space="0" w:color="auto"/>
            </w:tcBorders>
            <w:shd w:val="clear" w:color="000000" w:fill="FFFFFF"/>
          </w:tcPr>
          <w:p w14:paraId="302789F3" w14:textId="77777777" w:rsidR="00900469" w:rsidRPr="001213F7" w:rsidRDefault="00900469">
            <w:pPr>
              <w:cnfStyle w:val="010000000000" w:firstRow="0" w:lastRow="1" w:firstColumn="0" w:lastColumn="0" w:oddVBand="0" w:evenVBand="0" w:oddHBand="0" w:evenHBand="0" w:firstRowFirstColumn="0" w:firstRowLastColumn="0" w:lastRowFirstColumn="0" w:lastRowLastColumn="0"/>
              <w:rPr>
                <w:rFonts w:cstheme="majorHAnsi"/>
                <w:szCs w:val="17"/>
              </w:rPr>
            </w:pPr>
            <w:r w:rsidRPr="001213F7">
              <w:t>(1 161</w:t>
            </w:r>
            <w:r w:rsidRPr="001213F7" w:rsidDel="00F1780B">
              <w:t>)</w:t>
            </w:r>
          </w:p>
        </w:tc>
      </w:tr>
    </w:tbl>
    <w:p w14:paraId="0202384A" w14:textId="77777777" w:rsidR="00900469" w:rsidRPr="001213F7" w:rsidRDefault="00900469">
      <w:pPr>
        <w:pStyle w:val="TableHeading"/>
      </w:pPr>
      <w:r w:rsidRPr="001213F7">
        <w:lastRenderedPageBreak/>
        <w:t>Table 6.5:</w:t>
      </w:r>
      <w:r w:rsidRPr="001213F7">
        <w:tab/>
        <w:t xml:space="preserve">Sensitivity of key fiscal aggregates to selected indicators being </w:t>
      </w:r>
      <w:r w:rsidRPr="001213F7">
        <w:br/>
        <w:t>1 per cent higher than expected from 2026-27</w:t>
      </w:r>
      <w:r w:rsidRPr="001213F7">
        <w:rPr>
          <w:szCs w:val="16"/>
        </w:rPr>
        <w:t xml:space="preserve"> (continued)</w:t>
      </w:r>
      <w:r w:rsidRPr="001213F7">
        <w:tab/>
        <w:t>($ million)</w:t>
      </w:r>
    </w:p>
    <w:tbl>
      <w:tblPr>
        <w:tblStyle w:val="DTFTable"/>
        <w:tblW w:w="7711" w:type="dxa"/>
        <w:tblLayout w:type="fixed"/>
        <w:tblLook w:val="06E0" w:firstRow="1" w:lastRow="1" w:firstColumn="1" w:lastColumn="0" w:noHBand="1" w:noVBand="1"/>
      </w:tblPr>
      <w:tblGrid>
        <w:gridCol w:w="4333"/>
        <w:gridCol w:w="844"/>
        <w:gridCol w:w="844"/>
        <w:gridCol w:w="845"/>
        <w:gridCol w:w="845"/>
      </w:tblGrid>
      <w:tr w:rsidR="00900469" w:rsidRPr="001213F7" w14:paraId="40994A26" w14:textId="77777777" w:rsidTr="002548E5">
        <w:trPr>
          <w:cnfStyle w:val="100000000000" w:firstRow="1" w:lastRow="0" w:firstColumn="0" w:lastColumn="0" w:oddVBand="0" w:evenVBand="0" w:oddHBand="0" w:evenHBand="0" w:firstRowFirstColumn="0" w:firstRowLastColumn="0" w:lastRowFirstColumn="0" w:lastRowLastColumn="0"/>
          <w:trHeight w:val="495"/>
          <w:tblHeader/>
        </w:trPr>
        <w:tc>
          <w:tcPr>
            <w:cnfStyle w:val="001000000000" w:firstRow="0" w:lastRow="0" w:firstColumn="1" w:lastColumn="0" w:oddVBand="0" w:evenVBand="0" w:oddHBand="0" w:evenHBand="0" w:firstRowFirstColumn="0" w:firstRowLastColumn="0" w:lastRowFirstColumn="0" w:lastRowLastColumn="0"/>
            <w:tcW w:w="4333" w:type="dxa"/>
          </w:tcPr>
          <w:p w14:paraId="2A362BCD" w14:textId="77777777" w:rsidR="00900469" w:rsidRPr="001213F7" w:rsidRDefault="00900469">
            <w:pPr>
              <w:autoSpaceDE w:val="0"/>
              <w:autoSpaceDN w:val="0"/>
              <w:adjustRightInd w:val="0"/>
              <w:rPr>
                <w:rFonts w:cstheme="majorHAnsi"/>
                <w:szCs w:val="17"/>
              </w:rPr>
            </w:pPr>
          </w:p>
        </w:tc>
        <w:tc>
          <w:tcPr>
            <w:tcW w:w="844" w:type="dxa"/>
            <w:tcBorders>
              <w:bottom w:val="single" w:sz="4" w:space="0" w:color="auto"/>
            </w:tcBorders>
            <w:hideMark/>
          </w:tcPr>
          <w:p w14:paraId="7B3B24CC" w14:textId="77777777" w:rsidR="00900469" w:rsidRPr="001213F7" w:rsidRDefault="00900469">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theme="majorHAnsi"/>
                <w:szCs w:val="17"/>
                <w:lang w:eastAsia="en-AU"/>
              </w:rPr>
            </w:pPr>
            <w:r w:rsidRPr="001213F7">
              <w:rPr>
                <w:rFonts w:eastAsiaTheme="minorEastAsia" w:cs="Calibri"/>
                <w:iCs/>
                <w:szCs w:val="17"/>
                <w:lang w:eastAsia="en-AU"/>
              </w:rPr>
              <w:t>2026-27</w:t>
            </w:r>
            <w:r w:rsidRPr="001213F7">
              <w:rPr>
                <w:rFonts w:eastAsiaTheme="minorEastAsia" w:cstheme="majorHAnsi"/>
                <w:iCs/>
                <w:szCs w:val="17"/>
                <w:lang w:eastAsia="en-AU"/>
              </w:rPr>
              <w:br/>
            </w:r>
            <w:r w:rsidRPr="001213F7">
              <w:rPr>
                <w:rFonts w:eastAsiaTheme="minorEastAsia" w:cstheme="majorHAnsi"/>
                <w:szCs w:val="17"/>
                <w:lang w:eastAsia="en-AU"/>
              </w:rPr>
              <w:t>estimate</w:t>
            </w:r>
          </w:p>
        </w:tc>
        <w:tc>
          <w:tcPr>
            <w:tcW w:w="844" w:type="dxa"/>
            <w:tcBorders>
              <w:bottom w:val="single" w:sz="4" w:space="0" w:color="auto"/>
            </w:tcBorders>
            <w:hideMark/>
          </w:tcPr>
          <w:p w14:paraId="26FFA856" w14:textId="77777777" w:rsidR="00900469" w:rsidRPr="001213F7" w:rsidRDefault="00900469">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theme="majorHAnsi"/>
                <w:szCs w:val="17"/>
                <w:lang w:eastAsia="en-AU"/>
              </w:rPr>
            </w:pPr>
            <w:r w:rsidRPr="001213F7">
              <w:rPr>
                <w:rFonts w:eastAsiaTheme="minorEastAsia" w:cs="Calibri"/>
                <w:iCs/>
                <w:szCs w:val="17"/>
                <w:lang w:eastAsia="en-AU"/>
              </w:rPr>
              <w:t>2027-28</w:t>
            </w:r>
            <w:r w:rsidRPr="001213F7">
              <w:rPr>
                <w:rFonts w:eastAsiaTheme="minorEastAsia" w:cstheme="majorHAnsi"/>
                <w:iCs/>
                <w:szCs w:val="17"/>
                <w:lang w:eastAsia="en-AU"/>
              </w:rPr>
              <w:br/>
            </w:r>
            <w:r w:rsidRPr="001213F7">
              <w:rPr>
                <w:rFonts w:eastAsiaTheme="minorEastAsia" w:cstheme="majorHAnsi"/>
                <w:szCs w:val="17"/>
                <w:lang w:eastAsia="en-AU"/>
              </w:rPr>
              <w:t>estimate</w:t>
            </w:r>
          </w:p>
        </w:tc>
        <w:tc>
          <w:tcPr>
            <w:tcW w:w="845" w:type="dxa"/>
            <w:tcBorders>
              <w:bottom w:val="single" w:sz="4" w:space="0" w:color="auto"/>
            </w:tcBorders>
            <w:hideMark/>
          </w:tcPr>
          <w:p w14:paraId="38E9B965" w14:textId="77777777" w:rsidR="00900469" w:rsidRPr="001213F7" w:rsidRDefault="00900469">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theme="majorHAnsi"/>
                <w:i w:val="0"/>
                <w:iCs/>
                <w:szCs w:val="17"/>
                <w:lang w:eastAsia="en-AU"/>
              </w:rPr>
            </w:pPr>
            <w:r w:rsidRPr="001213F7">
              <w:rPr>
                <w:rFonts w:eastAsiaTheme="minorEastAsia" w:cstheme="majorHAnsi"/>
                <w:iCs/>
                <w:szCs w:val="17"/>
                <w:lang w:eastAsia="en-AU"/>
              </w:rPr>
              <w:t>2028-29</w:t>
            </w:r>
          </w:p>
          <w:p w14:paraId="797A1C79" w14:textId="77777777" w:rsidR="00900469" w:rsidRPr="001213F7" w:rsidRDefault="00900469">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theme="majorHAnsi"/>
                <w:szCs w:val="17"/>
                <w:lang w:eastAsia="en-AU"/>
              </w:rPr>
            </w:pPr>
            <w:r w:rsidRPr="001213F7">
              <w:rPr>
                <w:rFonts w:eastAsiaTheme="minorEastAsia" w:cstheme="majorHAnsi"/>
                <w:szCs w:val="17"/>
                <w:lang w:eastAsia="en-AU"/>
              </w:rPr>
              <w:t>estimate</w:t>
            </w:r>
          </w:p>
        </w:tc>
        <w:tc>
          <w:tcPr>
            <w:tcW w:w="845" w:type="dxa"/>
            <w:tcBorders>
              <w:bottom w:val="single" w:sz="4" w:space="0" w:color="auto"/>
            </w:tcBorders>
            <w:hideMark/>
          </w:tcPr>
          <w:p w14:paraId="5CA3446B" w14:textId="77777777" w:rsidR="00900469" w:rsidRPr="001213F7" w:rsidRDefault="00900469">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theme="majorHAnsi"/>
                <w:i w:val="0"/>
                <w:iCs/>
                <w:szCs w:val="17"/>
                <w:lang w:eastAsia="en-AU"/>
              </w:rPr>
            </w:pPr>
            <w:r w:rsidRPr="001213F7">
              <w:rPr>
                <w:rFonts w:eastAsiaTheme="minorEastAsia" w:cstheme="majorHAnsi"/>
                <w:iCs/>
                <w:szCs w:val="17"/>
                <w:lang w:eastAsia="en-AU"/>
              </w:rPr>
              <w:t>2029-30</w:t>
            </w:r>
          </w:p>
          <w:p w14:paraId="7E849D73" w14:textId="77777777" w:rsidR="00900469" w:rsidRPr="001213F7" w:rsidRDefault="00900469">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theme="majorHAnsi"/>
                <w:szCs w:val="17"/>
                <w:lang w:eastAsia="en-AU"/>
              </w:rPr>
            </w:pPr>
            <w:r w:rsidRPr="001213F7">
              <w:rPr>
                <w:rFonts w:eastAsiaTheme="minorEastAsia" w:cstheme="majorHAnsi"/>
                <w:szCs w:val="17"/>
                <w:lang w:eastAsia="en-AU"/>
              </w:rPr>
              <w:t>estimate</w:t>
            </w:r>
          </w:p>
        </w:tc>
      </w:tr>
      <w:tr w:rsidR="00900469" w:rsidRPr="001213F7" w14:paraId="09D57F7E" w14:textId="77777777">
        <w:tc>
          <w:tcPr>
            <w:cnfStyle w:val="001000000000" w:firstRow="0" w:lastRow="0" w:firstColumn="1" w:lastColumn="0" w:oddVBand="0" w:evenVBand="0" w:oddHBand="0" w:evenHBand="0" w:firstRowFirstColumn="0" w:firstRowLastColumn="0" w:lastRowFirstColumn="0" w:lastRowLastColumn="0"/>
            <w:tcW w:w="4333" w:type="dxa"/>
            <w:tcBorders>
              <w:top w:val="single" w:sz="4" w:space="0" w:color="auto"/>
            </w:tcBorders>
            <w:vAlign w:val="bottom"/>
            <w:hideMark/>
          </w:tcPr>
          <w:p w14:paraId="53BE79EE" w14:textId="77777777" w:rsidR="00900469" w:rsidRPr="001213F7" w:rsidRDefault="00900469">
            <w:pPr>
              <w:keepNext/>
              <w:autoSpaceDE w:val="0"/>
              <w:autoSpaceDN w:val="0"/>
              <w:adjustRightInd w:val="0"/>
              <w:ind w:left="176" w:hanging="176"/>
              <w:rPr>
                <w:rFonts w:eastAsiaTheme="minorEastAsia" w:cstheme="majorHAnsi"/>
                <w:b/>
                <w:szCs w:val="17"/>
                <w:lang w:eastAsia="en-AU"/>
              </w:rPr>
            </w:pPr>
            <w:r w:rsidRPr="001213F7">
              <w:rPr>
                <w:rFonts w:eastAsiaTheme="minorEastAsia" w:cstheme="majorHAnsi"/>
                <w:b/>
                <w:szCs w:val="17"/>
                <w:lang w:eastAsia="en-AU"/>
              </w:rPr>
              <w:t>Property transaction volumes</w:t>
            </w:r>
          </w:p>
        </w:tc>
        <w:tc>
          <w:tcPr>
            <w:tcW w:w="844" w:type="dxa"/>
            <w:tcBorders>
              <w:top w:val="single" w:sz="4" w:space="0" w:color="auto"/>
            </w:tcBorders>
            <w:vAlign w:val="bottom"/>
          </w:tcPr>
          <w:p w14:paraId="4D588F67" w14:textId="77777777" w:rsidR="00900469" w:rsidRPr="001213F7" w:rsidRDefault="00900469">
            <w:pPr>
              <w:cnfStyle w:val="000000000000" w:firstRow="0" w:lastRow="0" w:firstColumn="0" w:lastColumn="0" w:oddVBand="0" w:evenVBand="0" w:oddHBand="0" w:evenHBand="0" w:firstRowFirstColumn="0" w:firstRowLastColumn="0" w:lastRowFirstColumn="0" w:lastRowLastColumn="0"/>
              <w:rPr>
                <w:rFonts w:cstheme="majorHAnsi"/>
                <w:szCs w:val="17"/>
              </w:rPr>
            </w:pPr>
          </w:p>
        </w:tc>
        <w:tc>
          <w:tcPr>
            <w:tcW w:w="844" w:type="dxa"/>
            <w:tcBorders>
              <w:top w:val="single" w:sz="4" w:space="0" w:color="auto"/>
            </w:tcBorders>
            <w:vAlign w:val="bottom"/>
          </w:tcPr>
          <w:p w14:paraId="59824A7E" w14:textId="77777777" w:rsidR="00900469" w:rsidRPr="001213F7" w:rsidRDefault="00900469">
            <w:pPr>
              <w:cnfStyle w:val="000000000000" w:firstRow="0" w:lastRow="0" w:firstColumn="0" w:lastColumn="0" w:oddVBand="0" w:evenVBand="0" w:oddHBand="0" w:evenHBand="0" w:firstRowFirstColumn="0" w:firstRowLastColumn="0" w:lastRowFirstColumn="0" w:lastRowLastColumn="0"/>
              <w:rPr>
                <w:rFonts w:cstheme="majorHAnsi"/>
                <w:szCs w:val="17"/>
              </w:rPr>
            </w:pPr>
          </w:p>
        </w:tc>
        <w:tc>
          <w:tcPr>
            <w:tcW w:w="845" w:type="dxa"/>
            <w:tcBorders>
              <w:top w:val="single" w:sz="4" w:space="0" w:color="auto"/>
            </w:tcBorders>
            <w:vAlign w:val="bottom"/>
          </w:tcPr>
          <w:p w14:paraId="7670A913" w14:textId="77777777" w:rsidR="00900469" w:rsidRPr="001213F7" w:rsidRDefault="00900469">
            <w:pPr>
              <w:cnfStyle w:val="000000000000" w:firstRow="0" w:lastRow="0" w:firstColumn="0" w:lastColumn="0" w:oddVBand="0" w:evenVBand="0" w:oddHBand="0" w:evenHBand="0" w:firstRowFirstColumn="0" w:firstRowLastColumn="0" w:lastRowFirstColumn="0" w:lastRowLastColumn="0"/>
              <w:rPr>
                <w:rFonts w:cstheme="majorHAnsi"/>
                <w:szCs w:val="17"/>
              </w:rPr>
            </w:pPr>
          </w:p>
        </w:tc>
        <w:tc>
          <w:tcPr>
            <w:tcW w:w="845" w:type="dxa"/>
            <w:tcBorders>
              <w:top w:val="single" w:sz="4" w:space="0" w:color="auto"/>
            </w:tcBorders>
            <w:vAlign w:val="bottom"/>
          </w:tcPr>
          <w:p w14:paraId="5B132DEB" w14:textId="77777777" w:rsidR="00900469" w:rsidRPr="001213F7" w:rsidRDefault="00900469">
            <w:pPr>
              <w:cnfStyle w:val="000000000000" w:firstRow="0" w:lastRow="0" w:firstColumn="0" w:lastColumn="0" w:oddVBand="0" w:evenVBand="0" w:oddHBand="0" w:evenHBand="0" w:firstRowFirstColumn="0" w:firstRowLastColumn="0" w:lastRowFirstColumn="0" w:lastRowLastColumn="0"/>
              <w:rPr>
                <w:rFonts w:cstheme="majorHAnsi"/>
                <w:szCs w:val="17"/>
              </w:rPr>
            </w:pPr>
          </w:p>
        </w:tc>
      </w:tr>
      <w:tr w:rsidR="00900469" w:rsidRPr="001213F7" w14:paraId="490C5341" w14:textId="77777777">
        <w:tc>
          <w:tcPr>
            <w:cnfStyle w:val="001000000000" w:firstRow="0" w:lastRow="0" w:firstColumn="1" w:lastColumn="0" w:oddVBand="0" w:evenVBand="0" w:oddHBand="0" w:evenHBand="0" w:firstRowFirstColumn="0" w:firstRowLastColumn="0" w:lastRowFirstColumn="0" w:lastRowLastColumn="0"/>
            <w:tcW w:w="4333" w:type="dxa"/>
            <w:vAlign w:val="bottom"/>
            <w:hideMark/>
          </w:tcPr>
          <w:p w14:paraId="5E88C68F" w14:textId="77777777" w:rsidR="00900469" w:rsidRPr="001213F7" w:rsidRDefault="00900469">
            <w:pPr>
              <w:keepNext/>
              <w:autoSpaceDE w:val="0"/>
              <w:autoSpaceDN w:val="0"/>
              <w:adjustRightInd w:val="0"/>
              <w:rPr>
                <w:rFonts w:eastAsiaTheme="minorEastAsia" w:cstheme="majorHAnsi"/>
                <w:szCs w:val="17"/>
                <w:lang w:eastAsia="en-AU"/>
              </w:rPr>
            </w:pPr>
            <w:r w:rsidRPr="001213F7">
              <w:rPr>
                <w:rFonts w:eastAsiaTheme="minorEastAsia" w:cstheme="majorHAnsi"/>
                <w:szCs w:val="17"/>
                <w:lang w:eastAsia="en-AU"/>
              </w:rPr>
              <w:t>Income from transactions</w:t>
            </w:r>
          </w:p>
        </w:tc>
        <w:tc>
          <w:tcPr>
            <w:tcW w:w="844" w:type="dxa"/>
            <w:tcBorders>
              <w:top w:val="nil"/>
              <w:left w:val="nil"/>
              <w:bottom w:val="nil"/>
              <w:right w:val="nil"/>
            </w:tcBorders>
            <w:shd w:val="clear" w:color="000000" w:fill="FFFFFF"/>
          </w:tcPr>
          <w:p w14:paraId="40364839" w14:textId="77777777" w:rsidR="00900469" w:rsidRPr="001213F7" w:rsidRDefault="00900469">
            <w:pPr>
              <w:cnfStyle w:val="000000000000" w:firstRow="0" w:lastRow="0" w:firstColumn="0" w:lastColumn="0" w:oddVBand="0" w:evenVBand="0" w:oddHBand="0" w:evenHBand="0" w:firstRowFirstColumn="0" w:firstRowLastColumn="0" w:lastRowFirstColumn="0" w:lastRowLastColumn="0"/>
              <w:rPr>
                <w:rFonts w:cstheme="majorHAnsi"/>
                <w:szCs w:val="17"/>
              </w:rPr>
            </w:pPr>
            <w:r w:rsidRPr="001213F7">
              <w:t>100</w:t>
            </w:r>
          </w:p>
        </w:tc>
        <w:tc>
          <w:tcPr>
            <w:tcW w:w="844" w:type="dxa"/>
            <w:tcBorders>
              <w:top w:val="nil"/>
              <w:left w:val="nil"/>
              <w:bottom w:val="nil"/>
              <w:right w:val="nil"/>
            </w:tcBorders>
            <w:shd w:val="clear" w:color="000000" w:fill="FFFFFF"/>
          </w:tcPr>
          <w:p w14:paraId="7D7D783D" w14:textId="77777777" w:rsidR="00900469" w:rsidRPr="001213F7" w:rsidRDefault="00900469">
            <w:pPr>
              <w:cnfStyle w:val="000000000000" w:firstRow="0" w:lastRow="0" w:firstColumn="0" w:lastColumn="0" w:oddVBand="0" w:evenVBand="0" w:oddHBand="0" w:evenHBand="0" w:firstRowFirstColumn="0" w:firstRowLastColumn="0" w:lastRowFirstColumn="0" w:lastRowLastColumn="0"/>
              <w:rPr>
                <w:rFonts w:cstheme="majorHAnsi"/>
                <w:szCs w:val="17"/>
              </w:rPr>
            </w:pPr>
            <w:r w:rsidRPr="001213F7">
              <w:t>110</w:t>
            </w:r>
          </w:p>
        </w:tc>
        <w:tc>
          <w:tcPr>
            <w:tcW w:w="845" w:type="dxa"/>
            <w:tcBorders>
              <w:top w:val="nil"/>
              <w:left w:val="nil"/>
              <w:bottom w:val="nil"/>
              <w:right w:val="nil"/>
            </w:tcBorders>
            <w:shd w:val="clear" w:color="000000" w:fill="FFFFFF"/>
          </w:tcPr>
          <w:p w14:paraId="517AAB94" w14:textId="77777777" w:rsidR="00900469" w:rsidRPr="001213F7" w:rsidRDefault="00900469">
            <w:pPr>
              <w:cnfStyle w:val="000000000000" w:firstRow="0" w:lastRow="0" w:firstColumn="0" w:lastColumn="0" w:oddVBand="0" w:evenVBand="0" w:oddHBand="0" w:evenHBand="0" w:firstRowFirstColumn="0" w:firstRowLastColumn="0" w:lastRowFirstColumn="0" w:lastRowLastColumn="0"/>
              <w:rPr>
                <w:rFonts w:cstheme="majorHAnsi"/>
                <w:szCs w:val="17"/>
              </w:rPr>
            </w:pPr>
            <w:r w:rsidRPr="001213F7" w:rsidDel="00322AAB">
              <w:t>117</w:t>
            </w:r>
          </w:p>
        </w:tc>
        <w:tc>
          <w:tcPr>
            <w:tcW w:w="845" w:type="dxa"/>
            <w:tcBorders>
              <w:top w:val="nil"/>
              <w:left w:val="nil"/>
              <w:bottom w:val="nil"/>
              <w:right w:val="nil"/>
            </w:tcBorders>
            <w:shd w:val="clear" w:color="000000" w:fill="FFFFFF"/>
          </w:tcPr>
          <w:p w14:paraId="6A152A80" w14:textId="77777777" w:rsidR="00900469" w:rsidRPr="001213F7" w:rsidRDefault="00900469">
            <w:pPr>
              <w:cnfStyle w:val="000000000000" w:firstRow="0" w:lastRow="0" w:firstColumn="0" w:lastColumn="0" w:oddVBand="0" w:evenVBand="0" w:oddHBand="0" w:evenHBand="0" w:firstRowFirstColumn="0" w:firstRowLastColumn="0" w:lastRowFirstColumn="0" w:lastRowLastColumn="0"/>
              <w:rPr>
                <w:rFonts w:cstheme="majorHAnsi"/>
                <w:szCs w:val="17"/>
              </w:rPr>
            </w:pPr>
            <w:r w:rsidRPr="001213F7" w:rsidDel="00322AAB">
              <w:t>124</w:t>
            </w:r>
          </w:p>
        </w:tc>
      </w:tr>
      <w:tr w:rsidR="00900469" w:rsidRPr="001213F7" w14:paraId="74454D1F" w14:textId="77777777">
        <w:tc>
          <w:tcPr>
            <w:cnfStyle w:val="001000000000" w:firstRow="0" w:lastRow="0" w:firstColumn="1" w:lastColumn="0" w:oddVBand="0" w:evenVBand="0" w:oddHBand="0" w:evenHBand="0" w:firstRowFirstColumn="0" w:firstRowLastColumn="0" w:lastRowFirstColumn="0" w:lastRowLastColumn="0"/>
            <w:tcW w:w="4333" w:type="dxa"/>
            <w:tcBorders>
              <w:bottom w:val="single" w:sz="4" w:space="0" w:color="auto"/>
            </w:tcBorders>
            <w:vAlign w:val="bottom"/>
            <w:hideMark/>
          </w:tcPr>
          <w:p w14:paraId="78E2CDE2" w14:textId="77777777" w:rsidR="00900469" w:rsidRPr="001213F7" w:rsidRDefault="00900469">
            <w:pPr>
              <w:autoSpaceDE w:val="0"/>
              <w:autoSpaceDN w:val="0"/>
              <w:adjustRightInd w:val="0"/>
              <w:rPr>
                <w:rFonts w:eastAsiaTheme="minorEastAsia" w:cstheme="majorHAnsi"/>
                <w:szCs w:val="17"/>
                <w:lang w:eastAsia="en-AU"/>
              </w:rPr>
            </w:pPr>
            <w:r w:rsidRPr="001213F7">
              <w:rPr>
                <w:rFonts w:eastAsiaTheme="minorEastAsia" w:cstheme="majorHAnsi"/>
                <w:szCs w:val="17"/>
                <w:lang w:eastAsia="en-AU"/>
              </w:rPr>
              <w:t>Expenses from transactions</w:t>
            </w:r>
          </w:p>
        </w:tc>
        <w:tc>
          <w:tcPr>
            <w:tcW w:w="844" w:type="dxa"/>
            <w:tcBorders>
              <w:top w:val="nil"/>
              <w:left w:val="nil"/>
              <w:bottom w:val="nil"/>
              <w:right w:val="nil"/>
            </w:tcBorders>
            <w:shd w:val="clear" w:color="000000" w:fill="FFFFFF"/>
          </w:tcPr>
          <w:p w14:paraId="30015F2C" w14:textId="77777777" w:rsidR="00900469" w:rsidRPr="001213F7" w:rsidRDefault="00900469">
            <w:pPr>
              <w:cnfStyle w:val="000000000000" w:firstRow="0" w:lastRow="0" w:firstColumn="0" w:lastColumn="0" w:oddVBand="0" w:evenVBand="0" w:oddHBand="0" w:evenHBand="0" w:firstRowFirstColumn="0" w:firstRowLastColumn="0" w:lastRowFirstColumn="0" w:lastRowLastColumn="0"/>
              <w:rPr>
                <w:rFonts w:cstheme="majorHAnsi"/>
                <w:szCs w:val="17"/>
              </w:rPr>
            </w:pPr>
            <w:r w:rsidRPr="001213F7" w:rsidDel="00322AAB">
              <w:t>(3)</w:t>
            </w:r>
          </w:p>
        </w:tc>
        <w:tc>
          <w:tcPr>
            <w:tcW w:w="844" w:type="dxa"/>
            <w:tcBorders>
              <w:top w:val="nil"/>
              <w:left w:val="nil"/>
              <w:bottom w:val="nil"/>
              <w:right w:val="nil"/>
            </w:tcBorders>
            <w:shd w:val="clear" w:color="000000" w:fill="FFFFFF"/>
          </w:tcPr>
          <w:p w14:paraId="3FACEF6E" w14:textId="77777777" w:rsidR="00900469" w:rsidRPr="001213F7" w:rsidRDefault="00900469">
            <w:pPr>
              <w:cnfStyle w:val="000000000000" w:firstRow="0" w:lastRow="0" w:firstColumn="0" w:lastColumn="0" w:oddVBand="0" w:evenVBand="0" w:oddHBand="0" w:evenHBand="0" w:firstRowFirstColumn="0" w:firstRowLastColumn="0" w:lastRowFirstColumn="0" w:lastRowLastColumn="0"/>
              <w:rPr>
                <w:rFonts w:cstheme="majorHAnsi"/>
                <w:szCs w:val="17"/>
              </w:rPr>
            </w:pPr>
            <w:r w:rsidRPr="001213F7">
              <w:t>(8</w:t>
            </w:r>
            <w:r w:rsidRPr="001213F7" w:rsidDel="00322AAB">
              <w:t>)</w:t>
            </w:r>
          </w:p>
        </w:tc>
        <w:tc>
          <w:tcPr>
            <w:tcW w:w="845" w:type="dxa"/>
            <w:tcBorders>
              <w:top w:val="nil"/>
              <w:left w:val="nil"/>
              <w:bottom w:val="nil"/>
              <w:right w:val="nil"/>
            </w:tcBorders>
            <w:shd w:val="clear" w:color="000000" w:fill="FFFFFF"/>
          </w:tcPr>
          <w:p w14:paraId="686A1DA2" w14:textId="77777777" w:rsidR="00900469" w:rsidRPr="001213F7" w:rsidRDefault="00900469">
            <w:pPr>
              <w:cnfStyle w:val="000000000000" w:firstRow="0" w:lastRow="0" w:firstColumn="0" w:lastColumn="0" w:oddVBand="0" w:evenVBand="0" w:oddHBand="0" w:evenHBand="0" w:firstRowFirstColumn="0" w:firstRowLastColumn="0" w:lastRowFirstColumn="0" w:lastRowLastColumn="0"/>
              <w:rPr>
                <w:rFonts w:cstheme="majorHAnsi"/>
                <w:szCs w:val="17"/>
              </w:rPr>
            </w:pPr>
            <w:r w:rsidRPr="001213F7">
              <w:t>(14</w:t>
            </w:r>
            <w:r w:rsidRPr="001213F7" w:rsidDel="00322AAB">
              <w:t>)</w:t>
            </w:r>
          </w:p>
        </w:tc>
        <w:tc>
          <w:tcPr>
            <w:tcW w:w="845" w:type="dxa"/>
            <w:tcBorders>
              <w:top w:val="nil"/>
              <w:left w:val="nil"/>
              <w:bottom w:val="nil"/>
              <w:right w:val="nil"/>
            </w:tcBorders>
            <w:shd w:val="clear" w:color="000000" w:fill="FFFFFF"/>
          </w:tcPr>
          <w:p w14:paraId="49FFC56A" w14:textId="77777777" w:rsidR="00900469" w:rsidRPr="001213F7" w:rsidRDefault="00900469">
            <w:pPr>
              <w:cnfStyle w:val="000000000000" w:firstRow="0" w:lastRow="0" w:firstColumn="0" w:lastColumn="0" w:oddVBand="0" w:evenVBand="0" w:oddHBand="0" w:evenHBand="0" w:firstRowFirstColumn="0" w:firstRowLastColumn="0" w:lastRowFirstColumn="0" w:lastRowLastColumn="0"/>
              <w:rPr>
                <w:rFonts w:cstheme="majorHAnsi"/>
                <w:szCs w:val="17"/>
              </w:rPr>
            </w:pPr>
            <w:r w:rsidRPr="001213F7">
              <w:t>(20</w:t>
            </w:r>
            <w:r w:rsidRPr="001213F7" w:rsidDel="00322AAB">
              <w:t>)</w:t>
            </w:r>
          </w:p>
        </w:tc>
      </w:tr>
      <w:tr w:rsidR="00900469" w:rsidRPr="001213F7" w14:paraId="629C50C6" w14:textId="77777777">
        <w:tc>
          <w:tcPr>
            <w:cnfStyle w:val="001000000000" w:firstRow="0" w:lastRow="0" w:firstColumn="1" w:lastColumn="0" w:oddVBand="0" w:evenVBand="0" w:oddHBand="0" w:evenHBand="0" w:firstRowFirstColumn="0" w:firstRowLastColumn="0" w:lastRowFirstColumn="0" w:lastRowLastColumn="0"/>
            <w:tcW w:w="4333" w:type="dxa"/>
            <w:tcBorders>
              <w:top w:val="single" w:sz="4" w:space="0" w:color="auto"/>
              <w:bottom w:val="nil"/>
            </w:tcBorders>
            <w:vAlign w:val="bottom"/>
            <w:hideMark/>
          </w:tcPr>
          <w:p w14:paraId="21AC8165" w14:textId="77777777" w:rsidR="00900469" w:rsidRPr="001213F7" w:rsidRDefault="00900469">
            <w:pPr>
              <w:autoSpaceDE w:val="0"/>
              <w:autoSpaceDN w:val="0"/>
              <w:adjustRightInd w:val="0"/>
              <w:rPr>
                <w:rFonts w:eastAsiaTheme="minorEastAsia" w:cstheme="majorHAnsi"/>
                <w:b/>
                <w:szCs w:val="17"/>
                <w:lang w:eastAsia="en-AU"/>
              </w:rPr>
            </w:pPr>
            <w:r w:rsidRPr="001213F7">
              <w:rPr>
                <w:rFonts w:eastAsiaTheme="minorEastAsia" w:cstheme="majorHAnsi"/>
                <w:b/>
                <w:szCs w:val="17"/>
                <w:lang w:eastAsia="en-AU"/>
              </w:rPr>
              <w:t>Net result from transactions</w:t>
            </w:r>
          </w:p>
        </w:tc>
        <w:tc>
          <w:tcPr>
            <w:tcW w:w="844" w:type="dxa"/>
            <w:tcBorders>
              <w:top w:val="single" w:sz="4" w:space="0" w:color="auto"/>
              <w:left w:val="nil"/>
              <w:bottom w:val="nil"/>
              <w:right w:val="nil"/>
            </w:tcBorders>
            <w:shd w:val="clear" w:color="000000" w:fill="FFFFFF"/>
          </w:tcPr>
          <w:p w14:paraId="71ECBF27" w14:textId="77777777" w:rsidR="00900469" w:rsidRPr="001213F7" w:rsidRDefault="00900469">
            <w:pPr>
              <w:cnfStyle w:val="000000000000" w:firstRow="0" w:lastRow="0" w:firstColumn="0" w:lastColumn="0" w:oddVBand="0" w:evenVBand="0" w:oddHBand="0" w:evenHBand="0" w:firstRowFirstColumn="0" w:firstRowLastColumn="0" w:lastRowFirstColumn="0" w:lastRowLastColumn="0"/>
              <w:rPr>
                <w:rFonts w:cstheme="majorHAnsi"/>
                <w:b/>
                <w:szCs w:val="17"/>
              </w:rPr>
            </w:pPr>
            <w:r w:rsidRPr="001213F7">
              <w:rPr>
                <w:b/>
              </w:rPr>
              <w:t>103</w:t>
            </w:r>
          </w:p>
        </w:tc>
        <w:tc>
          <w:tcPr>
            <w:tcW w:w="844" w:type="dxa"/>
            <w:tcBorders>
              <w:top w:val="single" w:sz="4" w:space="0" w:color="auto"/>
              <w:left w:val="nil"/>
              <w:bottom w:val="nil"/>
              <w:right w:val="nil"/>
            </w:tcBorders>
            <w:shd w:val="clear" w:color="000000" w:fill="FFFFFF"/>
          </w:tcPr>
          <w:p w14:paraId="226E359A" w14:textId="77777777" w:rsidR="00900469" w:rsidRPr="001213F7" w:rsidRDefault="00900469">
            <w:pPr>
              <w:cnfStyle w:val="000000000000" w:firstRow="0" w:lastRow="0" w:firstColumn="0" w:lastColumn="0" w:oddVBand="0" w:evenVBand="0" w:oddHBand="0" w:evenHBand="0" w:firstRowFirstColumn="0" w:firstRowLastColumn="0" w:lastRowFirstColumn="0" w:lastRowLastColumn="0"/>
              <w:rPr>
                <w:rFonts w:cstheme="majorHAnsi"/>
                <w:b/>
                <w:szCs w:val="17"/>
              </w:rPr>
            </w:pPr>
            <w:r w:rsidRPr="001213F7">
              <w:rPr>
                <w:b/>
              </w:rPr>
              <w:t>118</w:t>
            </w:r>
          </w:p>
        </w:tc>
        <w:tc>
          <w:tcPr>
            <w:tcW w:w="845" w:type="dxa"/>
            <w:tcBorders>
              <w:top w:val="single" w:sz="4" w:space="0" w:color="auto"/>
              <w:left w:val="nil"/>
              <w:bottom w:val="nil"/>
              <w:right w:val="nil"/>
            </w:tcBorders>
            <w:shd w:val="clear" w:color="000000" w:fill="FFFFFF"/>
          </w:tcPr>
          <w:p w14:paraId="790B274A" w14:textId="77777777" w:rsidR="00900469" w:rsidRPr="001213F7" w:rsidRDefault="00900469">
            <w:pPr>
              <w:cnfStyle w:val="000000000000" w:firstRow="0" w:lastRow="0" w:firstColumn="0" w:lastColumn="0" w:oddVBand="0" w:evenVBand="0" w:oddHBand="0" w:evenHBand="0" w:firstRowFirstColumn="0" w:firstRowLastColumn="0" w:lastRowFirstColumn="0" w:lastRowLastColumn="0"/>
              <w:rPr>
                <w:rFonts w:cstheme="majorHAnsi"/>
                <w:b/>
                <w:szCs w:val="17"/>
              </w:rPr>
            </w:pPr>
            <w:r w:rsidRPr="001213F7">
              <w:rPr>
                <w:b/>
              </w:rPr>
              <w:t>131</w:t>
            </w:r>
          </w:p>
        </w:tc>
        <w:tc>
          <w:tcPr>
            <w:tcW w:w="845" w:type="dxa"/>
            <w:tcBorders>
              <w:top w:val="single" w:sz="4" w:space="0" w:color="auto"/>
              <w:left w:val="nil"/>
              <w:bottom w:val="nil"/>
              <w:right w:val="nil"/>
            </w:tcBorders>
            <w:shd w:val="clear" w:color="000000" w:fill="FFFFFF"/>
          </w:tcPr>
          <w:p w14:paraId="3BEF33A0" w14:textId="77777777" w:rsidR="00900469" w:rsidRPr="001213F7" w:rsidRDefault="00900469">
            <w:pPr>
              <w:cnfStyle w:val="000000000000" w:firstRow="0" w:lastRow="0" w:firstColumn="0" w:lastColumn="0" w:oddVBand="0" w:evenVBand="0" w:oddHBand="0" w:evenHBand="0" w:firstRowFirstColumn="0" w:firstRowLastColumn="0" w:lastRowFirstColumn="0" w:lastRowLastColumn="0"/>
              <w:rPr>
                <w:rFonts w:cstheme="majorHAnsi"/>
                <w:b/>
                <w:szCs w:val="17"/>
              </w:rPr>
            </w:pPr>
            <w:r w:rsidRPr="001213F7">
              <w:rPr>
                <w:b/>
              </w:rPr>
              <w:t>144</w:t>
            </w:r>
          </w:p>
        </w:tc>
      </w:tr>
      <w:tr w:rsidR="00900469" w:rsidRPr="001213F7" w14:paraId="0A4D855D" w14:textId="77777777">
        <w:tc>
          <w:tcPr>
            <w:cnfStyle w:val="001000000000" w:firstRow="0" w:lastRow="0" w:firstColumn="1" w:lastColumn="0" w:oddVBand="0" w:evenVBand="0" w:oddHBand="0" w:evenHBand="0" w:firstRowFirstColumn="0" w:firstRowLastColumn="0" w:lastRowFirstColumn="0" w:lastRowLastColumn="0"/>
            <w:tcW w:w="4333" w:type="dxa"/>
            <w:tcBorders>
              <w:bottom w:val="single" w:sz="4" w:space="0" w:color="auto"/>
            </w:tcBorders>
            <w:vAlign w:val="bottom"/>
            <w:hideMark/>
          </w:tcPr>
          <w:p w14:paraId="21D398FE" w14:textId="77777777" w:rsidR="00900469" w:rsidRPr="001213F7" w:rsidRDefault="00900469">
            <w:pPr>
              <w:autoSpaceDE w:val="0"/>
              <w:autoSpaceDN w:val="0"/>
              <w:adjustRightInd w:val="0"/>
              <w:rPr>
                <w:rFonts w:eastAsiaTheme="minorEastAsia" w:cstheme="majorHAnsi"/>
                <w:b/>
                <w:szCs w:val="17"/>
                <w:lang w:eastAsia="en-AU"/>
              </w:rPr>
            </w:pPr>
            <w:r w:rsidRPr="001213F7">
              <w:rPr>
                <w:rFonts w:eastAsiaTheme="minorEastAsia" w:cstheme="majorHAnsi"/>
                <w:b/>
                <w:szCs w:val="17"/>
                <w:lang w:eastAsia="en-AU"/>
              </w:rPr>
              <w:t>Net debt</w:t>
            </w:r>
          </w:p>
        </w:tc>
        <w:tc>
          <w:tcPr>
            <w:tcW w:w="844" w:type="dxa"/>
            <w:tcBorders>
              <w:top w:val="nil"/>
              <w:left w:val="nil"/>
              <w:bottom w:val="single" w:sz="4" w:space="0" w:color="auto"/>
              <w:right w:val="nil"/>
            </w:tcBorders>
            <w:shd w:val="clear" w:color="000000" w:fill="FFFFFF"/>
          </w:tcPr>
          <w:p w14:paraId="4DA112AD" w14:textId="77777777" w:rsidR="00900469" w:rsidRPr="001213F7" w:rsidRDefault="00900469">
            <w:pPr>
              <w:cnfStyle w:val="000000000000" w:firstRow="0" w:lastRow="0" w:firstColumn="0" w:lastColumn="0" w:oddVBand="0" w:evenVBand="0" w:oddHBand="0" w:evenHBand="0" w:firstRowFirstColumn="0" w:firstRowLastColumn="0" w:lastRowFirstColumn="0" w:lastRowLastColumn="0"/>
              <w:rPr>
                <w:rFonts w:cstheme="majorHAnsi"/>
                <w:b/>
                <w:szCs w:val="17"/>
              </w:rPr>
            </w:pPr>
            <w:r w:rsidRPr="001213F7">
              <w:rPr>
                <w:b/>
              </w:rPr>
              <w:t>(103</w:t>
            </w:r>
            <w:r w:rsidRPr="001213F7" w:rsidDel="00322AAB">
              <w:rPr>
                <w:b/>
              </w:rPr>
              <w:t>)</w:t>
            </w:r>
          </w:p>
        </w:tc>
        <w:tc>
          <w:tcPr>
            <w:tcW w:w="844" w:type="dxa"/>
            <w:tcBorders>
              <w:top w:val="nil"/>
              <w:left w:val="nil"/>
              <w:bottom w:val="single" w:sz="4" w:space="0" w:color="auto"/>
              <w:right w:val="nil"/>
            </w:tcBorders>
            <w:shd w:val="clear" w:color="000000" w:fill="FFFFFF"/>
          </w:tcPr>
          <w:p w14:paraId="37565ED9" w14:textId="77777777" w:rsidR="00900469" w:rsidRPr="001213F7" w:rsidRDefault="00900469">
            <w:pPr>
              <w:cnfStyle w:val="000000000000" w:firstRow="0" w:lastRow="0" w:firstColumn="0" w:lastColumn="0" w:oddVBand="0" w:evenVBand="0" w:oddHBand="0" w:evenHBand="0" w:firstRowFirstColumn="0" w:firstRowLastColumn="0" w:lastRowFirstColumn="0" w:lastRowLastColumn="0"/>
              <w:rPr>
                <w:rFonts w:cstheme="majorHAnsi"/>
                <w:b/>
                <w:szCs w:val="17"/>
              </w:rPr>
            </w:pPr>
            <w:r w:rsidRPr="001213F7">
              <w:rPr>
                <w:b/>
              </w:rPr>
              <w:t>(221</w:t>
            </w:r>
            <w:r w:rsidRPr="001213F7" w:rsidDel="00322AAB">
              <w:rPr>
                <w:b/>
              </w:rPr>
              <w:t>)</w:t>
            </w:r>
          </w:p>
        </w:tc>
        <w:tc>
          <w:tcPr>
            <w:tcW w:w="845" w:type="dxa"/>
            <w:tcBorders>
              <w:top w:val="nil"/>
              <w:left w:val="nil"/>
              <w:bottom w:val="single" w:sz="4" w:space="0" w:color="auto"/>
              <w:right w:val="nil"/>
            </w:tcBorders>
            <w:shd w:val="clear" w:color="000000" w:fill="FFFFFF"/>
          </w:tcPr>
          <w:p w14:paraId="0781892C" w14:textId="77777777" w:rsidR="00900469" w:rsidRPr="001213F7" w:rsidRDefault="00900469">
            <w:pPr>
              <w:cnfStyle w:val="000000000000" w:firstRow="0" w:lastRow="0" w:firstColumn="0" w:lastColumn="0" w:oddVBand="0" w:evenVBand="0" w:oddHBand="0" w:evenHBand="0" w:firstRowFirstColumn="0" w:firstRowLastColumn="0" w:lastRowFirstColumn="0" w:lastRowLastColumn="0"/>
              <w:rPr>
                <w:rFonts w:cstheme="majorHAnsi"/>
                <w:b/>
                <w:szCs w:val="17"/>
              </w:rPr>
            </w:pPr>
            <w:r w:rsidRPr="001213F7">
              <w:rPr>
                <w:b/>
              </w:rPr>
              <w:t>(352</w:t>
            </w:r>
            <w:r w:rsidRPr="001213F7" w:rsidDel="00322AAB">
              <w:rPr>
                <w:b/>
              </w:rPr>
              <w:t>)</w:t>
            </w:r>
          </w:p>
        </w:tc>
        <w:tc>
          <w:tcPr>
            <w:tcW w:w="845" w:type="dxa"/>
            <w:tcBorders>
              <w:top w:val="nil"/>
              <w:left w:val="nil"/>
              <w:bottom w:val="single" w:sz="4" w:space="0" w:color="auto"/>
              <w:right w:val="nil"/>
            </w:tcBorders>
            <w:shd w:val="clear" w:color="000000" w:fill="FFFFFF"/>
          </w:tcPr>
          <w:p w14:paraId="0F780466" w14:textId="77777777" w:rsidR="00900469" w:rsidRPr="001213F7" w:rsidRDefault="00900469">
            <w:pPr>
              <w:cnfStyle w:val="000000000000" w:firstRow="0" w:lastRow="0" w:firstColumn="0" w:lastColumn="0" w:oddVBand="0" w:evenVBand="0" w:oddHBand="0" w:evenHBand="0" w:firstRowFirstColumn="0" w:firstRowLastColumn="0" w:lastRowFirstColumn="0" w:lastRowLastColumn="0"/>
              <w:rPr>
                <w:rFonts w:cstheme="majorHAnsi"/>
                <w:b/>
                <w:szCs w:val="17"/>
              </w:rPr>
            </w:pPr>
            <w:r w:rsidRPr="001213F7">
              <w:rPr>
                <w:b/>
              </w:rPr>
              <w:t>(496</w:t>
            </w:r>
            <w:r w:rsidRPr="001213F7" w:rsidDel="00322AAB">
              <w:rPr>
                <w:b/>
              </w:rPr>
              <w:t>)</w:t>
            </w:r>
          </w:p>
        </w:tc>
      </w:tr>
      <w:tr w:rsidR="00900469" w:rsidRPr="001213F7" w14:paraId="748F0465" w14:textId="77777777">
        <w:tc>
          <w:tcPr>
            <w:cnfStyle w:val="001000000000" w:firstRow="0" w:lastRow="0" w:firstColumn="1" w:lastColumn="0" w:oddVBand="0" w:evenVBand="0" w:oddHBand="0" w:evenHBand="0" w:firstRowFirstColumn="0" w:firstRowLastColumn="0" w:lastRowFirstColumn="0" w:lastRowLastColumn="0"/>
            <w:tcW w:w="4333" w:type="dxa"/>
            <w:tcBorders>
              <w:top w:val="single" w:sz="4" w:space="0" w:color="auto"/>
            </w:tcBorders>
            <w:vAlign w:val="bottom"/>
            <w:hideMark/>
          </w:tcPr>
          <w:p w14:paraId="5B01FF20" w14:textId="77777777" w:rsidR="00900469" w:rsidRPr="001213F7" w:rsidRDefault="00900469">
            <w:pPr>
              <w:autoSpaceDE w:val="0"/>
              <w:autoSpaceDN w:val="0"/>
              <w:adjustRightInd w:val="0"/>
              <w:ind w:left="173" w:hanging="173"/>
              <w:rPr>
                <w:rFonts w:eastAsiaTheme="minorEastAsia" w:cstheme="majorHAnsi"/>
                <w:b/>
                <w:szCs w:val="17"/>
                <w:lang w:eastAsia="en-AU"/>
              </w:rPr>
            </w:pPr>
            <w:r w:rsidRPr="001213F7">
              <w:rPr>
                <w:rFonts w:eastAsiaTheme="minorEastAsia" w:cstheme="majorHAnsi"/>
                <w:b/>
                <w:szCs w:val="17"/>
                <w:lang w:eastAsia="en-AU"/>
              </w:rPr>
              <w:t xml:space="preserve">Interest rates </w:t>
            </w:r>
            <w:r w:rsidRPr="001213F7">
              <w:rPr>
                <w:rFonts w:eastAsiaTheme="minorEastAsia" w:cstheme="majorHAnsi"/>
                <w:b/>
                <w:szCs w:val="17"/>
                <w:vertAlign w:val="superscript"/>
                <w:lang w:eastAsia="en-AU"/>
              </w:rPr>
              <w:t>(k)</w:t>
            </w:r>
          </w:p>
        </w:tc>
        <w:tc>
          <w:tcPr>
            <w:tcW w:w="844" w:type="dxa"/>
            <w:tcBorders>
              <w:top w:val="single" w:sz="4" w:space="0" w:color="auto"/>
              <w:left w:val="nil"/>
              <w:bottom w:val="nil"/>
              <w:right w:val="nil"/>
            </w:tcBorders>
          </w:tcPr>
          <w:p w14:paraId="76A54D42" w14:textId="77777777" w:rsidR="00900469" w:rsidRPr="001213F7" w:rsidRDefault="00900469">
            <w:pPr>
              <w:cnfStyle w:val="000000000000" w:firstRow="0" w:lastRow="0" w:firstColumn="0" w:lastColumn="0" w:oddVBand="0" w:evenVBand="0" w:oddHBand="0" w:evenHBand="0" w:firstRowFirstColumn="0" w:firstRowLastColumn="0" w:lastRowFirstColumn="0" w:lastRowLastColumn="0"/>
              <w:rPr>
                <w:rFonts w:cstheme="majorHAnsi"/>
                <w:szCs w:val="17"/>
              </w:rPr>
            </w:pPr>
          </w:p>
        </w:tc>
        <w:tc>
          <w:tcPr>
            <w:tcW w:w="844" w:type="dxa"/>
            <w:tcBorders>
              <w:top w:val="single" w:sz="4" w:space="0" w:color="auto"/>
              <w:left w:val="nil"/>
              <w:bottom w:val="nil"/>
              <w:right w:val="nil"/>
            </w:tcBorders>
          </w:tcPr>
          <w:p w14:paraId="3E91C6A0" w14:textId="77777777" w:rsidR="00900469" w:rsidRPr="001213F7" w:rsidRDefault="00900469">
            <w:pPr>
              <w:cnfStyle w:val="000000000000" w:firstRow="0" w:lastRow="0" w:firstColumn="0" w:lastColumn="0" w:oddVBand="0" w:evenVBand="0" w:oddHBand="0" w:evenHBand="0" w:firstRowFirstColumn="0" w:firstRowLastColumn="0" w:lastRowFirstColumn="0" w:lastRowLastColumn="0"/>
              <w:rPr>
                <w:rFonts w:cstheme="majorHAnsi"/>
                <w:szCs w:val="17"/>
              </w:rPr>
            </w:pPr>
          </w:p>
        </w:tc>
        <w:tc>
          <w:tcPr>
            <w:tcW w:w="845" w:type="dxa"/>
            <w:tcBorders>
              <w:top w:val="single" w:sz="4" w:space="0" w:color="auto"/>
              <w:left w:val="nil"/>
              <w:bottom w:val="nil"/>
              <w:right w:val="nil"/>
            </w:tcBorders>
          </w:tcPr>
          <w:p w14:paraId="797DC675" w14:textId="77777777" w:rsidR="00900469" w:rsidRPr="001213F7" w:rsidRDefault="00900469">
            <w:pPr>
              <w:cnfStyle w:val="000000000000" w:firstRow="0" w:lastRow="0" w:firstColumn="0" w:lastColumn="0" w:oddVBand="0" w:evenVBand="0" w:oddHBand="0" w:evenHBand="0" w:firstRowFirstColumn="0" w:firstRowLastColumn="0" w:lastRowFirstColumn="0" w:lastRowLastColumn="0"/>
              <w:rPr>
                <w:rFonts w:cstheme="majorHAnsi"/>
                <w:szCs w:val="17"/>
              </w:rPr>
            </w:pPr>
          </w:p>
        </w:tc>
        <w:tc>
          <w:tcPr>
            <w:tcW w:w="845" w:type="dxa"/>
            <w:tcBorders>
              <w:top w:val="single" w:sz="4" w:space="0" w:color="auto"/>
              <w:left w:val="nil"/>
              <w:bottom w:val="nil"/>
              <w:right w:val="nil"/>
            </w:tcBorders>
          </w:tcPr>
          <w:p w14:paraId="69336AA4" w14:textId="77777777" w:rsidR="00900469" w:rsidRPr="001213F7" w:rsidRDefault="00900469">
            <w:pPr>
              <w:cnfStyle w:val="000000000000" w:firstRow="0" w:lastRow="0" w:firstColumn="0" w:lastColumn="0" w:oddVBand="0" w:evenVBand="0" w:oddHBand="0" w:evenHBand="0" w:firstRowFirstColumn="0" w:firstRowLastColumn="0" w:lastRowFirstColumn="0" w:lastRowLastColumn="0"/>
              <w:rPr>
                <w:rFonts w:cstheme="majorHAnsi"/>
                <w:szCs w:val="17"/>
              </w:rPr>
            </w:pPr>
          </w:p>
        </w:tc>
      </w:tr>
      <w:tr w:rsidR="00900469" w:rsidRPr="001213F7" w14:paraId="02DA33AF" w14:textId="77777777">
        <w:tc>
          <w:tcPr>
            <w:cnfStyle w:val="001000000000" w:firstRow="0" w:lastRow="0" w:firstColumn="1" w:lastColumn="0" w:oddVBand="0" w:evenVBand="0" w:oddHBand="0" w:evenHBand="0" w:firstRowFirstColumn="0" w:firstRowLastColumn="0" w:lastRowFirstColumn="0" w:lastRowLastColumn="0"/>
            <w:tcW w:w="4333" w:type="dxa"/>
            <w:vAlign w:val="bottom"/>
            <w:hideMark/>
          </w:tcPr>
          <w:p w14:paraId="2DA88955" w14:textId="77777777" w:rsidR="00900469" w:rsidRPr="001213F7" w:rsidRDefault="00900469">
            <w:pPr>
              <w:autoSpaceDE w:val="0"/>
              <w:autoSpaceDN w:val="0"/>
              <w:adjustRightInd w:val="0"/>
              <w:rPr>
                <w:rFonts w:eastAsiaTheme="minorEastAsia" w:cstheme="majorHAnsi"/>
                <w:szCs w:val="17"/>
                <w:lang w:eastAsia="en-AU"/>
              </w:rPr>
            </w:pPr>
            <w:r w:rsidRPr="001213F7">
              <w:rPr>
                <w:rFonts w:eastAsiaTheme="minorEastAsia" w:cstheme="majorHAnsi"/>
                <w:szCs w:val="17"/>
                <w:lang w:eastAsia="en-AU"/>
              </w:rPr>
              <w:t>Income from transactions</w:t>
            </w:r>
          </w:p>
        </w:tc>
        <w:tc>
          <w:tcPr>
            <w:tcW w:w="844" w:type="dxa"/>
            <w:tcBorders>
              <w:top w:val="nil"/>
              <w:left w:val="nil"/>
              <w:bottom w:val="nil"/>
              <w:right w:val="nil"/>
            </w:tcBorders>
            <w:shd w:val="clear" w:color="000000" w:fill="FFFFFF"/>
          </w:tcPr>
          <w:p w14:paraId="35A9586C" w14:textId="77777777" w:rsidR="00900469" w:rsidRPr="001213F7" w:rsidRDefault="00900469">
            <w:pPr>
              <w:cnfStyle w:val="000000000000" w:firstRow="0" w:lastRow="0" w:firstColumn="0" w:lastColumn="0" w:oddVBand="0" w:evenVBand="0" w:oddHBand="0" w:evenHBand="0" w:firstRowFirstColumn="0" w:firstRowLastColumn="0" w:lastRowFirstColumn="0" w:lastRowLastColumn="0"/>
              <w:rPr>
                <w:rFonts w:cstheme="majorBidi"/>
                <w:szCs w:val="17"/>
              </w:rPr>
            </w:pPr>
            <w:r w:rsidRPr="001213F7">
              <w:t>119</w:t>
            </w:r>
          </w:p>
        </w:tc>
        <w:tc>
          <w:tcPr>
            <w:tcW w:w="844" w:type="dxa"/>
            <w:tcBorders>
              <w:top w:val="nil"/>
              <w:left w:val="nil"/>
              <w:bottom w:val="nil"/>
              <w:right w:val="nil"/>
            </w:tcBorders>
            <w:shd w:val="clear" w:color="000000" w:fill="FFFFFF"/>
          </w:tcPr>
          <w:p w14:paraId="3CB1F935" w14:textId="77777777" w:rsidR="00900469" w:rsidRPr="001213F7" w:rsidRDefault="00900469">
            <w:pPr>
              <w:cnfStyle w:val="000000000000" w:firstRow="0" w:lastRow="0" w:firstColumn="0" w:lastColumn="0" w:oddVBand="0" w:evenVBand="0" w:oddHBand="0" w:evenHBand="0" w:firstRowFirstColumn="0" w:firstRowLastColumn="0" w:lastRowFirstColumn="0" w:lastRowLastColumn="0"/>
              <w:rPr>
                <w:rFonts w:cstheme="majorHAnsi"/>
                <w:szCs w:val="17"/>
              </w:rPr>
            </w:pPr>
            <w:r w:rsidRPr="001213F7">
              <w:t>104</w:t>
            </w:r>
          </w:p>
        </w:tc>
        <w:tc>
          <w:tcPr>
            <w:tcW w:w="845" w:type="dxa"/>
            <w:tcBorders>
              <w:top w:val="nil"/>
              <w:left w:val="nil"/>
              <w:bottom w:val="nil"/>
              <w:right w:val="nil"/>
            </w:tcBorders>
            <w:shd w:val="clear" w:color="000000" w:fill="FFFFFF"/>
          </w:tcPr>
          <w:p w14:paraId="12B23528" w14:textId="77777777" w:rsidR="00900469" w:rsidRPr="001213F7" w:rsidRDefault="00900469">
            <w:pPr>
              <w:cnfStyle w:val="000000000000" w:firstRow="0" w:lastRow="0" w:firstColumn="0" w:lastColumn="0" w:oddVBand="0" w:evenVBand="0" w:oddHBand="0" w:evenHBand="0" w:firstRowFirstColumn="0" w:firstRowLastColumn="0" w:lastRowFirstColumn="0" w:lastRowLastColumn="0"/>
              <w:rPr>
                <w:rFonts w:cstheme="majorHAnsi"/>
                <w:szCs w:val="17"/>
              </w:rPr>
            </w:pPr>
            <w:r w:rsidRPr="001213F7">
              <w:t>93</w:t>
            </w:r>
          </w:p>
        </w:tc>
        <w:tc>
          <w:tcPr>
            <w:tcW w:w="845" w:type="dxa"/>
            <w:tcBorders>
              <w:top w:val="nil"/>
              <w:left w:val="nil"/>
              <w:bottom w:val="nil"/>
              <w:right w:val="nil"/>
            </w:tcBorders>
            <w:shd w:val="clear" w:color="000000" w:fill="FFFFFF"/>
          </w:tcPr>
          <w:p w14:paraId="59ADFD45" w14:textId="77777777" w:rsidR="00900469" w:rsidRPr="001213F7" w:rsidRDefault="00900469">
            <w:pPr>
              <w:cnfStyle w:val="000000000000" w:firstRow="0" w:lastRow="0" w:firstColumn="0" w:lastColumn="0" w:oddVBand="0" w:evenVBand="0" w:oddHBand="0" w:evenHBand="0" w:firstRowFirstColumn="0" w:firstRowLastColumn="0" w:lastRowFirstColumn="0" w:lastRowLastColumn="0"/>
              <w:rPr>
                <w:rFonts w:cstheme="majorHAnsi"/>
                <w:szCs w:val="17"/>
              </w:rPr>
            </w:pPr>
            <w:r w:rsidRPr="001213F7">
              <w:t>83</w:t>
            </w:r>
          </w:p>
        </w:tc>
      </w:tr>
      <w:tr w:rsidR="00900469" w:rsidRPr="001213F7" w14:paraId="137E064E" w14:textId="77777777">
        <w:tc>
          <w:tcPr>
            <w:cnfStyle w:val="001000000000" w:firstRow="0" w:lastRow="0" w:firstColumn="1" w:lastColumn="0" w:oddVBand="0" w:evenVBand="0" w:oddHBand="0" w:evenHBand="0" w:firstRowFirstColumn="0" w:firstRowLastColumn="0" w:lastRowFirstColumn="0" w:lastRowLastColumn="0"/>
            <w:tcW w:w="4333" w:type="dxa"/>
            <w:tcBorders>
              <w:bottom w:val="single" w:sz="4" w:space="0" w:color="auto"/>
            </w:tcBorders>
            <w:vAlign w:val="bottom"/>
            <w:hideMark/>
          </w:tcPr>
          <w:p w14:paraId="07FD7E78" w14:textId="77777777" w:rsidR="00900469" w:rsidRPr="001213F7" w:rsidRDefault="00900469">
            <w:pPr>
              <w:autoSpaceDE w:val="0"/>
              <w:autoSpaceDN w:val="0"/>
              <w:adjustRightInd w:val="0"/>
              <w:rPr>
                <w:rFonts w:eastAsiaTheme="minorEastAsia" w:cstheme="majorHAnsi"/>
                <w:szCs w:val="17"/>
                <w:lang w:eastAsia="en-AU"/>
              </w:rPr>
            </w:pPr>
            <w:r w:rsidRPr="001213F7">
              <w:rPr>
                <w:rFonts w:eastAsiaTheme="minorEastAsia" w:cstheme="majorHAnsi"/>
                <w:szCs w:val="17"/>
                <w:lang w:eastAsia="en-AU"/>
              </w:rPr>
              <w:t>Expenses from transactions</w:t>
            </w:r>
          </w:p>
        </w:tc>
        <w:tc>
          <w:tcPr>
            <w:tcW w:w="844" w:type="dxa"/>
            <w:tcBorders>
              <w:top w:val="nil"/>
              <w:left w:val="nil"/>
              <w:bottom w:val="nil"/>
              <w:right w:val="nil"/>
            </w:tcBorders>
            <w:shd w:val="clear" w:color="000000" w:fill="FFFFFF"/>
          </w:tcPr>
          <w:p w14:paraId="22E9766C" w14:textId="77777777" w:rsidR="00900469" w:rsidRPr="001213F7" w:rsidRDefault="00900469">
            <w:pPr>
              <w:cnfStyle w:val="000000000000" w:firstRow="0" w:lastRow="0" w:firstColumn="0" w:lastColumn="0" w:oddVBand="0" w:evenVBand="0" w:oddHBand="0" w:evenHBand="0" w:firstRowFirstColumn="0" w:firstRowLastColumn="0" w:lastRowFirstColumn="0" w:lastRowLastColumn="0"/>
              <w:rPr>
                <w:rFonts w:cstheme="majorHAnsi"/>
                <w:szCs w:val="17"/>
              </w:rPr>
            </w:pPr>
            <w:r w:rsidRPr="001213F7">
              <w:t>221</w:t>
            </w:r>
          </w:p>
        </w:tc>
        <w:tc>
          <w:tcPr>
            <w:tcW w:w="844" w:type="dxa"/>
            <w:tcBorders>
              <w:top w:val="nil"/>
              <w:left w:val="nil"/>
              <w:bottom w:val="nil"/>
              <w:right w:val="nil"/>
            </w:tcBorders>
            <w:shd w:val="clear" w:color="000000" w:fill="FFFFFF"/>
          </w:tcPr>
          <w:p w14:paraId="7170D9E0" w14:textId="77777777" w:rsidR="00900469" w:rsidRPr="001213F7" w:rsidRDefault="00900469">
            <w:pPr>
              <w:cnfStyle w:val="000000000000" w:firstRow="0" w:lastRow="0" w:firstColumn="0" w:lastColumn="0" w:oddVBand="0" w:evenVBand="0" w:oddHBand="0" w:evenHBand="0" w:firstRowFirstColumn="0" w:firstRowLastColumn="0" w:lastRowFirstColumn="0" w:lastRowLastColumn="0"/>
              <w:rPr>
                <w:rFonts w:cstheme="majorHAnsi"/>
                <w:szCs w:val="17"/>
              </w:rPr>
            </w:pPr>
            <w:r w:rsidRPr="001213F7">
              <w:t>86</w:t>
            </w:r>
          </w:p>
        </w:tc>
        <w:tc>
          <w:tcPr>
            <w:tcW w:w="845" w:type="dxa"/>
            <w:tcBorders>
              <w:top w:val="nil"/>
              <w:left w:val="nil"/>
              <w:bottom w:val="nil"/>
              <w:right w:val="nil"/>
            </w:tcBorders>
            <w:shd w:val="clear" w:color="000000" w:fill="FFFFFF"/>
          </w:tcPr>
          <w:p w14:paraId="1163505D" w14:textId="77777777" w:rsidR="00900469" w:rsidRPr="001213F7" w:rsidRDefault="00900469">
            <w:pPr>
              <w:cnfStyle w:val="000000000000" w:firstRow="0" w:lastRow="0" w:firstColumn="0" w:lastColumn="0" w:oddVBand="0" w:evenVBand="0" w:oddHBand="0" w:evenHBand="0" w:firstRowFirstColumn="0" w:firstRowLastColumn="0" w:lastRowFirstColumn="0" w:lastRowLastColumn="0"/>
              <w:rPr>
                <w:rFonts w:cstheme="majorHAnsi"/>
                <w:szCs w:val="17"/>
              </w:rPr>
            </w:pPr>
            <w:r w:rsidRPr="001213F7">
              <w:t>278</w:t>
            </w:r>
          </w:p>
        </w:tc>
        <w:tc>
          <w:tcPr>
            <w:tcW w:w="845" w:type="dxa"/>
            <w:tcBorders>
              <w:top w:val="nil"/>
              <w:left w:val="nil"/>
              <w:bottom w:val="nil"/>
              <w:right w:val="nil"/>
            </w:tcBorders>
            <w:shd w:val="clear" w:color="000000" w:fill="FFFFFF"/>
          </w:tcPr>
          <w:p w14:paraId="2A0EC3E6" w14:textId="77777777" w:rsidR="00900469" w:rsidRPr="001213F7" w:rsidRDefault="00900469">
            <w:pPr>
              <w:cnfStyle w:val="000000000000" w:firstRow="0" w:lastRow="0" w:firstColumn="0" w:lastColumn="0" w:oddVBand="0" w:evenVBand="0" w:oddHBand="0" w:evenHBand="0" w:firstRowFirstColumn="0" w:firstRowLastColumn="0" w:lastRowFirstColumn="0" w:lastRowLastColumn="0"/>
              <w:rPr>
                <w:rFonts w:cstheme="majorHAnsi"/>
                <w:szCs w:val="17"/>
              </w:rPr>
            </w:pPr>
            <w:r w:rsidRPr="001213F7">
              <w:t>505</w:t>
            </w:r>
          </w:p>
        </w:tc>
      </w:tr>
      <w:tr w:rsidR="00900469" w:rsidRPr="001213F7" w14:paraId="4A8E83D5" w14:textId="77777777">
        <w:tc>
          <w:tcPr>
            <w:cnfStyle w:val="001000000000" w:firstRow="0" w:lastRow="0" w:firstColumn="1" w:lastColumn="0" w:oddVBand="0" w:evenVBand="0" w:oddHBand="0" w:evenHBand="0" w:firstRowFirstColumn="0" w:firstRowLastColumn="0" w:lastRowFirstColumn="0" w:lastRowLastColumn="0"/>
            <w:tcW w:w="4333" w:type="dxa"/>
            <w:tcBorders>
              <w:top w:val="single" w:sz="4" w:space="0" w:color="auto"/>
              <w:right w:val="nil"/>
            </w:tcBorders>
            <w:vAlign w:val="bottom"/>
            <w:hideMark/>
          </w:tcPr>
          <w:p w14:paraId="64C49734" w14:textId="77777777" w:rsidR="00900469" w:rsidRPr="001213F7" w:rsidRDefault="00900469">
            <w:pPr>
              <w:autoSpaceDE w:val="0"/>
              <w:autoSpaceDN w:val="0"/>
              <w:adjustRightInd w:val="0"/>
              <w:rPr>
                <w:rFonts w:eastAsiaTheme="minorEastAsia" w:cstheme="majorHAnsi"/>
                <w:b/>
                <w:szCs w:val="17"/>
                <w:lang w:eastAsia="en-AU"/>
              </w:rPr>
            </w:pPr>
            <w:r w:rsidRPr="001213F7">
              <w:rPr>
                <w:rFonts w:eastAsiaTheme="minorEastAsia" w:cstheme="majorHAnsi"/>
                <w:b/>
                <w:szCs w:val="17"/>
                <w:lang w:eastAsia="en-AU"/>
              </w:rPr>
              <w:t>Net result from transactions</w:t>
            </w:r>
          </w:p>
        </w:tc>
        <w:tc>
          <w:tcPr>
            <w:tcW w:w="844" w:type="dxa"/>
            <w:tcBorders>
              <w:top w:val="single" w:sz="4" w:space="0" w:color="auto"/>
              <w:left w:val="nil"/>
              <w:bottom w:val="nil"/>
              <w:right w:val="nil"/>
            </w:tcBorders>
            <w:shd w:val="clear" w:color="000000" w:fill="FFFFFF"/>
          </w:tcPr>
          <w:p w14:paraId="64E9A0EC" w14:textId="77777777" w:rsidR="00900469" w:rsidRPr="001213F7" w:rsidRDefault="00900469">
            <w:pPr>
              <w:cnfStyle w:val="000000000000" w:firstRow="0" w:lastRow="0" w:firstColumn="0" w:lastColumn="0" w:oddVBand="0" w:evenVBand="0" w:oddHBand="0" w:evenHBand="0" w:firstRowFirstColumn="0" w:firstRowLastColumn="0" w:lastRowFirstColumn="0" w:lastRowLastColumn="0"/>
              <w:rPr>
                <w:rFonts w:cstheme="majorHAnsi"/>
                <w:b/>
                <w:szCs w:val="17"/>
              </w:rPr>
            </w:pPr>
            <w:r w:rsidRPr="001213F7">
              <w:rPr>
                <w:b/>
              </w:rPr>
              <w:t>(102)</w:t>
            </w:r>
          </w:p>
        </w:tc>
        <w:tc>
          <w:tcPr>
            <w:tcW w:w="844" w:type="dxa"/>
            <w:tcBorders>
              <w:top w:val="single" w:sz="4" w:space="0" w:color="auto"/>
              <w:left w:val="nil"/>
              <w:bottom w:val="nil"/>
              <w:right w:val="nil"/>
            </w:tcBorders>
            <w:shd w:val="clear" w:color="000000" w:fill="FFFFFF"/>
          </w:tcPr>
          <w:p w14:paraId="71CF6150" w14:textId="77777777" w:rsidR="00900469" w:rsidRPr="001213F7" w:rsidRDefault="00900469">
            <w:pPr>
              <w:cnfStyle w:val="000000000000" w:firstRow="0" w:lastRow="0" w:firstColumn="0" w:lastColumn="0" w:oddVBand="0" w:evenVBand="0" w:oddHBand="0" w:evenHBand="0" w:firstRowFirstColumn="0" w:firstRowLastColumn="0" w:lastRowFirstColumn="0" w:lastRowLastColumn="0"/>
              <w:rPr>
                <w:rFonts w:cstheme="majorHAnsi"/>
                <w:b/>
                <w:szCs w:val="17"/>
              </w:rPr>
            </w:pPr>
            <w:r w:rsidRPr="001213F7">
              <w:rPr>
                <w:b/>
              </w:rPr>
              <w:t>18</w:t>
            </w:r>
          </w:p>
        </w:tc>
        <w:tc>
          <w:tcPr>
            <w:tcW w:w="845" w:type="dxa"/>
            <w:tcBorders>
              <w:top w:val="single" w:sz="4" w:space="0" w:color="auto"/>
              <w:left w:val="nil"/>
              <w:bottom w:val="nil"/>
              <w:right w:val="nil"/>
            </w:tcBorders>
            <w:shd w:val="clear" w:color="000000" w:fill="FFFFFF"/>
          </w:tcPr>
          <w:p w14:paraId="3BD52343" w14:textId="77777777" w:rsidR="00900469" w:rsidRPr="001213F7" w:rsidRDefault="00900469">
            <w:pPr>
              <w:cnfStyle w:val="000000000000" w:firstRow="0" w:lastRow="0" w:firstColumn="0" w:lastColumn="0" w:oddVBand="0" w:evenVBand="0" w:oddHBand="0" w:evenHBand="0" w:firstRowFirstColumn="0" w:firstRowLastColumn="0" w:lastRowFirstColumn="0" w:lastRowLastColumn="0"/>
              <w:rPr>
                <w:rFonts w:cstheme="majorHAnsi"/>
                <w:b/>
                <w:szCs w:val="17"/>
              </w:rPr>
            </w:pPr>
            <w:r w:rsidRPr="001213F7">
              <w:rPr>
                <w:b/>
              </w:rPr>
              <w:t>(184</w:t>
            </w:r>
            <w:r w:rsidRPr="001213F7" w:rsidDel="00322AAB">
              <w:rPr>
                <w:b/>
              </w:rPr>
              <w:t>)</w:t>
            </w:r>
          </w:p>
        </w:tc>
        <w:tc>
          <w:tcPr>
            <w:tcW w:w="845" w:type="dxa"/>
            <w:tcBorders>
              <w:top w:val="single" w:sz="4" w:space="0" w:color="auto"/>
              <w:left w:val="nil"/>
              <w:bottom w:val="nil"/>
              <w:right w:val="nil"/>
            </w:tcBorders>
            <w:shd w:val="clear" w:color="000000" w:fill="FFFFFF"/>
          </w:tcPr>
          <w:p w14:paraId="7AB69C13" w14:textId="77777777" w:rsidR="00900469" w:rsidRPr="001213F7" w:rsidRDefault="00900469">
            <w:pPr>
              <w:cnfStyle w:val="000000000000" w:firstRow="0" w:lastRow="0" w:firstColumn="0" w:lastColumn="0" w:oddVBand="0" w:evenVBand="0" w:oddHBand="0" w:evenHBand="0" w:firstRowFirstColumn="0" w:firstRowLastColumn="0" w:lastRowFirstColumn="0" w:lastRowLastColumn="0"/>
              <w:rPr>
                <w:rFonts w:cstheme="majorHAnsi"/>
                <w:b/>
                <w:szCs w:val="17"/>
              </w:rPr>
            </w:pPr>
            <w:r w:rsidRPr="001213F7">
              <w:rPr>
                <w:b/>
              </w:rPr>
              <w:t>(422</w:t>
            </w:r>
            <w:r w:rsidRPr="001213F7" w:rsidDel="00322AAB">
              <w:rPr>
                <w:b/>
              </w:rPr>
              <w:t>)</w:t>
            </w:r>
          </w:p>
        </w:tc>
      </w:tr>
      <w:tr w:rsidR="00900469" w:rsidRPr="001213F7" w14:paraId="4F56BB12" w14:textId="77777777">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33" w:type="dxa"/>
            <w:tcBorders>
              <w:top w:val="nil"/>
              <w:bottom w:val="single" w:sz="12" w:space="0" w:color="auto"/>
            </w:tcBorders>
            <w:vAlign w:val="bottom"/>
            <w:hideMark/>
          </w:tcPr>
          <w:p w14:paraId="586450D4" w14:textId="77777777" w:rsidR="00900469" w:rsidRPr="001213F7" w:rsidRDefault="00900469">
            <w:pPr>
              <w:autoSpaceDE w:val="0"/>
              <w:autoSpaceDN w:val="0"/>
              <w:adjustRightInd w:val="0"/>
              <w:rPr>
                <w:rFonts w:eastAsiaTheme="minorEastAsia" w:cstheme="majorBidi"/>
                <w:vertAlign w:val="superscript"/>
                <w:lang w:eastAsia="en-AU"/>
              </w:rPr>
            </w:pPr>
            <w:r w:rsidRPr="001213F7">
              <w:rPr>
                <w:rFonts w:eastAsiaTheme="minorEastAsia" w:cstheme="majorBidi"/>
                <w:szCs w:val="17"/>
                <w:lang w:eastAsia="en-AU"/>
              </w:rPr>
              <w:t xml:space="preserve">Net debt </w:t>
            </w:r>
            <w:r w:rsidRPr="001213F7">
              <w:rPr>
                <w:rFonts w:eastAsiaTheme="minorEastAsia" w:cstheme="majorBidi"/>
                <w:szCs w:val="17"/>
                <w:vertAlign w:val="superscript"/>
                <w:lang w:eastAsia="en-AU"/>
              </w:rPr>
              <w:t>(l)</w:t>
            </w:r>
          </w:p>
        </w:tc>
        <w:tc>
          <w:tcPr>
            <w:tcW w:w="844" w:type="dxa"/>
            <w:tcBorders>
              <w:top w:val="nil"/>
              <w:bottom w:val="single" w:sz="12" w:space="0" w:color="auto"/>
            </w:tcBorders>
            <w:shd w:val="clear" w:color="000000" w:fill="FFFFFF"/>
          </w:tcPr>
          <w:p w14:paraId="1B7DB5AD" w14:textId="77777777" w:rsidR="00900469" w:rsidRPr="001213F7" w:rsidRDefault="00900469">
            <w:pPr>
              <w:cnfStyle w:val="010000000000" w:firstRow="0" w:lastRow="1" w:firstColumn="0" w:lastColumn="0" w:oddVBand="0" w:evenVBand="0" w:oddHBand="0" w:evenHBand="0" w:firstRowFirstColumn="0" w:firstRowLastColumn="0" w:lastRowFirstColumn="0" w:lastRowLastColumn="0"/>
              <w:rPr>
                <w:rFonts w:cstheme="majorHAnsi"/>
                <w:szCs w:val="17"/>
              </w:rPr>
            </w:pPr>
            <w:r w:rsidRPr="001213F7">
              <w:t>102</w:t>
            </w:r>
          </w:p>
        </w:tc>
        <w:tc>
          <w:tcPr>
            <w:tcW w:w="844" w:type="dxa"/>
            <w:tcBorders>
              <w:top w:val="nil"/>
              <w:bottom w:val="single" w:sz="12" w:space="0" w:color="auto"/>
            </w:tcBorders>
            <w:shd w:val="clear" w:color="000000" w:fill="FFFFFF"/>
          </w:tcPr>
          <w:p w14:paraId="40AF6D76" w14:textId="77777777" w:rsidR="00900469" w:rsidRPr="001213F7" w:rsidRDefault="00900469">
            <w:pPr>
              <w:cnfStyle w:val="010000000000" w:firstRow="0" w:lastRow="1" w:firstColumn="0" w:lastColumn="0" w:oddVBand="0" w:evenVBand="0" w:oddHBand="0" w:evenHBand="0" w:firstRowFirstColumn="0" w:firstRowLastColumn="0" w:lastRowFirstColumn="0" w:lastRowLastColumn="0"/>
              <w:rPr>
                <w:rFonts w:cstheme="majorHAnsi"/>
                <w:szCs w:val="17"/>
              </w:rPr>
            </w:pPr>
            <w:r w:rsidRPr="001213F7">
              <w:t>351</w:t>
            </w:r>
          </w:p>
        </w:tc>
        <w:tc>
          <w:tcPr>
            <w:tcW w:w="845" w:type="dxa"/>
            <w:tcBorders>
              <w:top w:val="nil"/>
              <w:bottom w:val="single" w:sz="12" w:space="0" w:color="auto"/>
            </w:tcBorders>
            <w:shd w:val="clear" w:color="000000" w:fill="FFFFFF"/>
          </w:tcPr>
          <w:p w14:paraId="250729E0" w14:textId="77777777" w:rsidR="00900469" w:rsidRPr="001213F7" w:rsidRDefault="00900469">
            <w:pPr>
              <w:cnfStyle w:val="010000000000" w:firstRow="0" w:lastRow="1" w:firstColumn="0" w:lastColumn="0" w:oddVBand="0" w:evenVBand="0" w:oddHBand="0" w:evenHBand="0" w:firstRowFirstColumn="0" w:firstRowLastColumn="0" w:lastRowFirstColumn="0" w:lastRowLastColumn="0"/>
              <w:rPr>
                <w:rFonts w:cstheme="majorHAnsi"/>
                <w:szCs w:val="17"/>
              </w:rPr>
            </w:pPr>
            <w:r w:rsidRPr="001213F7">
              <w:t>826</w:t>
            </w:r>
          </w:p>
        </w:tc>
        <w:tc>
          <w:tcPr>
            <w:tcW w:w="845" w:type="dxa"/>
            <w:tcBorders>
              <w:top w:val="nil"/>
              <w:bottom w:val="single" w:sz="12" w:space="0" w:color="auto"/>
            </w:tcBorders>
            <w:shd w:val="clear" w:color="000000" w:fill="FFFFFF"/>
          </w:tcPr>
          <w:p w14:paraId="1EDE4055" w14:textId="77777777" w:rsidR="00900469" w:rsidRPr="001213F7" w:rsidRDefault="00900469">
            <w:pPr>
              <w:cnfStyle w:val="010000000000" w:firstRow="0" w:lastRow="1" w:firstColumn="0" w:lastColumn="0" w:oddVBand="0" w:evenVBand="0" w:oddHBand="0" w:evenHBand="0" w:firstRowFirstColumn="0" w:firstRowLastColumn="0" w:lastRowFirstColumn="0" w:lastRowLastColumn="0"/>
              <w:rPr>
                <w:rFonts w:cstheme="majorHAnsi"/>
                <w:szCs w:val="17"/>
              </w:rPr>
            </w:pPr>
            <w:r w:rsidRPr="001213F7">
              <w:t>1 564</w:t>
            </w:r>
          </w:p>
        </w:tc>
      </w:tr>
    </w:tbl>
    <w:p w14:paraId="4D53723D" w14:textId="77777777" w:rsidR="00900469" w:rsidRPr="001213F7" w:rsidRDefault="00900469">
      <w:pPr>
        <w:pStyle w:val="Note"/>
      </w:pPr>
      <w:r w:rsidRPr="001213F7">
        <w:t>Notes:</w:t>
      </w:r>
    </w:p>
    <w:p w14:paraId="155259B1" w14:textId="77777777" w:rsidR="00900469" w:rsidRPr="001213F7" w:rsidRDefault="00900469">
      <w:pPr>
        <w:pStyle w:val="Note"/>
      </w:pPr>
      <w:r w:rsidRPr="001213F7">
        <w:t>(a)</w:t>
      </w:r>
      <w:r w:rsidRPr="001213F7">
        <w:tab/>
        <w:t>Variations are applied to the economic variables effective from the first day in the budget year (1 July 2026). It is assumed that each variable’s growth rate matches that under a no-variation scenario for the forward estimates period. This implies that the level of all economic variables (other than interest rates) is 1 per cent higher in level terms in each year of the budget and forward estimates. Interest rates are assumed to be 1 percentage point higher in each year of the budget and forward estimates.</w:t>
      </w:r>
    </w:p>
    <w:p w14:paraId="13479260" w14:textId="77777777" w:rsidR="00900469" w:rsidRPr="001213F7" w:rsidRDefault="00900469">
      <w:pPr>
        <w:pStyle w:val="Note"/>
      </w:pPr>
      <w:r w:rsidRPr="001213F7">
        <w:t>(b)</w:t>
      </w:r>
      <w:r w:rsidRPr="001213F7">
        <w:tab/>
        <w:t xml:space="preserve">A positive number for income from transactions denotes an increase in revenue. A positive number for expenses from transactions denotes an increase in expenses (and hence a reduction in the net result from transactions). A positive number for the net result from transactions denotes a higher surplus or smaller deficit. A positive number for net debt denotes a higher level of net debt in the relevant year compared with a no-variation scenario. </w:t>
      </w:r>
    </w:p>
    <w:p w14:paraId="3BC733C2" w14:textId="77777777" w:rsidR="00900469" w:rsidRPr="001213F7" w:rsidRDefault="00900469">
      <w:pPr>
        <w:pStyle w:val="Note"/>
      </w:pPr>
      <w:r w:rsidRPr="001213F7">
        <w:t>(c)</w:t>
      </w:r>
      <w:r w:rsidRPr="001213F7">
        <w:tab/>
        <w:t>Only reasonably quantifiable impacts have been included in the analysis.</w:t>
      </w:r>
    </w:p>
    <w:p w14:paraId="64196CDF" w14:textId="77777777" w:rsidR="00900469" w:rsidRPr="001213F7" w:rsidRDefault="00900469">
      <w:pPr>
        <w:pStyle w:val="Note"/>
      </w:pPr>
      <w:r w:rsidRPr="001213F7">
        <w:t>(d)</w:t>
      </w:r>
      <w:r w:rsidRPr="001213F7">
        <w:tab/>
        <w:t xml:space="preserve">Figures may not add due to rounding. </w:t>
      </w:r>
    </w:p>
    <w:p w14:paraId="3E728738" w14:textId="77777777" w:rsidR="00900469" w:rsidRPr="001213F7" w:rsidRDefault="00900469">
      <w:pPr>
        <w:pStyle w:val="Note"/>
      </w:pPr>
      <w:r w:rsidRPr="001213F7">
        <w:t>(e)</w:t>
      </w:r>
      <w:r w:rsidRPr="001213F7">
        <w:tab/>
        <w:t>Estimates of net debt are approximately equal to the cumulative impact of the net result from transactions. The difference between the cumulative net result from transactions and net debt is due to non-cash expenses, which affect net result from transactions but do not affect net debt.</w:t>
      </w:r>
    </w:p>
    <w:p w14:paraId="4ABA51E0" w14:textId="77777777" w:rsidR="00900469" w:rsidRPr="001213F7" w:rsidRDefault="00900469">
      <w:pPr>
        <w:pStyle w:val="Note"/>
      </w:pPr>
      <w:r w:rsidRPr="001213F7">
        <w:t>(f)</w:t>
      </w:r>
      <w:r w:rsidRPr="001213F7">
        <w:tab/>
        <w:t xml:space="preserve">A shock to employment is assumed to impact payroll tax revenue. Both public and private sector employment levels are assumed to be 1 per cent higher across the four years, with the shares of full-time and part-time employment held constant; the rise in public sector employment increases general government sector employee expenses. </w:t>
      </w:r>
    </w:p>
    <w:p w14:paraId="68E3D2BE" w14:textId="77777777" w:rsidR="00900469" w:rsidRPr="001213F7" w:rsidRDefault="00900469">
      <w:pPr>
        <w:pStyle w:val="Note"/>
      </w:pPr>
      <w:r w:rsidRPr="001213F7">
        <w:t>(g)</w:t>
      </w:r>
      <w:r w:rsidRPr="001213F7">
        <w:tab/>
        <w:t>Estimates assume that higher consumer prices flow through to government operating expenses, such as the purchase of supplies and consumables and the purchase of services. For simplicity, these estimates make no assumptions about agencies’ administrative actions or government policy responses to mitigate the effects of higher inflation on aggregate spending. It is assumed an increase in consumer prices within the budget year does not affect employee entitlements.</w:t>
      </w:r>
      <w:r w:rsidRPr="001213F7" w:rsidDel="00701167">
        <w:t xml:space="preserve"> </w:t>
      </w:r>
    </w:p>
    <w:p w14:paraId="0718B119" w14:textId="77777777" w:rsidR="00900469" w:rsidRPr="001213F7" w:rsidRDefault="00900469">
      <w:pPr>
        <w:pStyle w:val="Note"/>
      </w:pPr>
      <w:r w:rsidRPr="001213F7">
        <w:t>(h)</w:t>
      </w:r>
      <w:r w:rsidRPr="001213F7">
        <w:tab/>
        <w:t>The smaller impact on net debt, compared with the impact on the net result from transactions, reflects a rise in non-cash superannuation expenses, putting upward pressure on the total increase in operating expenses, but this increase in non-cash superannuation expenses does not affect net debt.</w:t>
      </w:r>
    </w:p>
    <w:p w14:paraId="594EB90A" w14:textId="77777777" w:rsidR="00900469" w:rsidRPr="001213F7" w:rsidRDefault="00900469">
      <w:pPr>
        <w:pStyle w:val="Note"/>
      </w:pPr>
      <w:r w:rsidRPr="001213F7">
        <w:t>(i)</w:t>
      </w:r>
      <w:r w:rsidRPr="001213F7">
        <w:tab/>
        <w:t xml:space="preserve">A positive shock to average weekly earnings increases the expenses of public financial and non-financial corporations and reduces the general government sector’s income from dividends and ITEs. </w:t>
      </w:r>
    </w:p>
    <w:p w14:paraId="3C1D8DDF" w14:textId="77777777" w:rsidR="00900469" w:rsidRPr="001213F7" w:rsidRDefault="00900469">
      <w:pPr>
        <w:pStyle w:val="Note"/>
      </w:pPr>
      <w:r w:rsidRPr="001213F7">
        <w:t>(j)</w:t>
      </w:r>
      <w:r w:rsidRPr="001213F7">
        <w:tab/>
        <w:t>The smaller impact on the net result from transactions, compared with the impact on net debt, reflects that only the income component of the State’s investment return (and not the capital gain) is reflected in the net result from transactions.</w:t>
      </w:r>
    </w:p>
    <w:p w14:paraId="54D88AAA" w14:textId="77777777" w:rsidR="00900469" w:rsidRPr="001213F7" w:rsidRDefault="00900469">
      <w:pPr>
        <w:pStyle w:val="Note"/>
      </w:pPr>
      <w:r w:rsidRPr="001213F7">
        <w:t>(k)</w:t>
      </w:r>
      <w:r w:rsidRPr="001213F7">
        <w:tab/>
        <w:t xml:space="preserve">Interest rates are assumed to be 1 percentage point higher in each year of the budget and forward estimates. The fiscal impact is based on the portion of government debt that would change value due to being refinanced, as well as new debt issuance. </w:t>
      </w:r>
    </w:p>
    <w:p w14:paraId="124C6FC1" w14:textId="77777777" w:rsidR="00900469" w:rsidRPr="001213F7" w:rsidRDefault="00900469">
      <w:pPr>
        <w:pStyle w:val="Note"/>
      </w:pPr>
      <w:r w:rsidRPr="001213F7">
        <w:t>(l)</w:t>
      </w:r>
      <w:r w:rsidRPr="001213F7">
        <w:tab/>
        <w:t>The larger impact on net debt, compared with the impact on the net result from transactions, reflects that higher interest rates reduce non-cash superannuation expenses, putting downward pressure on the total increase in operating expenses, but this reduction in non-cash superannuation expenses does not affect net debt.</w:t>
      </w:r>
    </w:p>
    <w:p w14:paraId="19680A58" w14:textId="77777777" w:rsidR="00900469" w:rsidRPr="001213F7" w:rsidRDefault="00900469">
      <w:pPr>
        <w:keepLines w:val="0"/>
      </w:pPr>
      <w:r w:rsidRPr="001213F7">
        <w:br w:type="page"/>
      </w:r>
    </w:p>
    <w:p w14:paraId="47619388" w14:textId="77777777" w:rsidR="00900469" w:rsidRPr="001213F7" w:rsidRDefault="00900469"/>
    <w:p w14:paraId="05659FC7" w14:textId="77777777" w:rsidR="00900469" w:rsidRPr="001213F7" w:rsidRDefault="00900469"/>
    <w:p w14:paraId="26AF40D4" w14:textId="77777777" w:rsidR="00900469" w:rsidRPr="001213F7" w:rsidRDefault="00900469"/>
    <w:p w14:paraId="2C56CCF3" w14:textId="77777777" w:rsidR="00900469" w:rsidRPr="001213F7" w:rsidRDefault="00900469">
      <w:pPr>
        <w:pStyle w:val="ChapterHeading"/>
        <w:pageBreakBefore/>
        <w:sectPr w:rsidR="00900469" w:rsidRPr="001213F7" w:rsidSect="00900469">
          <w:footerReference w:type="even" r:id="rId68"/>
          <w:footerReference w:type="default" r:id="rId69"/>
          <w:type w:val="oddPage"/>
          <w:pgSz w:w="9979" w:h="14175"/>
          <w:pgMar w:top="1138" w:right="1138" w:bottom="1138" w:left="1138" w:header="619" w:footer="562" w:gutter="0"/>
          <w:cols w:space="708"/>
          <w:docGrid w:linePitch="360"/>
        </w:sectPr>
      </w:pPr>
      <w:bookmarkStart w:id="74" w:name="_Toc152933064"/>
      <w:bookmarkStart w:id="75" w:name="_Toc179455749"/>
    </w:p>
    <w:p w14:paraId="19014824" w14:textId="77777777" w:rsidR="00900469" w:rsidRPr="001213F7" w:rsidRDefault="00900469">
      <w:pPr>
        <w:pStyle w:val="ChapterHeading"/>
        <w:pageBreakBefore/>
      </w:pPr>
      <w:bookmarkStart w:id="76" w:name="_Toc228294222"/>
      <w:bookmarkStart w:id="77" w:name="_Toc228545313"/>
      <w:r w:rsidRPr="001213F7">
        <w:lastRenderedPageBreak/>
        <w:t>Style conventions</w:t>
      </w:r>
      <w:bookmarkEnd w:id="74"/>
      <w:bookmarkEnd w:id="75"/>
      <w:bookmarkEnd w:id="76"/>
      <w:bookmarkEnd w:id="77"/>
    </w:p>
    <w:p w14:paraId="613959F4" w14:textId="77777777" w:rsidR="00900469" w:rsidRPr="001213F7" w:rsidRDefault="00900469">
      <w:pPr>
        <w:rPr>
          <w:rFonts w:ascii="Garamond" w:eastAsia="Times New Roman" w:hAnsi="Garamond"/>
          <w:color w:val="000000"/>
          <w:lang w:eastAsia="en-AU"/>
        </w:rPr>
      </w:pPr>
      <w:r w:rsidRPr="001213F7">
        <w:rPr>
          <w:rFonts w:ascii="Garamond" w:eastAsia="Times New Roman" w:hAnsi="Garamond"/>
          <w:color w:val="000000"/>
          <w:lang w:eastAsia="en-AU"/>
        </w:rPr>
        <w:t>The source of data for tables and charts is the Department of Treasury and Finance unless specified otherwise.</w:t>
      </w:r>
    </w:p>
    <w:p w14:paraId="703CCD6A" w14:textId="77777777" w:rsidR="00900469" w:rsidRPr="001213F7" w:rsidRDefault="00900469">
      <w:pPr>
        <w:rPr>
          <w:rFonts w:ascii="Garamond" w:eastAsia="Times New Roman" w:hAnsi="Garamond"/>
          <w:color w:val="000000"/>
          <w:lang w:eastAsia="en-AU"/>
        </w:rPr>
      </w:pPr>
      <w:r w:rsidRPr="001213F7">
        <w:rPr>
          <w:rFonts w:ascii="Garamond" w:eastAsia="Times New Roman" w:hAnsi="Garamond"/>
          <w:color w:val="000000"/>
          <w:lang w:eastAsia="en-AU"/>
        </w:rPr>
        <w:t>Figures in the tables and in the text have been rounded. Discrepancies in tables between totals and sums of components reflect rounding. Percentage variations in all tables are based on the underlying unrounded amounts.</w:t>
      </w:r>
    </w:p>
    <w:p w14:paraId="67A14B4C" w14:textId="77777777" w:rsidR="00900469" w:rsidRPr="001213F7" w:rsidRDefault="00900469">
      <w:pPr>
        <w:rPr>
          <w:rFonts w:ascii="Garamond" w:eastAsia="Times New Roman" w:hAnsi="Garamond"/>
          <w:color w:val="000000"/>
          <w:lang w:eastAsia="en-AU"/>
        </w:rPr>
      </w:pPr>
      <w:r w:rsidRPr="001213F7">
        <w:rPr>
          <w:rFonts w:ascii="Garamond" w:eastAsia="Times New Roman" w:hAnsi="Garamond"/>
          <w:color w:val="000000"/>
          <w:lang w:eastAsia="en-AU"/>
        </w:rPr>
        <w:t>The notation used in the tables is as follows:</w:t>
      </w:r>
    </w:p>
    <w:p w14:paraId="31D2A31D" w14:textId="77777777" w:rsidR="00900469" w:rsidRPr="001213F7" w:rsidRDefault="00900469">
      <w:pPr>
        <w:tabs>
          <w:tab w:val="left" w:pos="851"/>
          <w:tab w:val="left" w:pos="2552"/>
        </w:tabs>
        <w:ind w:left="851"/>
        <w:rPr>
          <w:rFonts w:ascii="Garamond" w:eastAsia="Times New Roman" w:hAnsi="Garamond"/>
          <w:color w:val="000000"/>
          <w:lang w:eastAsia="en-AU"/>
        </w:rPr>
      </w:pPr>
      <w:r w:rsidRPr="001213F7">
        <w:rPr>
          <w:rFonts w:ascii="Garamond" w:eastAsia="Times New Roman" w:hAnsi="Garamond"/>
          <w:color w:val="000000"/>
          <w:lang w:eastAsia="en-AU"/>
        </w:rPr>
        <w:t>n.a.</w:t>
      </w:r>
      <w:r w:rsidRPr="001213F7">
        <w:rPr>
          <w:rFonts w:ascii="Garamond" w:eastAsia="Times New Roman" w:hAnsi="Garamond"/>
          <w:color w:val="000000"/>
          <w:lang w:eastAsia="en-AU"/>
        </w:rPr>
        <w:tab/>
        <w:t>not available or not applicable</w:t>
      </w:r>
    </w:p>
    <w:p w14:paraId="78C856B7" w14:textId="77777777" w:rsidR="00900469" w:rsidRPr="001213F7" w:rsidRDefault="00900469">
      <w:pPr>
        <w:tabs>
          <w:tab w:val="left" w:pos="851"/>
          <w:tab w:val="left" w:pos="2552"/>
        </w:tabs>
        <w:ind w:left="851"/>
        <w:rPr>
          <w:rFonts w:ascii="Garamond" w:eastAsia="Times New Roman" w:hAnsi="Garamond"/>
          <w:color w:val="000000"/>
          <w:lang w:eastAsia="en-AU"/>
        </w:rPr>
      </w:pPr>
      <w:r w:rsidRPr="001213F7">
        <w:rPr>
          <w:rFonts w:ascii="Garamond" w:eastAsia="Times New Roman" w:hAnsi="Garamond"/>
          <w:color w:val="000000"/>
          <w:lang w:eastAsia="en-AU"/>
        </w:rPr>
        <w:t>1 billion</w:t>
      </w:r>
      <w:r w:rsidRPr="001213F7">
        <w:rPr>
          <w:rFonts w:ascii="Garamond" w:eastAsia="Times New Roman" w:hAnsi="Garamond"/>
          <w:color w:val="000000"/>
          <w:lang w:eastAsia="en-AU"/>
        </w:rPr>
        <w:tab/>
        <w:t>1 000 million</w:t>
      </w:r>
    </w:p>
    <w:p w14:paraId="38B399C0" w14:textId="77777777" w:rsidR="00900469" w:rsidRPr="001213F7" w:rsidRDefault="00900469">
      <w:pPr>
        <w:tabs>
          <w:tab w:val="left" w:pos="851"/>
          <w:tab w:val="left" w:pos="2552"/>
        </w:tabs>
        <w:ind w:left="851"/>
        <w:rPr>
          <w:rFonts w:ascii="Garamond" w:eastAsia="Times New Roman" w:hAnsi="Garamond"/>
          <w:color w:val="000000"/>
          <w:lang w:eastAsia="en-AU"/>
        </w:rPr>
      </w:pPr>
      <w:r w:rsidRPr="001213F7">
        <w:rPr>
          <w:rFonts w:ascii="Garamond" w:eastAsia="Times New Roman" w:hAnsi="Garamond"/>
          <w:color w:val="000000"/>
          <w:lang w:eastAsia="en-AU"/>
        </w:rPr>
        <w:t>1 basis point</w:t>
      </w:r>
      <w:r w:rsidRPr="001213F7">
        <w:rPr>
          <w:rFonts w:ascii="Garamond" w:eastAsia="Times New Roman" w:hAnsi="Garamond"/>
          <w:color w:val="000000"/>
          <w:lang w:eastAsia="en-AU"/>
        </w:rPr>
        <w:tab/>
        <w:t>0.01 per cent</w:t>
      </w:r>
    </w:p>
    <w:p w14:paraId="5D1E2A8C" w14:textId="77777777" w:rsidR="00900469" w:rsidRPr="001213F7" w:rsidRDefault="00900469">
      <w:pPr>
        <w:tabs>
          <w:tab w:val="left" w:pos="851"/>
          <w:tab w:val="left" w:pos="2552"/>
        </w:tabs>
        <w:ind w:left="851"/>
        <w:rPr>
          <w:rFonts w:ascii="Garamond" w:eastAsia="Times New Roman" w:hAnsi="Garamond"/>
          <w:color w:val="000000"/>
          <w:lang w:eastAsia="en-AU"/>
        </w:rPr>
      </w:pPr>
      <w:r w:rsidRPr="001213F7">
        <w:rPr>
          <w:rFonts w:ascii="Garamond" w:eastAsia="Times New Roman" w:hAnsi="Garamond"/>
          <w:color w:val="000000"/>
          <w:lang w:eastAsia="en-AU"/>
        </w:rPr>
        <w:t>..</w:t>
      </w:r>
      <w:r w:rsidRPr="001213F7">
        <w:rPr>
          <w:rFonts w:ascii="Garamond" w:eastAsia="Times New Roman" w:hAnsi="Garamond"/>
          <w:color w:val="000000"/>
          <w:lang w:eastAsia="en-AU"/>
        </w:rPr>
        <w:tab/>
        <w:t>zero, or rounded to zero</w:t>
      </w:r>
    </w:p>
    <w:p w14:paraId="695327DB" w14:textId="77777777" w:rsidR="00900469" w:rsidRPr="001213F7" w:rsidRDefault="00900469">
      <w:pPr>
        <w:tabs>
          <w:tab w:val="left" w:pos="851"/>
          <w:tab w:val="left" w:pos="2552"/>
        </w:tabs>
        <w:ind w:left="851"/>
        <w:rPr>
          <w:rFonts w:ascii="Garamond" w:eastAsia="Times New Roman" w:hAnsi="Garamond"/>
          <w:color w:val="000000"/>
          <w:lang w:eastAsia="en-AU"/>
        </w:rPr>
      </w:pPr>
      <w:r w:rsidRPr="001213F7">
        <w:rPr>
          <w:rFonts w:ascii="Garamond" w:eastAsia="Times New Roman" w:hAnsi="Garamond"/>
          <w:color w:val="000000"/>
          <w:lang w:eastAsia="en-AU"/>
        </w:rPr>
        <w:t>tbc</w:t>
      </w:r>
      <w:r w:rsidRPr="001213F7">
        <w:rPr>
          <w:rFonts w:ascii="Garamond" w:eastAsia="Times New Roman" w:hAnsi="Garamond"/>
          <w:color w:val="000000"/>
          <w:lang w:eastAsia="en-AU"/>
        </w:rPr>
        <w:tab/>
        <w:t>to be confirmed</w:t>
      </w:r>
    </w:p>
    <w:p w14:paraId="362CE516" w14:textId="77777777" w:rsidR="00900469" w:rsidRPr="001213F7" w:rsidRDefault="00900469">
      <w:pPr>
        <w:tabs>
          <w:tab w:val="left" w:pos="851"/>
          <w:tab w:val="left" w:pos="2552"/>
        </w:tabs>
        <w:ind w:left="851"/>
        <w:rPr>
          <w:rFonts w:ascii="Garamond" w:eastAsia="Times New Roman" w:hAnsi="Garamond"/>
          <w:color w:val="000000"/>
          <w:lang w:eastAsia="en-AU"/>
        </w:rPr>
      </w:pPr>
      <w:r w:rsidRPr="001213F7">
        <w:rPr>
          <w:rFonts w:ascii="Garamond" w:eastAsia="Times New Roman" w:hAnsi="Garamond"/>
          <w:color w:val="000000"/>
          <w:lang w:eastAsia="en-AU"/>
        </w:rPr>
        <w:t>(x xxx.x)</w:t>
      </w:r>
      <w:r w:rsidRPr="001213F7">
        <w:rPr>
          <w:rFonts w:ascii="Garamond" w:eastAsia="Times New Roman" w:hAnsi="Garamond"/>
          <w:color w:val="000000"/>
          <w:lang w:eastAsia="en-AU"/>
        </w:rPr>
        <w:tab/>
        <w:t>negative amount</w:t>
      </w:r>
    </w:p>
    <w:p w14:paraId="735D3F60" w14:textId="77777777" w:rsidR="00900469" w:rsidRPr="001213F7" w:rsidRDefault="00900469">
      <w:pPr>
        <w:tabs>
          <w:tab w:val="left" w:pos="851"/>
          <w:tab w:val="left" w:pos="2552"/>
        </w:tabs>
        <w:ind w:left="851"/>
        <w:rPr>
          <w:rFonts w:ascii="Garamond" w:eastAsia="Times New Roman" w:hAnsi="Garamond"/>
          <w:color w:val="000000"/>
          <w:lang w:eastAsia="en-AU"/>
        </w:rPr>
      </w:pPr>
      <w:r w:rsidRPr="001213F7">
        <w:rPr>
          <w:rFonts w:ascii="Garamond" w:eastAsia="Times New Roman" w:hAnsi="Garamond"/>
          <w:color w:val="000000"/>
          <w:lang w:eastAsia="en-AU"/>
        </w:rPr>
        <w:t>x xxx.0</w:t>
      </w:r>
      <w:r w:rsidRPr="001213F7">
        <w:rPr>
          <w:rFonts w:ascii="Garamond" w:eastAsia="Times New Roman" w:hAnsi="Garamond"/>
          <w:color w:val="000000"/>
          <w:lang w:eastAsia="en-AU"/>
        </w:rPr>
        <w:tab/>
        <w:t>rounded amount</w:t>
      </w:r>
    </w:p>
    <w:p w14:paraId="5B554387" w14:textId="77777777" w:rsidR="00900469" w:rsidRPr="001213F7" w:rsidRDefault="00900469">
      <w:pPr>
        <w:rPr>
          <w:rFonts w:ascii="Garamond" w:eastAsia="Times New Roman" w:hAnsi="Garamond"/>
          <w:color w:val="000000"/>
          <w:lang w:eastAsia="en-AU"/>
        </w:rPr>
      </w:pPr>
    </w:p>
    <w:p w14:paraId="710C8368" w14:textId="77777777" w:rsidR="00900469" w:rsidRDefault="00900469">
      <w:pPr>
        <w:rPr>
          <w:rFonts w:ascii="Garamond" w:eastAsia="Times New Roman" w:hAnsi="Garamond"/>
          <w:color w:val="000000" w:themeColor="text1"/>
          <w:lang w:eastAsia="en-AU"/>
        </w:rPr>
      </w:pPr>
      <w:r w:rsidRPr="001213F7">
        <w:rPr>
          <w:rFonts w:ascii="Garamond" w:eastAsia="Times New Roman" w:hAnsi="Garamond"/>
          <w:color w:val="000000" w:themeColor="text1"/>
          <w:lang w:eastAsia="en-AU"/>
        </w:rPr>
        <w:t xml:space="preserve">Please refer to the </w:t>
      </w:r>
      <w:r w:rsidRPr="001213F7">
        <w:rPr>
          <w:rFonts w:ascii="Garamond" w:eastAsia="Times New Roman" w:hAnsi="Garamond"/>
          <w:b/>
          <w:color w:val="000000" w:themeColor="text1"/>
          <w:lang w:eastAsia="en-AU"/>
        </w:rPr>
        <w:t xml:space="preserve">Treasury and Finance glossary for budget and financial reports </w:t>
      </w:r>
      <w:r w:rsidRPr="001213F7">
        <w:rPr>
          <w:rFonts w:ascii="Garamond" w:eastAsia="Times New Roman" w:hAnsi="Garamond"/>
          <w:color w:val="000000" w:themeColor="text1"/>
          <w:lang w:eastAsia="en-AU"/>
        </w:rPr>
        <w:t xml:space="preserve">at </w:t>
      </w:r>
      <w:r w:rsidRPr="001213F7">
        <w:rPr>
          <w:lang w:eastAsia="en-AU"/>
        </w:rPr>
        <w:t>dtf.vic.gov.au</w:t>
      </w:r>
      <w:r w:rsidRPr="001213F7">
        <w:rPr>
          <w:rFonts w:ascii="Garamond" w:eastAsia="Times New Roman" w:hAnsi="Garamond"/>
          <w:color w:val="000000" w:themeColor="text1"/>
          <w:lang w:eastAsia="en-AU"/>
        </w:rPr>
        <w:t xml:space="preserve"> for additional terms and references.</w:t>
      </w:r>
    </w:p>
    <w:p w14:paraId="081A262B" w14:textId="77777777" w:rsidR="00900469" w:rsidRDefault="00900469" w:rsidP="00B630D1">
      <w:pPr>
        <w:rPr>
          <w:rFonts w:ascii="Garamond" w:eastAsia="Times New Roman" w:hAnsi="Garamond"/>
          <w:color w:val="000000" w:themeColor="text1"/>
          <w:lang w:eastAsia="en-AU"/>
        </w:rPr>
      </w:pPr>
    </w:p>
    <w:p w14:paraId="23F1E410" w14:textId="511C7A2C" w:rsidR="00D20C0A" w:rsidRDefault="00D20C0A">
      <w:pPr>
        <w:keepLines w:val="0"/>
        <w:rPr>
          <w:lang w:eastAsia="en-AU"/>
        </w:rPr>
      </w:pPr>
    </w:p>
    <w:p w14:paraId="7189DE27" w14:textId="77777777" w:rsidR="00F04E56" w:rsidRDefault="00F04E56">
      <w:pPr>
        <w:keepLines w:val="0"/>
        <w:rPr>
          <w:lang w:eastAsia="en-AU"/>
        </w:rPr>
      </w:pPr>
    </w:p>
    <w:p w14:paraId="2D3E68B6" w14:textId="77777777" w:rsidR="00F04E56" w:rsidRDefault="00F04E56" w:rsidP="00D20C0A">
      <w:pPr>
        <w:rPr>
          <w:lang w:eastAsia="en-AU"/>
        </w:rPr>
        <w:sectPr w:rsidR="00F04E56" w:rsidSect="00900469">
          <w:footerReference w:type="even" r:id="rId70"/>
          <w:footerReference w:type="default" r:id="rId71"/>
          <w:type w:val="oddPage"/>
          <w:pgSz w:w="9979" w:h="14175"/>
          <w:pgMar w:top="1134" w:right="1134" w:bottom="1134" w:left="1134" w:header="624" w:footer="567" w:gutter="0"/>
          <w:cols w:space="708"/>
          <w:docGrid w:linePitch="360"/>
        </w:sectPr>
      </w:pPr>
    </w:p>
    <w:p w14:paraId="3E7D0E3B" w14:textId="5E32A396" w:rsidR="00B630D1" w:rsidRDefault="00F04E56" w:rsidP="00D20C0A">
      <w:pPr>
        <w:rPr>
          <w:lang w:eastAsia="en-AU"/>
        </w:rPr>
      </w:pPr>
      <w:r>
        <w:rPr>
          <w:noProof/>
          <w:lang w:eastAsia="en-AU"/>
        </w:rPr>
        <w:lastRenderedPageBreak/>
        <w:drawing>
          <wp:anchor distT="0" distB="0" distL="114300" distR="114300" simplePos="0" relativeHeight="251660288" behindDoc="1" locked="0" layoutInCell="1" allowOverlap="1" wp14:anchorId="57BA91D9" wp14:editId="591AC91E">
            <wp:simplePos x="0" y="0"/>
            <wp:positionH relativeFrom="page">
              <wp:align>right</wp:align>
            </wp:positionH>
            <wp:positionV relativeFrom="paragraph">
              <wp:posOffset>-720521</wp:posOffset>
            </wp:positionV>
            <wp:extent cx="6336792" cy="9000744"/>
            <wp:effectExtent l="0" t="0" r="6985" b="0"/>
            <wp:wrapNone/>
            <wp:docPr id="1738725686" name="Picture 1" descr="Budget Paper No. 2 Strategy and Outlook back cover, 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725686" name="Picture 1" descr="Budget Paper No. 2 Strategy and Outlook back cover, grey"/>
                    <pic:cNvPicPr/>
                  </pic:nvPicPr>
                  <pic:blipFill>
                    <a:blip r:embed="rId72"/>
                    <a:stretch>
                      <a:fillRect/>
                    </a:stretch>
                  </pic:blipFill>
                  <pic:spPr>
                    <a:xfrm>
                      <a:off x="0" y="0"/>
                      <a:ext cx="6336792" cy="9000744"/>
                    </a:xfrm>
                    <a:prstGeom prst="rect">
                      <a:avLst/>
                    </a:prstGeom>
                  </pic:spPr>
                </pic:pic>
              </a:graphicData>
            </a:graphic>
            <wp14:sizeRelH relativeFrom="margin">
              <wp14:pctWidth>0</wp14:pctWidth>
            </wp14:sizeRelH>
            <wp14:sizeRelV relativeFrom="margin">
              <wp14:pctHeight>0</wp14:pctHeight>
            </wp14:sizeRelV>
          </wp:anchor>
        </w:drawing>
      </w:r>
    </w:p>
    <w:sectPr w:rsidR="00B630D1" w:rsidSect="00F04E56">
      <w:footerReference w:type="even" r:id="rId73"/>
      <w:type w:val="evenPage"/>
      <w:pgSz w:w="9979" w:h="14175"/>
      <w:pgMar w:top="1134" w:right="1134" w:bottom="1134" w:left="1134" w:header="624"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13688A" w14:textId="77777777" w:rsidR="00365918" w:rsidRDefault="00365918" w:rsidP="00716810">
      <w:r>
        <w:separator/>
      </w:r>
    </w:p>
  </w:endnote>
  <w:endnote w:type="continuationSeparator" w:id="0">
    <w:p w14:paraId="3918167B" w14:textId="77777777" w:rsidR="00365918" w:rsidRDefault="00365918" w:rsidP="00716810">
      <w:r>
        <w:continuationSeparator/>
      </w:r>
    </w:p>
  </w:endnote>
  <w:endnote w:type="continuationNotice" w:id="1">
    <w:p w14:paraId="1DA09386" w14:textId="77777777" w:rsidR="00365918" w:rsidRDefault="00365918">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VIC">
    <w:panose1 w:val="00000500000000000000"/>
    <w:charset w:val="00"/>
    <w:family w:val="modern"/>
    <w:notTrueType/>
    <w:pitch w:val="variable"/>
    <w:sig w:usb0="00000007" w:usb1="00000000" w:usb2="00000000" w:usb3="00000000" w:csb0="00000093" w:csb1="00000000"/>
  </w:font>
  <w:font w:name="Garamond">
    <w:altName w:val="Cambria"/>
    <w:panose1 w:val="020204040303010108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37BBA3" w14:textId="77777777" w:rsidR="00FD45A0" w:rsidRDefault="00FD45A0" w:rsidP="005F185F">
    <w:pPr>
      <w:pStyle w:val="FooterEvenPage"/>
    </w:pPr>
    <w:r>
      <w:t>ii</w:t>
    </w:r>
    <w:r>
      <w:tab/>
    </w:r>
    <w:r>
      <w:tab/>
      <w:t>2025-26 Service Delivery</w:t>
    </w:r>
  </w:p>
  <w:p w14:paraId="722619E1" w14:textId="77777777" w:rsidR="00FD45A0" w:rsidRDefault="00FD45A0"/>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1625EC" w14:textId="163791AC" w:rsidR="00900469" w:rsidRDefault="00900469" w:rsidP="008161D6">
    <w:pPr>
      <w:pStyle w:val="FooterEvenPage"/>
    </w:pPr>
    <w:r>
      <w:fldChar w:fldCharType="begin"/>
    </w:r>
    <w:r>
      <w:instrText xml:space="preserve"> page </w:instrText>
    </w:r>
    <w:r>
      <w:fldChar w:fldCharType="separate"/>
    </w:r>
    <w:r>
      <w:t>40</w:t>
    </w:r>
    <w:r>
      <w:fldChar w:fldCharType="end"/>
    </w:r>
    <w:r w:rsidRPr="004315FD">
      <w:rPr>
        <w:b/>
        <w:bCs/>
      </w:rPr>
      <w:tab/>
    </w:r>
    <w:r w:rsidRPr="00E317D2">
      <w:t xml:space="preserve">Chapter </w:t>
    </w:r>
    <w:r>
      <w:t>3</w:t>
    </w:r>
    <w:r>
      <w:rPr>
        <w:noProof/>
      </w:rPr>
      <w:tab/>
    </w:r>
    <w:fldSimple w:instr="TITLE   \* MERGEFORMAT">
      <w:r w:rsidR="00F04E56">
        <w:t>2026-27 Strategy and Outlook</w:t>
      </w:r>
    </w:fldSimple>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ACF3C0" w14:textId="58CBEF21" w:rsidR="00900469" w:rsidRDefault="00F04E56" w:rsidP="004E5D3F">
    <w:pPr>
      <w:pStyle w:val="FooterOddPage"/>
    </w:pPr>
    <w:fldSimple w:instr="TITLE   \* MERGEFORMAT">
      <w:r>
        <w:t>2026-27 Strategy and Outlook</w:t>
      </w:r>
    </w:fldSimple>
    <w:r w:rsidR="00900469" w:rsidRPr="00124932">
      <w:t xml:space="preserve"> </w:t>
    </w:r>
    <w:r w:rsidR="00900469">
      <w:tab/>
    </w:r>
    <w:r w:rsidR="00900469" w:rsidRPr="00E317D2">
      <w:t xml:space="preserve">Chapter </w:t>
    </w:r>
    <w:r w:rsidR="00900469">
      <w:t>3</w:t>
    </w:r>
    <w:r w:rsidR="00900469">
      <w:tab/>
    </w:r>
    <w:r w:rsidR="00900469">
      <w:fldChar w:fldCharType="begin"/>
    </w:r>
    <w:r w:rsidR="00900469">
      <w:instrText xml:space="preserve"> PAGE   \* MERGEFORMAT </w:instrText>
    </w:r>
    <w:r w:rsidR="00900469">
      <w:fldChar w:fldCharType="separate"/>
    </w:r>
    <w:r w:rsidR="00900469">
      <w:rPr>
        <w:noProof/>
      </w:rPr>
      <w:t>5</w:t>
    </w:r>
    <w:r w:rsidR="00900469">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101AA1" w14:textId="2C824642" w:rsidR="00732BC0" w:rsidRDefault="00732BC0" w:rsidP="008161D6">
    <w:pPr>
      <w:pStyle w:val="FooterEvenPage"/>
    </w:pPr>
    <w:r>
      <w:fldChar w:fldCharType="begin"/>
    </w:r>
    <w:r>
      <w:instrText xml:space="preserve"> page </w:instrText>
    </w:r>
    <w:r>
      <w:fldChar w:fldCharType="separate"/>
    </w:r>
    <w:r>
      <w:t>40</w:t>
    </w:r>
    <w:r>
      <w:fldChar w:fldCharType="end"/>
    </w:r>
    <w:r w:rsidRPr="004315FD">
      <w:rPr>
        <w:b/>
        <w:bCs/>
      </w:rPr>
      <w:tab/>
    </w:r>
    <w:r w:rsidRPr="00E317D2">
      <w:t xml:space="preserve">Chapter </w:t>
    </w:r>
    <w:r>
      <w:t>4</w:t>
    </w:r>
    <w:r>
      <w:rPr>
        <w:noProof/>
      </w:rPr>
      <w:tab/>
    </w:r>
    <w:fldSimple w:instr="TITLE   \* MERGEFORMAT">
      <w:r w:rsidR="00F04E56">
        <w:t>2026-27 Strategy and Outlook</w:t>
      </w:r>
    </w:fldSimple>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BA385C" w14:textId="2C17C6BD" w:rsidR="00732BC0" w:rsidRDefault="00F04E56" w:rsidP="004E5D3F">
    <w:pPr>
      <w:pStyle w:val="FooterOddPage"/>
    </w:pPr>
    <w:fldSimple w:instr="TITLE   \* MERGEFORMAT">
      <w:r>
        <w:t>2026-27 Strategy and Outlook</w:t>
      </w:r>
    </w:fldSimple>
    <w:r w:rsidR="00732BC0" w:rsidRPr="00124932">
      <w:t xml:space="preserve"> </w:t>
    </w:r>
    <w:r w:rsidR="00732BC0">
      <w:tab/>
    </w:r>
    <w:r w:rsidR="00732BC0" w:rsidRPr="00E317D2">
      <w:t xml:space="preserve">Chapter </w:t>
    </w:r>
    <w:r w:rsidR="00732BC0">
      <w:t>4</w:t>
    </w:r>
    <w:r w:rsidR="00732BC0">
      <w:tab/>
    </w:r>
    <w:r w:rsidR="00732BC0">
      <w:fldChar w:fldCharType="begin"/>
    </w:r>
    <w:r w:rsidR="00732BC0">
      <w:instrText xml:space="preserve"> PAGE   \* MERGEFORMAT </w:instrText>
    </w:r>
    <w:r w:rsidR="00732BC0">
      <w:fldChar w:fldCharType="separate"/>
    </w:r>
    <w:r w:rsidR="00732BC0">
      <w:rPr>
        <w:noProof/>
      </w:rPr>
      <w:t>5</w:t>
    </w:r>
    <w:r w:rsidR="00732BC0">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DA35C" w14:textId="78285831" w:rsidR="00900469" w:rsidRDefault="00900469" w:rsidP="008161D6">
    <w:pPr>
      <w:pStyle w:val="FooterEvenPage"/>
    </w:pPr>
    <w:r>
      <w:fldChar w:fldCharType="begin"/>
    </w:r>
    <w:r>
      <w:instrText xml:space="preserve"> page </w:instrText>
    </w:r>
    <w:r>
      <w:fldChar w:fldCharType="separate"/>
    </w:r>
    <w:r>
      <w:t>40</w:t>
    </w:r>
    <w:r>
      <w:fldChar w:fldCharType="end"/>
    </w:r>
    <w:r w:rsidRPr="004315FD">
      <w:rPr>
        <w:b/>
        <w:bCs/>
      </w:rPr>
      <w:tab/>
    </w:r>
    <w:r w:rsidRPr="00E317D2">
      <w:t xml:space="preserve">Chapter </w:t>
    </w:r>
    <w:r w:rsidR="00FA7231">
      <w:t>5</w:t>
    </w:r>
    <w:r>
      <w:rPr>
        <w:noProof/>
      </w:rPr>
      <w:tab/>
    </w:r>
    <w:fldSimple w:instr="TITLE   \* MERGEFORMAT">
      <w:r w:rsidR="00F04E56">
        <w:t>2026-27 Strategy and Outlook</w:t>
      </w:r>
    </w:fldSimple>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17E475" w14:textId="3CADA490" w:rsidR="00900469" w:rsidRDefault="00F04E56" w:rsidP="004E5D3F">
    <w:pPr>
      <w:pStyle w:val="FooterOddPage"/>
    </w:pPr>
    <w:fldSimple w:instr="TITLE   \* MERGEFORMAT">
      <w:r>
        <w:t>2026-27 Strategy and Outlook</w:t>
      </w:r>
    </w:fldSimple>
    <w:r w:rsidR="00900469" w:rsidRPr="00124932">
      <w:t xml:space="preserve"> </w:t>
    </w:r>
    <w:r w:rsidR="00900469">
      <w:tab/>
    </w:r>
    <w:r w:rsidR="00900469" w:rsidRPr="00E317D2">
      <w:t xml:space="preserve">Chapter </w:t>
    </w:r>
    <w:r w:rsidR="00FA7231">
      <w:t>5</w:t>
    </w:r>
    <w:r w:rsidR="00900469">
      <w:tab/>
    </w:r>
    <w:r w:rsidR="00900469">
      <w:fldChar w:fldCharType="begin"/>
    </w:r>
    <w:r w:rsidR="00900469">
      <w:instrText xml:space="preserve"> PAGE   \* MERGEFORMAT </w:instrText>
    </w:r>
    <w:r w:rsidR="00900469">
      <w:fldChar w:fldCharType="separate"/>
    </w:r>
    <w:r w:rsidR="00900469">
      <w:rPr>
        <w:noProof/>
      </w:rPr>
      <w:t>5</w:t>
    </w:r>
    <w:r w:rsidR="00900469">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97B959" w14:textId="443010E7" w:rsidR="00732BC0" w:rsidRDefault="00732BC0" w:rsidP="008161D6">
    <w:pPr>
      <w:pStyle w:val="FooterEvenPage"/>
    </w:pPr>
    <w:r>
      <w:fldChar w:fldCharType="begin"/>
    </w:r>
    <w:r>
      <w:instrText xml:space="preserve"> page </w:instrText>
    </w:r>
    <w:r>
      <w:fldChar w:fldCharType="separate"/>
    </w:r>
    <w:r>
      <w:t>40</w:t>
    </w:r>
    <w:r>
      <w:fldChar w:fldCharType="end"/>
    </w:r>
    <w:r w:rsidRPr="004315FD">
      <w:rPr>
        <w:b/>
        <w:bCs/>
      </w:rPr>
      <w:tab/>
    </w:r>
    <w:r w:rsidRPr="00E317D2">
      <w:t xml:space="preserve">Chapter </w:t>
    </w:r>
    <w:r>
      <w:t>6</w:t>
    </w:r>
    <w:r>
      <w:rPr>
        <w:noProof/>
      </w:rPr>
      <w:tab/>
    </w:r>
    <w:fldSimple w:instr="TITLE   \* MERGEFORMAT">
      <w:r w:rsidR="00F04E56">
        <w:t>2026-27 Strategy and Outlook</w:t>
      </w:r>
    </w:fldSimple>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2122DF" w14:textId="7BB2F9C0" w:rsidR="00732BC0" w:rsidRDefault="00F04E56" w:rsidP="004E5D3F">
    <w:pPr>
      <w:pStyle w:val="FooterOddPage"/>
    </w:pPr>
    <w:fldSimple w:instr="TITLE   \* MERGEFORMAT">
      <w:r>
        <w:t>2026-27 Strategy and Outlook</w:t>
      </w:r>
    </w:fldSimple>
    <w:r w:rsidR="00732BC0" w:rsidRPr="00124932">
      <w:t xml:space="preserve"> </w:t>
    </w:r>
    <w:r w:rsidR="00732BC0">
      <w:tab/>
    </w:r>
    <w:r w:rsidR="00732BC0" w:rsidRPr="00E317D2">
      <w:t xml:space="preserve">Chapter </w:t>
    </w:r>
    <w:r w:rsidR="00732BC0">
      <w:t>6</w:t>
    </w:r>
    <w:r w:rsidR="00732BC0">
      <w:tab/>
    </w:r>
    <w:r w:rsidR="00732BC0">
      <w:fldChar w:fldCharType="begin"/>
    </w:r>
    <w:r w:rsidR="00732BC0">
      <w:instrText xml:space="preserve"> PAGE   \* MERGEFORMAT </w:instrText>
    </w:r>
    <w:r w:rsidR="00732BC0">
      <w:fldChar w:fldCharType="separate"/>
    </w:r>
    <w:r w:rsidR="00732BC0">
      <w:rPr>
        <w:noProof/>
      </w:rPr>
      <w:t>5</w:t>
    </w:r>
    <w:r w:rsidR="00732BC0">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01D16B" w14:textId="33CB98C4" w:rsidR="00900469" w:rsidRDefault="00900469" w:rsidP="008161D6">
    <w:pPr>
      <w:pStyle w:val="FooterEvenPage"/>
    </w:pPr>
    <w:r>
      <w:fldChar w:fldCharType="begin"/>
    </w:r>
    <w:r>
      <w:instrText xml:space="preserve"> page </w:instrText>
    </w:r>
    <w:r>
      <w:fldChar w:fldCharType="separate"/>
    </w:r>
    <w:r>
      <w:t>40</w:t>
    </w:r>
    <w:r>
      <w:fldChar w:fldCharType="end"/>
    </w:r>
    <w:r w:rsidRPr="004315FD">
      <w:rPr>
        <w:b/>
        <w:bCs/>
      </w:rPr>
      <w:tab/>
    </w:r>
    <w:r w:rsidR="00D20C0A">
      <w:t>Style conventions</w:t>
    </w:r>
    <w:r>
      <w:rPr>
        <w:noProof/>
      </w:rPr>
      <w:tab/>
    </w:r>
    <w:fldSimple w:instr="TITLE   \* MERGEFORMAT">
      <w:r w:rsidR="00F04E56">
        <w:t>2026-27 Strategy and Outlook</w:t>
      </w:r>
    </w:fldSimple>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29819F" w14:textId="1F7D69B7" w:rsidR="00900469" w:rsidRDefault="00F04E56" w:rsidP="004E5D3F">
    <w:pPr>
      <w:pStyle w:val="FooterOddPage"/>
    </w:pPr>
    <w:fldSimple w:instr="TITLE   \* MERGEFORMAT">
      <w:r>
        <w:t>2026-27 Strategy and Outlook</w:t>
      </w:r>
    </w:fldSimple>
    <w:r w:rsidR="00900469" w:rsidRPr="00124932">
      <w:t xml:space="preserve"> </w:t>
    </w:r>
    <w:r w:rsidR="00900469">
      <w:tab/>
      <w:t>Style conventions</w:t>
    </w:r>
    <w:r w:rsidR="00900469">
      <w:tab/>
    </w:r>
    <w:r w:rsidR="00900469">
      <w:fldChar w:fldCharType="begin"/>
    </w:r>
    <w:r w:rsidR="00900469">
      <w:instrText xml:space="preserve"> PAGE   \* MERGEFORMAT </w:instrText>
    </w:r>
    <w:r w:rsidR="00900469">
      <w:fldChar w:fldCharType="separate"/>
    </w:r>
    <w:r w:rsidR="00900469">
      <w:rPr>
        <w:noProof/>
      </w:rPr>
      <w:t>5</w:t>
    </w:r>
    <w:r w:rsidR="00900469">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9C53CA" w14:textId="77777777" w:rsidR="00E12F4B" w:rsidRPr="00E12F4B" w:rsidRDefault="00E12F4B" w:rsidP="00E12F4B">
    <w:pPr>
      <w:pStyle w:val="Footer"/>
      <w:pBdr>
        <w:top w:val="none" w:sz="0" w:space="0" w:color="auto"/>
      </w:pBd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CC838D" w14:textId="0FDF8B3F" w:rsidR="00F04E56" w:rsidRPr="00F04E56" w:rsidRDefault="00F04E56" w:rsidP="00F04E56">
    <w:pPr>
      <w:pStyle w:val="Footer"/>
      <w:pBdr>
        <w:top w:val="none" w:sz="0" w:space="0" w:color="auto"/>
      </w:pBd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8E098F" w14:textId="36D8EC46" w:rsidR="003022E1" w:rsidRPr="00E12F4B" w:rsidRDefault="003022E1" w:rsidP="00E12F4B">
    <w:pPr>
      <w:pStyle w:val="Footer"/>
      <w:pBdr>
        <w:top w:val="none" w:sz="0" w:space="0" w:color="auto"/>
      </w:pBd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139F1C" w14:textId="77777777" w:rsidR="00C87FDE" w:rsidRPr="00934A43" w:rsidRDefault="00C87FDE" w:rsidP="00C87FDE">
    <w:pPr>
      <w:pStyle w:val="FooterOddPage"/>
    </w:pPr>
    <w:r>
      <w:fldChar w:fldCharType="begin"/>
    </w:r>
    <w:r>
      <w:instrText xml:space="preserve"> page </w:instrText>
    </w:r>
    <w:r>
      <w:fldChar w:fldCharType="separate"/>
    </w:r>
    <w:r>
      <w:t>i</w:t>
    </w:r>
    <w: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C633B3" w14:textId="47A0708E" w:rsidR="00934A43" w:rsidRPr="00934A43" w:rsidRDefault="00D00A79" w:rsidP="00ED1477">
    <w:pPr>
      <w:pStyle w:val="FooterOddPage"/>
      <w:jc w:val="right"/>
    </w:pPr>
    <w:r>
      <w:fldChar w:fldCharType="begin"/>
    </w:r>
    <w:r>
      <w:instrText xml:space="preserve"> page </w:instrText>
    </w:r>
    <w:r>
      <w:fldChar w:fldCharType="separate"/>
    </w:r>
    <w:r>
      <w:rPr>
        <w:noProof/>
      </w:rPr>
      <w:t>1</w:t>
    </w:r>
    <w: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3C7499" w14:textId="12FC9E76" w:rsidR="00900469" w:rsidRDefault="00900469" w:rsidP="008161D6">
    <w:pPr>
      <w:pStyle w:val="FooterEvenPage"/>
    </w:pPr>
    <w:r>
      <w:fldChar w:fldCharType="begin"/>
    </w:r>
    <w:r>
      <w:instrText xml:space="preserve"> page </w:instrText>
    </w:r>
    <w:r>
      <w:fldChar w:fldCharType="separate"/>
    </w:r>
    <w:r>
      <w:t>40</w:t>
    </w:r>
    <w:r>
      <w:fldChar w:fldCharType="end"/>
    </w:r>
    <w:r w:rsidRPr="004315FD">
      <w:rPr>
        <w:b/>
        <w:bCs/>
      </w:rPr>
      <w:tab/>
    </w:r>
    <w:r w:rsidRPr="00E317D2">
      <w:t>Chapter 1</w:t>
    </w:r>
    <w:r>
      <w:rPr>
        <w:noProof/>
      </w:rPr>
      <w:tab/>
    </w:r>
    <w:fldSimple w:instr="TITLE   \* MERGEFORMAT">
      <w:r w:rsidR="00F04E56">
        <w:t>2026-27 Strategy and Outlook</w:t>
      </w:r>
    </w:fldSimple>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EF5DD7" w14:textId="42ECE6CC" w:rsidR="00900469" w:rsidRDefault="00F04E56" w:rsidP="00CD2E85">
    <w:pPr>
      <w:pStyle w:val="FooterOddPage"/>
    </w:pPr>
    <w:fldSimple w:instr="TITLE   \* MERGEFORMAT">
      <w:r>
        <w:t>2026-27 Strategy and Outlook</w:t>
      </w:r>
    </w:fldSimple>
    <w:r w:rsidR="00900469" w:rsidRPr="004315FD">
      <w:rPr>
        <w:b/>
        <w:bCs/>
      </w:rPr>
      <w:tab/>
    </w:r>
    <w:r w:rsidR="00900469" w:rsidRPr="00E317D2">
      <w:t>Chapter 1</w:t>
    </w:r>
    <w:r w:rsidR="00900469">
      <w:tab/>
    </w:r>
    <w:r w:rsidR="00900469">
      <w:fldChar w:fldCharType="begin"/>
    </w:r>
    <w:r w:rsidR="00900469">
      <w:instrText xml:space="preserve"> PAGE   \* MERGEFORMAT </w:instrText>
    </w:r>
    <w:r w:rsidR="00900469">
      <w:fldChar w:fldCharType="separate"/>
    </w:r>
    <w:r w:rsidR="00900469">
      <w:rPr>
        <w:noProof/>
      </w:rPr>
      <w:t>5</w:t>
    </w:r>
    <w:r w:rsidR="00900469">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81F7B3" w14:textId="757FD82A" w:rsidR="00900469" w:rsidRDefault="00900469" w:rsidP="008161D6">
    <w:pPr>
      <w:pStyle w:val="FooterEvenPage"/>
    </w:pPr>
    <w:r>
      <w:fldChar w:fldCharType="begin"/>
    </w:r>
    <w:r>
      <w:instrText xml:space="preserve"> page </w:instrText>
    </w:r>
    <w:r>
      <w:fldChar w:fldCharType="separate"/>
    </w:r>
    <w:r>
      <w:t>40</w:t>
    </w:r>
    <w:r>
      <w:fldChar w:fldCharType="end"/>
    </w:r>
    <w:r w:rsidRPr="004315FD">
      <w:rPr>
        <w:b/>
        <w:bCs/>
      </w:rPr>
      <w:tab/>
    </w:r>
    <w:r w:rsidRPr="00E317D2">
      <w:t xml:space="preserve">Chapter </w:t>
    </w:r>
    <w:r>
      <w:t>2</w:t>
    </w:r>
    <w:r>
      <w:rPr>
        <w:noProof/>
      </w:rPr>
      <w:tab/>
    </w:r>
    <w:fldSimple w:instr="TITLE   \* MERGEFORMAT">
      <w:r w:rsidR="00F04E56">
        <w:t>2026-27 Strategy and Outlook</w:t>
      </w:r>
    </w:fldSimple>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7B06E5" w14:textId="172A3980" w:rsidR="00900469" w:rsidRDefault="00F04E56" w:rsidP="004E5D3F">
    <w:pPr>
      <w:pStyle w:val="FooterOddPage"/>
    </w:pPr>
    <w:fldSimple w:instr="TITLE   \* MERGEFORMAT">
      <w:r>
        <w:t>2026-27 Strategy and Outlook</w:t>
      </w:r>
    </w:fldSimple>
    <w:r w:rsidR="00900469" w:rsidRPr="00124932">
      <w:t xml:space="preserve"> </w:t>
    </w:r>
    <w:r w:rsidR="00900469">
      <w:tab/>
    </w:r>
    <w:r w:rsidR="00900469" w:rsidRPr="00E317D2">
      <w:t xml:space="preserve">Chapter </w:t>
    </w:r>
    <w:r w:rsidR="00900469">
      <w:t>2</w:t>
    </w:r>
    <w:r w:rsidR="00900469">
      <w:tab/>
    </w:r>
    <w:r w:rsidR="00900469">
      <w:fldChar w:fldCharType="begin"/>
    </w:r>
    <w:r w:rsidR="00900469">
      <w:instrText xml:space="preserve"> PAGE   \* MERGEFORMAT </w:instrText>
    </w:r>
    <w:r w:rsidR="00900469">
      <w:fldChar w:fldCharType="separate"/>
    </w:r>
    <w:r w:rsidR="00900469">
      <w:rPr>
        <w:noProof/>
      </w:rPr>
      <w:t>5</w:t>
    </w:r>
    <w:r w:rsidR="00900469">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A6EC54" w14:textId="77777777" w:rsidR="00365918" w:rsidRDefault="00365918" w:rsidP="00716810">
      <w:r>
        <w:separator/>
      </w:r>
    </w:p>
  </w:footnote>
  <w:footnote w:type="continuationSeparator" w:id="0">
    <w:p w14:paraId="4E1BB512" w14:textId="77777777" w:rsidR="00365918" w:rsidRDefault="00365918" w:rsidP="00716810">
      <w:r>
        <w:continuationSeparator/>
      </w:r>
    </w:p>
  </w:footnote>
  <w:footnote w:type="continuationNotice" w:id="1">
    <w:p w14:paraId="12EB2867" w14:textId="77777777" w:rsidR="00365918" w:rsidRDefault="00365918">
      <w:pPr>
        <w:spacing w:before="0"/>
      </w:pPr>
    </w:p>
  </w:footnote>
  <w:footnote w:id="2">
    <w:p w14:paraId="056B56F9" w14:textId="77777777" w:rsidR="00900469" w:rsidRPr="00C4754A" w:rsidRDefault="00900469">
      <w:pPr>
        <w:pStyle w:val="FootnoteText"/>
        <w:rPr>
          <w:i/>
          <w:iCs/>
        </w:rPr>
      </w:pPr>
      <w:r>
        <w:rPr>
          <w:rStyle w:val="FootnoteReference"/>
        </w:rPr>
        <w:footnoteRef/>
      </w:r>
      <w:r>
        <w:t xml:space="preserve"> </w:t>
      </w:r>
      <w:r w:rsidRPr="00C71AB4">
        <w:t xml:space="preserve">The RBA’s February </w:t>
      </w:r>
      <w:r w:rsidRPr="001D2A0F">
        <w:rPr>
          <w:i/>
        </w:rPr>
        <w:t>Statement on Monetary Policy</w:t>
      </w:r>
      <w:r w:rsidRPr="00C71AB4">
        <w:t xml:space="preserve"> was published before the initial US–Israeli </w:t>
      </w:r>
      <w:r>
        <w:t>strikes</w:t>
      </w:r>
      <w:r w:rsidRPr="00C71AB4">
        <w:t xml:space="preserve"> on Iran on 28 February.</w:t>
      </w:r>
      <w:r w:rsidRPr="00C4754A">
        <w:rPr>
          <w:i/>
          <w:iCs/>
        </w:rPr>
        <w:t xml:space="preserve"> </w:t>
      </w:r>
    </w:p>
  </w:footnote>
  <w:footnote w:id="3">
    <w:p w14:paraId="01F438A5" w14:textId="77777777" w:rsidR="00900469" w:rsidRPr="00F9018B" w:rsidRDefault="00900469">
      <w:pPr>
        <w:pStyle w:val="FootnoteText"/>
      </w:pPr>
      <w:r>
        <w:rPr>
          <w:rStyle w:val="FootnoteReference"/>
        </w:rPr>
        <w:footnoteRef/>
      </w:r>
      <w:r>
        <w:t xml:space="preserve"> </w:t>
      </w:r>
      <w:r w:rsidRPr="00F9018B">
        <w:t>The Department of Treasury and Finance maintains a set of elasticities covering the relationships between major economic parameters and revenue and expenditure lines, including superannuation, and dividends and income tax equivalents from the public financial and non-financial corporations.</w:t>
      </w:r>
    </w:p>
  </w:footnote>
  <w:footnote w:id="4">
    <w:p w14:paraId="112DCF89" w14:textId="77777777" w:rsidR="00900469" w:rsidRPr="009D1076" w:rsidRDefault="00900469">
      <w:pPr>
        <w:pStyle w:val="FootnoteText"/>
      </w:pPr>
      <w:r>
        <w:rPr>
          <w:rStyle w:val="FootnoteReference"/>
        </w:rPr>
        <w:footnoteRef/>
      </w:r>
      <w:r>
        <w:t xml:space="preserve"> </w:t>
      </w:r>
      <w:r w:rsidRPr="000655A9">
        <w:t xml:space="preserve">Commonwealth Treasury (2023), </w:t>
      </w:r>
      <w:r w:rsidRPr="00941D60">
        <w:rPr>
          <w:i/>
        </w:rPr>
        <w:t>Working Future: The Australian Government’s White Paper on Jobs and Opportunities</w:t>
      </w:r>
      <w:r>
        <w:t xml:space="preserve">; Reserve Bank of Australia (2019), </w:t>
      </w:r>
      <w:r w:rsidRPr="00247E9D">
        <w:rPr>
          <w:i/>
        </w:rPr>
        <w:t>Watching the Invisibles</w:t>
      </w:r>
      <w:r>
        <w:t>.</w:t>
      </w:r>
    </w:p>
  </w:footnote>
  <w:footnote w:id="5">
    <w:p w14:paraId="257F7A17" w14:textId="16F69F75" w:rsidR="00900469" w:rsidRPr="001F3FF9" w:rsidRDefault="00900469">
      <w:pPr>
        <w:pStyle w:val="FootnoteText"/>
      </w:pPr>
      <w:r>
        <w:rPr>
          <w:rStyle w:val="FootnoteReference"/>
        </w:rPr>
        <w:footnoteRef/>
      </w:r>
      <w:r>
        <w:t xml:space="preserve"> </w:t>
      </w:r>
      <w:r w:rsidRPr="0035089C">
        <w:t>Reserve Bank of Australia (202</w:t>
      </w:r>
      <w:r>
        <w:t>6</w:t>
      </w:r>
      <w:r w:rsidRPr="0035089C">
        <w:t xml:space="preserve">), </w:t>
      </w:r>
      <w:r w:rsidRPr="007D1CF0">
        <w:rPr>
          <w:i/>
        </w:rPr>
        <w:t>Update on the RBA’s Approach to Assessing Full Employment</w:t>
      </w:r>
      <w:r>
        <w:t xml:space="preserve">; Commonwealth Treasury (2024), </w:t>
      </w:r>
      <w:r w:rsidRPr="007D1CF0">
        <w:rPr>
          <w:i/>
        </w:rPr>
        <w:t>Opening statement to the Economic Legislation Committee</w:t>
      </w:r>
      <w:r w:rsidR="00DE5E62" w:rsidRPr="00DE5E62">
        <w:rPr>
          <w:iCs/>
        </w:rPr>
        <w:t>.</w:t>
      </w:r>
    </w:p>
  </w:footnote>
  <w:footnote w:id="6">
    <w:p w14:paraId="267B7B21" w14:textId="0E5013AA" w:rsidR="00900469" w:rsidRPr="00F21BA2" w:rsidRDefault="00900469">
      <w:pPr>
        <w:pStyle w:val="FootnoteText"/>
      </w:pPr>
      <w:r>
        <w:rPr>
          <w:rStyle w:val="FootnoteReference"/>
        </w:rPr>
        <w:footnoteRef/>
      </w:r>
      <w:r>
        <w:t xml:space="preserve"> Commonwealth Treasury (2025), </w:t>
      </w:r>
      <w:r w:rsidRPr="00FA6B59">
        <w:rPr>
          <w:i/>
        </w:rPr>
        <w:t>Mid-Year Economic and Fiscal Outlook 2025-26</w:t>
      </w:r>
      <w:r w:rsidR="00DE5E62" w:rsidRPr="00DE5E62">
        <w:rPr>
          <w:iCs/>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0"/>
    <w:multiLevelType w:val="singleLevel"/>
    <w:tmpl w:val="A5146682"/>
    <w:lvl w:ilvl="0">
      <w:start w:val="1"/>
      <w:numFmt w:val="bullet"/>
      <w:pStyle w:val="ListBullet5"/>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8CAE8114"/>
    <w:styleLink w:val="ListStyle-Number"/>
    <w:lvl w:ilvl="0">
      <w:start w:val="1"/>
      <w:numFmt w:val="bullet"/>
      <w:pStyle w:val="ListBullet4"/>
      <w:lvlText w:val=""/>
      <w:lvlJc w:val="left"/>
      <w:pPr>
        <w:tabs>
          <w:tab w:val="num" w:pos="1209"/>
        </w:tabs>
        <w:ind w:left="1209" w:hanging="360"/>
      </w:pPr>
      <w:rPr>
        <w:rFonts w:ascii="Symbol" w:hAnsi="Symbol" w:hint="default"/>
      </w:rPr>
    </w:lvl>
  </w:abstractNum>
  <w:abstractNum w:abstractNumId="2" w15:restartNumberingAfterBreak="0">
    <w:nsid w:val="17E55A56"/>
    <w:multiLevelType w:val="multilevel"/>
    <w:tmpl w:val="D8F25676"/>
    <w:numStyleLink w:val="ListStyle-Bullet"/>
  </w:abstractNum>
  <w:abstractNum w:abstractNumId="3" w15:restartNumberingAfterBreak="0">
    <w:nsid w:val="22345A6E"/>
    <w:multiLevelType w:val="hybridMultilevel"/>
    <w:tmpl w:val="0766139C"/>
    <w:styleLink w:val="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60971D0"/>
    <w:multiLevelType w:val="hybridMultilevel"/>
    <w:tmpl w:val="4370B10E"/>
    <w:lvl w:ilvl="0" w:tplc="FAA4FE50">
      <w:start w:val="1"/>
      <w:numFmt w:val="bullet"/>
      <w:lvlText w:val=""/>
      <w:lvlJc w:val="left"/>
      <w:pPr>
        <w:ind w:left="288" w:hanging="288"/>
      </w:pPr>
      <w:rPr>
        <w:rFonts w:ascii="Symbol" w:hAnsi="Symbol" w:hint="default"/>
        <w:color w:val="auto"/>
        <w:sz w:val="20"/>
        <w:szCs w:val="20"/>
      </w:rPr>
    </w:lvl>
    <w:lvl w:ilvl="1" w:tplc="0C090003">
      <w:start w:val="1"/>
      <w:numFmt w:val="bullet"/>
      <w:lvlText w:val="o"/>
      <w:lvlJc w:val="left"/>
      <w:pPr>
        <w:ind w:left="2150" w:hanging="360"/>
      </w:pPr>
      <w:rPr>
        <w:rFonts w:ascii="Courier New" w:hAnsi="Courier New" w:cs="Courier New" w:hint="default"/>
      </w:rPr>
    </w:lvl>
    <w:lvl w:ilvl="2" w:tplc="0C090005" w:tentative="1">
      <w:start w:val="1"/>
      <w:numFmt w:val="bullet"/>
      <w:lvlText w:val=""/>
      <w:lvlJc w:val="left"/>
      <w:pPr>
        <w:ind w:left="2870" w:hanging="360"/>
      </w:pPr>
      <w:rPr>
        <w:rFonts w:ascii="Wingdings" w:hAnsi="Wingdings" w:hint="default"/>
      </w:rPr>
    </w:lvl>
    <w:lvl w:ilvl="3" w:tplc="0C090001" w:tentative="1">
      <w:start w:val="1"/>
      <w:numFmt w:val="bullet"/>
      <w:lvlText w:val=""/>
      <w:lvlJc w:val="left"/>
      <w:pPr>
        <w:ind w:left="3590" w:hanging="360"/>
      </w:pPr>
      <w:rPr>
        <w:rFonts w:ascii="Symbol" w:hAnsi="Symbol" w:hint="default"/>
      </w:rPr>
    </w:lvl>
    <w:lvl w:ilvl="4" w:tplc="0C090003" w:tentative="1">
      <w:start w:val="1"/>
      <w:numFmt w:val="bullet"/>
      <w:lvlText w:val="o"/>
      <w:lvlJc w:val="left"/>
      <w:pPr>
        <w:ind w:left="4310" w:hanging="360"/>
      </w:pPr>
      <w:rPr>
        <w:rFonts w:ascii="Courier New" w:hAnsi="Courier New" w:cs="Courier New" w:hint="default"/>
      </w:rPr>
    </w:lvl>
    <w:lvl w:ilvl="5" w:tplc="0C090005" w:tentative="1">
      <w:start w:val="1"/>
      <w:numFmt w:val="bullet"/>
      <w:lvlText w:val=""/>
      <w:lvlJc w:val="left"/>
      <w:pPr>
        <w:ind w:left="5030" w:hanging="360"/>
      </w:pPr>
      <w:rPr>
        <w:rFonts w:ascii="Wingdings" w:hAnsi="Wingdings" w:hint="default"/>
      </w:rPr>
    </w:lvl>
    <w:lvl w:ilvl="6" w:tplc="0C090001" w:tentative="1">
      <w:start w:val="1"/>
      <w:numFmt w:val="bullet"/>
      <w:lvlText w:val=""/>
      <w:lvlJc w:val="left"/>
      <w:pPr>
        <w:ind w:left="5750" w:hanging="360"/>
      </w:pPr>
      <w:rPr>
        <w:rFonts w:ascii="Symbol" w:hAnsi="Symbol" w:hint="default"/>
      </w:rPr>
    </w:lvl>
    <w:lvl w:ilvl="7" w:tplc="0C090003" w:tentative="1">
      <w:start w:val="1"/>
      <w:numFmt w:val="bullet"/>
      <w:lvlText w:val="o"/>
      <w:lvlJc w:val="left"/>
      <w:pPr>
        <w:ind w:left="6470" w:hanging="360"/>
      </w:pPr>
      <w:rPr>
        <w:rFonts w:ascii="Courier New" w:hAnsi="Courier New" w:cs="Courier New" w:hint="default"/>
      </w:rPr>
    </w:lvl>
    <w:lvl w:ilvl="8" w:tplc="0C090005" w:tentative="1">
      <w:start w:val="1"/>
      <w:numFmt w:val="bullet"/>
      <w:lvlText w:val=""/>
      <w:lvlJc w:val="left"/>
      <w:pPr>
        <w:ind w:left="7190" w:hanging="360"/>
      </w:pPr>
      <w:rPr>
        <w:rFonts w:ascii="Wingdings" w:hAnsi="Wingdings" w:hint="default"/>
      </w:rPr>
    </w:lvl>
  </w:abstractNum>
  <w:abstractNum w:abstractNumId="5" w15:restartNumberingAfterBreak="0">
    <w:nsid w:val="26F652C0"/>
    <w:multiLevelType w:val="hybridMultilevel"/>
    <w:tmpl w:val="80B8AA30"/>
    <w:styleLink w:val="ListNumberStyl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70E0040"/>
    <w:multiLevelType w:val="hybridMultilevel"/>
    <w:tmpl w:val="9C5292FA"/>
    <w:styleLink w:val="ListStyle-Heading"/>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9695976"/>
    <w:multiLevelType w:val="multilevel"/>
    <w:tmpl w:val="0C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8" w15:restartNumberingAfterBreak="0">
    <w:nsid w:val="2A901256"/>
    <w:multiLevelType w:val="multilevel"/>
    <w:tmpl w:val="B36E24D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sz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9" w15:restartNumberingAfterBreak="0">
    <w:nsid w:val="30A72C47"/>
    <w:multiLevelType w:val="hybridMultilevel"/>
    <w:tmpl w:val="6B003B42"/>
    <w:styleLink w:val="ListStyle-Alph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2A931AF"/>
    <w:multiLevelType w:val="hybridMultilevel"/>
    <w:tmpl w:val="0AB899EE"/>
    <w:lvl w:ilvl="0" w:tplc="D214EA70">
      <w:start w:val="1"/>
      <w:numFmt w:val="bullet"/>
      <w:pStyle w:val="Note2"/>
      <w:lvlText w:val="–"/>
      <w:lvlJc w:val="left"/>
      <w:pPr>
        <w:ind w:left="1004" w:hanging="360"/>
      </w:pPr>
      <w:rPr>
        <w:rFonts w:ascii="Calibri" w:hAnsi="Calibri"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1" w15:restartNumberingAfterBreak="0">
    <w:nsid w:val="44937019"/>
    <w:multiLevelType w:val="hybridMultilevel"/>
    <w:tmpl w:val="0766139C"/>
    <w:styleLink w:val="ListBulletStyl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5048229E"/>
    <w:multiLevelType w:val="hybridMultilevel"/>
    <w:tmpl w:val="30EAD0DC"/>
    <w:styleLink w:val="1ai"/>
    <w:lvl w:ilvl="0" w:tplc="141E22DA">
      <w:start w:val="1"/>
      <w:numFmt w:val="bullet"/>
      <w:lvlText w:val=""/>
      <w:lvlJc w:val="left"/>
      <w:pPr>
        <w:ind w:left="720" w:hanging="360"/>
      </w:pPr>
      <w:rPr>
        <w:rFonts w:ascii="Symbol" w:hAnsi="Symbol" w:hint="default"/>
        <w:sz w:val="20"/>
        <w:szCs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88D5F13"/>
    <w:multiLevelType w:val="multilevel"/>
    <w:tmpl w:val="03C28F0E"/>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680" w:hanging="340"/>
      </w:pPr>
      <w:rPr>
        <w:rFonts w:hint="default"/>
      </w:rPr>
    </w:lvl>
    <w:lvl w:ilvl="2">
      <w:start w:val="1"/>
      <w:numFmt w:val="upperLetter"/>
      <w:pStyle w:val="ListAlpha3"/>
      <w:lvlText w:val="(%3)"/>
      <w:lvlJc w:val="left"/>
      <w:pPr>
        <w:ind w:left="1021" w:hanging="341"/>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6BB82E22"/>
    <w:multiLevelType w:val="multilevel"/>
    <w:tmpl w:val="6DEC7A8C"/>
    <w:lvl w:ilvl="0">
      <w:start w:val="1"/>
      <w:numFmt w:val="decimal"/>
      <w:pStyle w:val="ListNumber"/>
      <w:lvlText w:val="%1."/>
      <w:lvlJc w:val="left"/>
      <w:pPr>
        <w:ind w:left="340" w:hanging="340"/>
      </w:pPr>
      <w:rPr>
        <w:rFonts w:hint="default"/>
      </w:rPr>
    </w:lvl>
    <w:lvl w:ilvl="1">
      <w:start w:val="1"/>
      <w:numFmt w:val="lowerLetter"/>
      <w:pStyle w:val="ListNumber2"/>
      <w:lvlText w:val="(%2)"/>
      <w:lvlJc w:val="left"/>
      <w:pPr>
        <w:ind w:left="680" w:hanging="340"/>
      </w:pPr>
      <w:rPr>
        <w:rFonts w:hint="default"/>
      </w:rPr>
    </w:lvl>
    <w:lvl w:ilvl="2">
      <w:start w:val="1"/>
      <w:numFmt w:val="lowerRoman"/>
      <w:pStyle w:val="ListNumber3"/>
      <w:lvlText w:val="(%3)"/>
      <w:lvlJc w:val="left"/>
      <w:pPr>
        <w:ind w:left="1021" w:hanging="341"/>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779D12BE"/>
    <w:multiLevelType w:val="multilevel"/>
    <w:tmpl w:val="72B2AC1C"/>
    <w:styleLink w:val="111111"/>
    <w:lvl w:ilvl="0">
      <w:start w:val="1"/>
      <w:numFmt w:val="lowerLetter"/>
      <w:lvlText w:val="%1)"/>
      <w:lvlJc w:val="left"/>
      <w:pPr>
        <w:ind w:left="284" w:hanging="284"/>
      </w:pPr>
      <w:rPr>
        <w:rFonts w:hint="default"/>
      </w:rPr>
    </w:lvl>
    <w:lvl w:ilvl="1">
      <w:start w:val="1"/>
      <w:numFmt w:val="lowerLetter"/>
      <w:lvlText w:val="%2)"/>
      <w:lvlJc w:val="left"/>
      <w:pPr>
        <w:ind w:left="568" w:hanging="284"/>
      </w:pPr>
      <w:rPr>
        <w:rFonts w:hint="default"/>
      </w:rPr>
    </w:lvl>
    <w:lvl w:ilvl="2">
      <w:start w:val="1"/>
      <w:numFmt w:val="lowerRoman"/>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6" w15:restartNumberingAfterBreak="0">
    <w:nsid w:val="7D5F0314"/>
    <w:multiLevelType w:val="multilevel"/>
    <w:tmpl w:val="D8F25676"/>
    <w:styleLink w:val="ListStyle-Bullet"/>
    <w:lvl w:ilvl="0">
      <w:start w:val="1"/>
      <w:numFmt w:val="bullet"/>
      <w:pStyle w:val="ListBullet"/>
      <w:lvlText w:val=""/>
      <w:lvlJc w:val="left"/>
      <w:pPr>
        <w:ind w:left="340" w:hanging="340"/>
      </w:pPr>
      <w:rPr>
        <w:rFonts w:ascii="Symbol" w:hAnsi="Symbol" w:hint="default"/>
        <w:color w:val="auto"/>
        <w:sz w:val="20"/>
      </w:rPr>
    </w:lvl>
    <w:lvl w:ilvl="1">
      <w:start w:val="1"/>
      <w:numFmt w:val="none"/>
      <w:pStyle w:val="ListBullet2"/>
      <w:lvlText w:val="–"/>
      <w:lvlJc w:val="left"/>
      <w:pPr>
        <w:ind w:left="680" w:hanging="340"/>
      </w:pPr>
      <w:rPr>
        <w:rFonts w:hint="default"/>
      </w:rPr>
    </w:lvl>
    <w:lvl w:ilvl="2">
      <w:start w:val="1"/>
      <w:numFmt w:val="bullet"/>
      <w:pStyle w:val="ListBullet3"/>
      <w:lvlText w:val=""/>
      <w:lvlJc w:val="left"/>
      <w:pPr>
        <w:ind w:left="1021" w:hanging="341"/>
      </w:pPr>
      <w:rPr>
        <w:rFonts w:ascii="Symbol" w:hAnsi="Symbol" w:hint="default"/>
        <w:color w:val="auto"/>
        <w:sz w:val="2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630601580">
    <w:abstractNumId w:val="8"/>
  </w:num>
  <w:num w:numId="2" w16cid:durableId="1391808234">
    <w:abstractNumId w:val="13"/>
  </w:num>
  <w:num w:numId="3" w16cid:durableId="174348746">
    <w:abstractNumId w:val="1"/>
  </w:num>
  <w:num w:numId="4" w16cid:durableId="298343610">
    <w:abstractNumId w:val="0"/>
  </w:num>
  <w:num w:numId="5" w16cid:durableId="665938165">
    <w:abstractNumId w:val="11"/>
  </w:num>
  <w:num w:numId="6" w16cid:durableId="1881084488">
    <w:abstractNumId w:val="14"/>
  </w:num>
  <w:num w:numId="7" w16cid:durableId="1909805207">
    <w:abstractNumId w:val="5"/>
  </w:num>
  <w:num w:numId="8" w16cid:durableId="1888489838">
    <w:abstractNumId w:val="9"/>
  </w:num>
  <w:num w:numId="9" w16cid:durableId="1379282244">
    <w:abstractNumId w:val="16"/>
  </w:num>
  <w:num w:numId="10" w16cid:durableId="413862682">
    <w:abstractNumId w:val="6"/>
  </w:num>
  <w:num w:numId="11" w16cid:durableId="242418822">
    <w:abstractNumId w:val="10"/>
  </w:num>
  <w:num w:numId="12" w16cid:durableId="2071538680">
    <w:abstractNumId w:val="4"/>
  </w:num>
  <w:num w:numId="13" w16cid:durableId="1952323466">
    <w:abstractNumId w:val="2"/>
    <w:lvlOverride w:ilvl="0">
      <w:lvl w:ilvl="0">
        <w:start w:val="1"/>
        <w:numFmt w:val="bullet"/>
        <w:pStyle w:val="ListBullet"/>
        <w:lvlText w:val=""/>
        <w:lvlJc w:val="left"/>
        <w:pPr>
          <w:ind w:left="340" w:hanging="340"/>
        </w:pPr>
        <w:rPr>
          <w:rFonts w:ascii="Symbol" w:hAnsi="Symbol" w:hint="default"/>
          <w:color w:val="000000" w:themeColor="text1"/>
          <w:sz w:val="18"/>
        </w:rPr>
      </w:lvl>
    </w:lvlOverride>
    <w:lvlOverride w:ilvl="2">
      <w:lvl w:ilvl="2">
        <w:start w:val="1"/>
        <w:numFmt w:val="bullet"/>
        <w:pStyle w:val="ListBullet3"/>
        <w:lvlText w:val=""/>
        <w:lvlJc w:val="left"/>
        <w:pPr>
          <w:ind w:left="1021" w:hanging="341"/>
        </w:pPr>
        <w:rPr>
          <w:rFonts w:ascii="Symbol" w:hAnsi="Symbol" w:hint="default"/>
          <w:color w:val="auto"/>
          <w:sz w:val="18"/>
          <w:szCs w:val="18"/>
        </w:rPr>
      </w:lvl>
    </w:lvlOverride>
  </w:num>
  <w:num w:numId="14" w16cid:durableId="1352416546">
    <w:abstractNumId w:val="15"/>
  </w:num>
  <w:num w:numId="15" w16cid:durableId="595863398">
    <w:abstractNumId w:val="3"/>
  </w:num>
  <w:num w:numId="16" w16cid:durableId="1397315593">
    <w:abstractNumId w:val="2"/>
    <w:lvlOverride w:ilvl="0">
      <w:lvl w:ilvl="0">
        <w:start w:val="1"/>
        <w:numFmt w:val="bullet"/>
        <w:pStyle w:val="ListBullet"/>
        <w:lvlText w:val=""/>
        <w:lvlJc w:val="left"/>
        <w:pPr>
          <w:ind w:left="340" w:hanging="340"/>
        </w:pPr>
        <w:rPr>
          <w:rFonts w:ascii="Symbol" w:hAnsi="Symbol" w:hint="default"/>
          <w:color w:val="000000" w:themeColor="text1"/>
          <w:sz w:val="18"/>
        </w:rPr>
      </w:lvl>
    </w:lvlOverride>
    <w:lvlOverride w:ilvl="2">
      <w:lvl w:ilvl="2">
        <w:start w:val="1"/>
        <w:numFmt w:val="bullet"/>
        <w:pStyle w:val="ListBullet3"/>
        <w:lvlText w:val=""/>
        <w:lvlJc w:val="left"/>
        <w:pPr>
          <w:ind w:left="1021" w:hanging="341"/>
        </w:pPr>
        <w:rPr>
          <w:rFonts w:ascii="Symbol" w:hAnsi="Symbol" w:hint="default"/>
          <w:color w:val="auto"/>
          <w:sz w:val="18"/>
          <w:szCs w:val="18"/>
        </w:rPr>
      </w:lvl>
    </w:lvlOverride>
  </w:num>
  <w:num w:numId="17" w16cid:durableId="1531794939">
    <w:abstractNumId w:val="12"/>
  </w:num>
  <w:num w:numId="18" w16cid:durableId="1365053986">
    <w:abstractNumId w:val="2"/>
    <w:lvlOverride w:ilvl="0">
      <w:lvl w:ilvl="0">
        <w:start w:val="1"/>
        <w:numFmt w:val="bullet"/>
        <w:pStyle w:val="ListBullet"/>
        <w:lvlText w:val=""/>
        <w:lvlJc w:val="left"/>
        <w:pPr>
          <w:ind w:left="340" w:hanging="340"/>
        </w:pPr>
        <w:rPr>
          <w:rFonts w:ascii="Symbol" w:hAnsi="Symbol" w:hint="default"/>
          <w:color w:val="000000" w:themeColor="text1"/>
          <w:sz w:val="18"/>
        </w:rPr>
      </w:lvl>
    </w:lvlOverride>
    <w:lvlOverride w:ilvl="1">
      <w:lvl w:ilvl="1">
        <w:start w:val="1"/>
        <w:numFmt w:val="bullet"/>
        <w:pStyle w:val="ListBullet2"/>
        <w:lvlText w:val="–"/>
        <w:lvlJc w:val="left"/>
        <w:pPr>
          <w:ind w:left="677" w:hanging="331"/>
        </w:pPr>
        <w:rPr>
          <w:rFonts w:ascii="VIC" w:hAnsi="VIC" w:hint="default"/>
        </w:rPr>
      </w:lvl>
    </w:lvlOverride>
    <w:lvlOverride w:ilvl="2">
      <w:lvl w:ilvl="2">
        <w:start w:val="1"/>
        <w:numFmt w:val="bullet"/>
        <w:pStyle w:val="ListBullet3"/>
        <w:lvlText w:val=""/>
        <w:lvlJc w:val="left"/>
        <w:pPr>
          <w:ind w:left="1021" w:hanging="341"/>
        </w:pPr>
        <w:rPr>
          <w:rFonts w:ascii="Symbol" w:hAnsi="Symbol" w:hint="default"/>
          <w:color w:val="auto"/>
          <w:sz w:val="18"/>
          <w:szCs w:val="18"/>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19" w16cid:durableId="1519855681">
    <w:abstractNumId w:val="7"/>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removePersonalInformation/>
  <w:removeDateAndTime/>
  <w:displayBackgroundShape/>
  <w:stylePaneFormatFilter w:val="B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1"/>
  <w:documentProtection w:edit="trackedChanges" w:enforcement="0"/>
  <w:styleLockTheme/>
  <w:styleLockQFSet/>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62A3"/>
    <w:rsid w:val="00000124"/>
    <w:rsid w:val="00000240"/>
    <w:rsid w:val="000002C9"/>
    <w:rsid w:val="00000371"/>
    <w:rsid w:val="000004DD"/>
    <w:rsid w:val="000006C5"/>
    <w:rsid w:val="000008A3"/>
    <w:rsid w:val="000008FC"/>
    <w:rsid w:val="00000909"/>
    <w:rsid w:val="000009D4"/>
    <w:rsid w:val="000009EF"/>
    <w:rsid w:val="00000AA5"/>
    <w:rsid w:val="00000B00"/>
    <w:rsid w:val="00000B05"/>
    <w:rsid w:val="00000D3D"/>
    <w:rsid w:val="00000E21"/>
    <w:rsid w:val="00000F42"/>
    <w:rsid w:val="00000F52"/>
    <w:rsid w:val="00000F7A"/>
    <w:rsid w:val="00001259"/>
    <w:rsid w:val="000012B1"/>
    <w:rsid w:val="000012EC"/>
    <w:rsid w:val="00001512"/>
    <w:rsid w:val="00001566"/>
    <w:rsid w:val="000015A2"/>
    <w:rsid w:val="000016DD"/>
    <w:rsid w:val="000017C9"/>
    <w:rsid w:val="00001829"/>
    <w:rsid w:val="00001836"/>
    <w:rsid w:val="000018F3"/>
    <w:rsid w:val="000019C8"/>
    <w:rsid w:val="00001ADC"/>
    <w:rsid w:val="00001C61"/>
    <w:rsid w:val="00001E57"/>
    <w:rsid w:val="00001E8C"/>
    <w:rsid w:val="00001EC9"/>
    <w:rsid w:val="00001F4A"/>
    <w:rsid w:val="0000205B"/>
    <w:rsid w:val="0000208A"/>
    <w:rsid w:val="000022FA"/>
    <w:rsid w:val="0000231F"/>
    <w:rsid w:val="0000248D"/>
    <w:rsid w:val="000025A8"/>
    <w:rsid w:val="000025D4"/>
    <w:rsid w:val="000027EC"/>
    <w:rsid w:val="00002887"/>
    <w:rsid w:val="000028B1"/>
    <w:rsid w:val="000028E3"/>
    <w:rsid w:val="00002C61"/>
    <w:rsid w:val="00002CDB"/>
    <w:rsid w:val="00002CDE"/>
    <w:rsid w:val="00002F23"/>
    <w:rsid w:val="000031BE"/>
    <w:rsid w:val="0000322A"/>
    <w:rsid w:val="0000322E"/>
    <w:rsid w:val="00003276"/>
    <w:rsid w:val="0000353B"/>
    <w:rsid w:val="00003775"/>
    <w:rsid w:val="000037C1"/>
    <w:rsid w:val="00003886"/>
    <w:rsid w:val="00003893"/>
    <w:rsid w:val="000039A8"/>
    <w:rsid w:val="000039F1"/>
    <w:rsid w:val="00003A67"/>
    <w:rsid w:val="00003AF8"/>
    <w:rsid w:val="00003B0C"/>
    <w:rsid w:val="00003B34"/>
    <w:rsid w:val="00003BC9"/>
    <w:rsid w:val="00003DE0"/>
    <w:rsid w:val="00003E0D"/>
    <w:rsid w:val="00004044"/>
    <w:rsid w:val="00004065"/>
    <w:rsid w:val="00004074"/>
    <w:rsid w:val="00004268"/>
    <w:rsid w:val="00004395"/>
    <w:rsid w:val="0000439A"/>
    <w:rsid w:val="00004456"/>
    <w:rsid w:val="00004554"/>
    <w:rsid w:val="0000456E"/>
    <w:rsid w:val="000045A6"/>
    <w:rsid w:val="000045F6"/>
    <w:rsid w:val="0000460A"/>
    <w:rsid w:val="0000470A"/>
    <w:rsid w:val="00004757"/>
    <w:rsid w:val="000048F3"/>
    <w:rsid w:val="000049B3"/>
    <w:rsid w:val="00004B0D"/>
    <w:rsid w:val="00004B12"/>
    <w:rsid w:val="00004B9C"/>
    <w:rsid w:val="00004BAB"/>
    <w:rsid w:val="00004C93"/>
    <w:rsid w:val="00004C9B"/>
    <w:rsid w:val="00004D3A"/>
    <w:rsid w:val="00004D7E"/>
    <w:rsid w:val="00004E04"/>
    <w:rsid w:val="00004F26"/>
    <w:rsid w:val="000050B5"/>
    <w:rsid w:val="00005109"/>
    <w:rsid w:val="0000511E"/>
    <w:rsid w:val="00005216"/>
    <w:rsid w:val="000052C1"/>
    <w:rsid w:val="000053D4"/>
    <w:rsid w:val="00005506"/>
    <w:rsid w:val="0000568D"/>
    <w:rsid w:val="000056EE"/>
    <w:rsid w:val="00005862"/>
    <w:rsid w:val="00005A5C"/>
    <w:rsid w:val="00005B3F"/>
    <w:rsid w:val="00005B99"/>
    <w:rsid w:val="00005BE5"/>
    <w:rsid w:val="00005D10"/>
    <w:rsid w:val="00005E7B"/>
    <w:rsid w:val="000060BA"/>
    <w:rsid w:val="0000615C"/>
    <w:rsid w:val="00006164"/>
    <w:rsid w:val="0000627B"/>
    <w:rsid w:val="0000644B"/>
    <w:rsid w:val="0000644F"/>
    <w:rsid w:val="0000668F"/>
    <w:rsid w:val="00006730"/>
    <w:rsid w:val="00006765"/>
    <w:rsid w:val="00006875"/>
    <w:rsid w:val="00006A62"/>
    <w:rsid w:val="00006B00"/>
    <w:rsid w:val="00006B78"/>
    <w:rsid w:val="00006D3A"/>
    <w:rsid w:val="00006F37"/>
    <w:rsid w:val="000074BE"/>
    <w:rsid w:val="0000765D"/>
    <w:rsid w:val="000076B1"/>
    <w:rsid w:val="00007709"/>
    <w:rsid w:val="00007899"/>
    <w:rsid w:val="00007A8B"/>
    <w:rsid w:val="00007B25"/>
    <w:rsid w:val="00007DB5"/>
    <w:rsid w:val="00007EA9"/>
    <w:rsid w:val="00007FDC"/>
    <w:rsid w:val="00010030"/>
    <w:rsid w:val="0001004B"/>
    <w:rsid w:val="00010132"/>
    <w:rsid w:val="00010197"/>
    <w:rsid w:val="00010256"/>
    <w:rsid w:val="00010281"/>
    <w:rsid w:val="000102B3"/>
    <w:rsid w:val="000104AD"/>
    <w:rsid w:val="00010618"/>
    <w:rsid w:val="00010742"/>
    <w:rsid w:val="000107D8"/>
    <w:rsid w:val="00010896"/>
    <w:rsid w:val="000108D1"/>
    <w:rsid w:val="00010968"/>
    <w:rsid w:val="00010AAC"/>
    <w:rsid w:val="00010B47"/>
    <w:rsid w:val="00010B75"/>
    <w:rsid w:val="00010C3E"/>
    <w:rsid w:val="00010D15"/>
    <w:rsid w:val="00010DE4"/>
    <w:rsid w:val="00010E1B"/>
    <w:rsid w:val="00010FD1"/>
    <w:rsid w:val="00011030"/>
    <w:rsid w:val="00011236"/>
    <w:rsid w:val="000112B8"/>
    <w:rsid w:val="000112CC"/>
    <w:rsid w:val="00011318"/>
    <w:rsid w:val="00011354"/>
    <w:rsid w:val="0001139B"/>
    <w:rsid w:val="00011435"/>
    <w:rsid w:val="0001149C"/>
    <w:rsid w:val="000114B9"/>
    <w:rsid w:val="00011526"/>
    <w:rsid w:val="000115F3"/>
    <w:rsid w:val="00011611"/>
    <w:rsid w:val="00011797"/>
    <w:rsid w:val="000117DE"/>
    <w:rsid w:val="0001187A"/>
    <w:rsid w:val="000118B9"/>
    <w:rsid w:val="00011972"/>
    <w:rsid w:val="00011A9D"/>
    <w:rsid w:val="00011AC5"/>
    <w:rsid w:val="00011B13"/>
    <w:rsid w:val="00011D20"/>
    <w:rsid w:val="00011D5A"/>
    <w:rsid w:val="00011EBD"/>
    <w:rsid w:val="00011ED5"/>
    <w:rsid w:val="00011F1F"/>
    <w:rsid w:val="00011FEB"/>
    <w:rsid w:val="00012048"/>
    <w:rsid w:val="0001205B"/>
    <w:rsid w:val="000120A3"/>
    <w:rsid w:val="0001222C"/>
    <w:rsid w:val="000122BB"/>
    <w:rsid w:val="000122C4"/>
    <w:rsid w:val="00012345"/>
    <w:rsid w:val="000124AC"/>
    <w:rsid w:val="000124DF"/>
    <w:rsid w:val="0001251E"/>
    <w:rsid w:val="00012535"/>
    <w:rsid w:val="000125F1"/>
    <w:rsid w:val="0001261F"/>
    <w:rsid w:val="000126F6"/>
    <w:rsid w:val="000127EC"/>
    <w:rsid w:val="00012936"/>
    <w:rsid w:val="00012B1E"/>
    <w:rsid w:val="00012CC9"/>
    <w:rsid w:val="00012F16"/>
    <w:rsid w:val="00012F2E"/>
    <w:rsid w:val="00013028"/>
    <w:rsid w:val="000130C8"/>
    <w:rsid w:val="0001311C"/>
    <w:rsid w:val="000132EB"/>
    <w:rsid w:val="000132FB"/>
    <w:rsid w:val="0001343C"/>
    <w:rsid w:val="000134AC"/>
    <w:rsid w:val="000134D3"/>
    <w:rsid w:val="00013700"/>
    <w:rsid w:val="000137ED"/>
    <w:rsid w:val="000137F6"/>
    <w:rsid w:val="00013812"/>
    <w:rsid w:val="00013985"/>
    <w:rsid w:val="00013B88"/>
    <w:rsid w:val="00013BEB"/>
    <w:rsid w:val="00013C1A"/>
    <w:rsid w:val="00013E20"/>
    <w:rsid w:val="00013F4B"/>
    <w:rsid w:val="00013F7B"/>
    <w:rsid w:val="0001405F"/>
    <w:rsid w:val="000141F7"/>
    <w:rsid w:val="000143C1"/>
    <w:rsid w:val="000143D3"/>
    <w:rsid w:val="0001446B"/>
    <w:rsid w:val="00014670"/>
    <w:rsid w:val="00014696"/>
    <w:rsid w:val="0001476E"/>
    <w:rsid w:val="000148BF"/>
    <w:rsid w:val="000148EE"/>
    <w:rsid w:val="00014A55"/>
    <w:rsid w:val="00014B65"/>
    <w:rsid w:val="00014B67"/>
    <w:rsid w:val="00014C04"/>
    <w:rsid w:val="00014C74"/>
    <w:rsid w:val="00014C8E"/>
    <w:rsid w:val="00014DE4"/>
    <w:rsid w:val="00014E0C"/>
    <w:rsid w:val="00014EF9"/>
    <w:rsid w:val="00015078"/>
    <w:rsid w:val="00015290"/>
    <w:rsid w:val="00015351"/>
    <w:rsid w:val="00015352"/>
    <w:rsid w:val="00015380"/>
    <w:rsid w:val="00015401"/>
    <w:rsid w:val="0001540A"/>
    <w:rsid w:val="000156FF"/>
    <w:rsid w:val="00015744"/>
    <w:rsid w:val="0001585D"/>
    <w:rsid w:val="00015923"/>
    <w:rsid w:val="00015AF1"/>
    <w:rsid w:val="00015CD2"/>
    <w:rsid w:val="00015DDD"/>
    <w:rsid w:val="00015DE6"/>
    <w:rsid w:val="00015EB5"/>
    <w:rsid w:val="00016144"/>
    <w:rsid w:val="000161FB"/>
    <w:rsid w:val="000162C0"/>
    <w:rsid w:val="0001638E"/>
    <w:rsid w:val="0001642E"/>
    <w:rsid w:val="00016503"/>
    <w:rsid w:val="00016599"/>
    <w:rsid w:val="000165DF"/>
    <w:rsid w:val="00016658"/>
    <w:rsid w:val="000166B6"/>
    <w:rsid w:val="00016744"/>
    <w:rsid w:val="00016790"/>
    <w:rsid w:val="000168DA"/>
    <w:rsid w:val="00016A7D"/>
    <w:rsid w:val="00016B86"/>
    <w:rsid w:val="00016B9E"/>
    <w:rsid w:val="00016BEB"/>
    <w:rsid w:val="00016CB3"/>
    <w:rsid w:val="00016D78"/>
    <w:rsid w:val="00016E4E"/>
    <w:rsid w:val="00016ECF"/>
    <w:rsid w:val="00016F4F"/>
    <w:rsid w:val="00016F56"/>
    <w:rsid w:val="00016F8F"/>
    <w:rsid w:val="000170D9"/>
    <w:rsid w:val="00017172"/>
    <w:rsid w:val="00017492"/>
    <w:rsid w:val="0001759D"/>
    <w:rsid w:val="00017660"/>
    <w:rsid w:val="0001768C"/>
    <w:rsid w:val="00017748"/>
    <w:rsid w:val="000177E0"/>
    <w:rsid w:val="00017AC2"/>
    <w:rsid w:val="00017B5B"/>
    <w:rsid w:val="00017CCB"/>
    <w:rsid w:val="00017DA9"/>
    <w:rsid w:val="00017E5F"/>
    <w:rsid w:val="00017F74"/>
    <w:rsid w:val="00017F86"/>
    <w:rsid w:val="00017FE3"/>
    <w:rsid w:val="000200BB"/>
    <w:rsid w:val="000200CD"/>
    <w:rsid w:val="00020131"/>
    <w:rsid w:val="000201DD"/>
    <w:rsid w:val="00020362"/>
    <w:rsid w:val="0002037B"/>
    <w:rsid w:val="00020574"/>
    <w:rsid w:val="000207C0"/>
    <w:rsid w:val="00020983"/>
    <w:rsid w:val="00020A19"/>
    <w:rsid w:val="00020AE7"/>
    <w:rsid w:val="00020D24"/>
    <w:rsid w:val="00020E54"/>
    <w:rsid w:val="00020F6C"/>
    <w:rsid w:val="00020F77"/>
    <w:rsid w:val="00020FF9"/>
    <w:rsid w:val="00021073"/>
    <w:rsid w:val="00021080"/>
    <w:rsid w:val="00021122"/>
    <w:rsid w:val="00021247"/>
    <w:rsid w:val="00021274"/>
    <w:rsid w:val="0002140A"/>
    <w:rsid w:val="000214C2"/>
    <w:rsid w:val="000214D0"/>
    <w:rsid w:val="0002157C"/>
    <w:rsid w:val="00021675"/>
    <w:rsid w:val="000216A4"/>
    <w:rsid w:val="000217EC"/>
    <w:rsid w:val="00021855"/>
    <w:rsid w:val="0002192B"/>
    <w:rsid w:val="0002198F"/>
    <w:rsid w:val="00021997"/>
    <w:rsid w:val="00021B69"/>
    <w:rsid w:val="00021BB1"/>
    <w:rsid w:val="00021BC8"/>
    <w:rsid w:val="00021BD6"/>
    <w:rsid w:val="00021E17"/>
    <w:rsid w:val="00021E2B"/>
    <w:rsid w:val="00021FCB"/>
    <w:rsid w:val="00021FDE"/>
    <w:rsid w:val="000220B7"/>
    <w:rsid w:val="00022116"/>
    <w:rsid w:val="000221E7"/>
    <w:rsid w:val="0002226A"/>
    <w:rsid w:val="0002229B"/>
    <w:rsid w:val="000224E9"/>
    <w:rsid w:val="0002257D"/>
    <w:rsid w:val="0002261B"/>
    <w:rsid w:val="00022979"/>
    <w:rsid w:val="00022C46"/>
    <w:rsid w:val="00022CAC"/>
    <w:rsid w:val="00022CD7"/>
    <w:rsid w:val="00022D79"/>
    <w:rsid w:val="00023382"/>
    <w:rsid w:val="00023529"/>
    <w:rsid w:val="00023544"/>
    <w:rsid w:val="0002365B"/>
    <w:rsid w:val="000237FC"/>
    <w:rsid w:val="000238FA"/>
    <w:rsid w:val="00023ADA"/>
    <w:rsid w:val="00023BBE"/>
    <w:rsid w:val="00023E6D"/>
    <w:rsid w:val="00023EEE"/>
    <w:rsid w:val="00023F1A"/>
    <w:rsid w:val="00023FB0"/>
    <w:rsid w:val="00024009"/>
    <w:rsid w:val="00024310"/>
    <w:rsid w:val="00024426"/>
    <w:rsid w:val="00024440"/>
    <w:rsid w:val="00024461"/>
    <w:rsid w:val="000244A5"/>
    <w:rsid w:val="00024563"/>
    <w:rsid w:val="000246AE"/>
    <w:rsid w:val="00024735"/>
    <w:rsid w:val="00024768"/>
    <w:rsid w:val="000247A2"/>
    <w:rsid w:val="00024968"/>
    <w:rsid w:val="00024A6F"/>
    <w:rsid w:val="00024AAD"/>
    <w:rsid w:val="00024B65"/>
    <w:rsid w:val="00024BC9"/>
    <w:rsid w:val="00024BCF"/>
    <w:rsid w:val="00024CAC"/>
    <w:rsid w:val="00024E53"/>
    <w:rsid w:val="00024E6F"/>
    <w:rsid w:val="00024E85"/>
    <w:rsid w:val="00024F93"/>
    <w:rsid w:val="00024FCF"/>
    <w:rsid w:val="00025094"/>
    <w:rsid w:val="000250D7"/>
    <w:rsid w:val="00025164"/>
    <w:rsid w:val="000251BA"/>
    <w:rsid w:val="000251C0"/>
    <w:rsid w:val="00025243"/>
    <w:rsid w:val="0002544B"/>
    <w:rsid w:val="00025462"/>
    <w:rsid w:val="000254F4"/>
    <w:rsid w:val="0002557F"/>
    <w:rsid w:val="000255E9"/>
    <w:rsid w:val="00025736"/>
    <w:rsid w:val="0002590E"/>
    <w:rsid w:val="00025965"/>
    <w:rsid w:val="0002596A"/>
    <w:rsid w:val="000259ED"/>
    <w:rsid w:val="00025BDF"/>
    <w:rsid w:val="00025C4D"/>
    <w:rsid w:val="00025CAF"/>
    <w:rsid w:val="00025DA9"/>
    <w:rsid w:val="00026065"/>
    <w:rsid w:val="00026081"/>
    <w:rsid w:val="0002618F"/>
    <w:rsid w:val="000262F3"/>
    <w:rsid w:val="0002637A"/>
    <w:rsid w:val="000266AF"/>
    <w:rsid w:val="0002675E"/>
    <w:rsid w:val="00026793"/>
    <w:rsid w:val="00026A0B"/>
    <w:rsid w:val="00026B5B"/>
    <w:rsid w:val="00026BB1"/>
    <w:rsid w:val="00026D8C"/>
    <w:rsid w:val="000271C4"/>
    <w:rsid w:val="000271E1"/>
    <w:rsid w:val="0002729C"/>
    <w:rsid w:val="000272F1"/>
    <w:rsid w:val="000273D4"/>
    <w:rsid w:val="00027479"/>
    <w:rsid w:val="00027482"/>
    <w:rsid w:val="0002748E"/>
    <w:rsid w:val="00027641"/>
    <w:rsid w:val="00027790"/>
    <w:rsid w:val="0002781C"/>
    <w:rsid w:val="00027923"/>
    <w:rsid w:val="000279E8"/>
    <w:rsid w:val="00027D3C"/>
    <w:rsid w:val="00030182"/>
    <w:rsid w:val="00030226"/>
    <w:rsid w:val="0003039C"/>
    <w:rsid w:val="0003045E"/>
    <w:rsid w:val="000305D7"/>
    <w:rsid w:val="00030798"/>
    <w:rsid w:val="0003084C"/>
    <w:rsid w:val="00030958"/>
    <w:rsid w:val="000309D4"/>
    <w:rsid w:val="000309F6"/>
    <w:rsid w:val="00030A01"/>
    <w:rsid w:val="00030A06"/>
    <w:rsid w:val="00030A32"/>
    <w:rsid w:val="00030A63"/>
    <w:rsid w:val="00030A89"/>
    <w:rsid w:val="00030ACF"/>
    <w:rsid w:val="00030B63"/>
    <w:rsid w:val="00030CE1"/>
    <w:rsid w:val="00030D73"/>
    <w:rsid w:val="00031069"/>
    <w:rsid w:val="0003113C"/>
    <w:rsid w:val="00031144"/>
    <w:rsid w:val="000311C8"/>
    <w:rsid w:val="0003124A"/>
    <w:rsid w:val="00031367"/>
    <w:rsid w:val="000313C1"/>
    <w:rsid w:val="00031563"/>
    <w:rsid w:val="00031592"/>
    <w:rsid w:val="0003174A"/>
    <w:rsid w:val="000317C9"/>
    <w:rsid w:val="000318EA"/>
    <w:rsid w:val="00031938"/>
    <w:rsid w:val="00031A10"/>
    <w:rsid w:val="00031A60"/>
    <w:rsid w:val="00031ABB"/>
    <w:rsid w:val="00031C0E"/>
    <w:rsid w:val="00031DCE"/>
    <w:rsid w:val="00031EA3"/>
    <w:rsid w:val="00031EC0"/>
    <w:rsid w:val="00031F4E"/>
    <w:rsid w:val="00031FB3"/>
    <w:rsid w:val="0003216C"/>
    <w:rsid w:val="000322F0"/>
    <w:rsid w:val="0003251B"/>
    <w:rsid w:val="00032524"/>
    <w:rsid w:val="00032577"/>
    <w:rsid w:val="00032591"/>
    <w:rsid w:val="000326E7"/>
    <w:rsid w:val="000326F8"/>
    <w:rsid w:val="0003281A"/>
    <w:rsid w:val="0003285C"/>
    <w:rsid w:val="00032871"/>
    <w:rsid w:val="00032A1D"/>
    <w:rsid w:val="00032B04"/>
    <w:rsid w:val="00032B3B"/>
    <w:rsid w:val="00032B4E"/>
    <w:rsid w:val="00032B77"/>
    <w:rsid w:val="00032BCD"/>
    <w:rsid w:val="00032C53"/>
    <w:rsid w:val="00032C70"/>
    <w:rsid w:val="00032C9A"/>
    <w:rsid w:val="00032CC5"/>
    <w:rsid w:val="00032CEA"/>
    <w:rsid w:val="00032D9D"/>
    <w:rsid w:val="00032ECC"/>
    <w:rsid w:val="00032F76"/>
    <w:rsid w:val="00033059"/>
    <w:rsid w:val="00033172"/>
    <w:rsid w:val="0003322E"/>
    <w:rsid w:val="00033486"/>
    <w:rsid w:val="00033633"/>
    <w:rsid w:val="000336F2"/>
    <w:rsid w:val="0003372C"/>
    <w:rsid w:val="00033764"/>
    <w:rsid w:val="0003381F"/>
    <w:rsid w:val="00033837"/>
    <w:rsid w:val="0003385F"/>
    <w:rsid w:val="000338AB"/>
    <w:rsid w:val="00033944"/>
    <w:rsid w:val="00033BB0"/>
    <w:rsid w:val="00033C42"/>
    <w:rsid w:val="00033DEC"/>
    <w:rsid w:val="00033DF8"/>
    <w:rsid w:val="00033E14"/>
    <w:rsid w:val="00033F0C"/>
    <w:rsid w:val="00033F1D"/>
    <w:rsid w:val="00033F5E"/>
    <w:rsid w:val="000340AE"/>
    <w:rsid w:val="00034323"/>
    <w:rsid w:val="000343FB"/>
    <w:rsid w:val="00034530"/>
    <w:rsid w:val="000345BE"/>
    <w:rsid w:val="00034631"/>
    <w:rsid w:val="00034668"/>
    <w:rsid w:val="000346D2"/>
    <w:rsid w:val="00034778"/>
    <w:rsid w:val="000347D2"/>
    <w:rsid w:val="00034941"/>
    <w:rsid w:val="00034965"/>
    <w:rsid w:val="00034A7E"/>
    <w:rsid w:val="00034B0B"/>
    <w:rsid w:val="00034B4B"/>
    <w:rsid w:val="00034B72"/>
    <w:rsid w:val="00034C7A"/>
    <w:rsid w:val="00034D19"/>
    <w:rsid w:val="00034E0A"/>
    <w:rsid w:val="00034E16"/>
    <w:rsid w:val="00034FCE"/>
    <w:rsid w:val="00035206"/>
    <w:rsid w:val="0003521A"/>
    <w:rsid w:val="0003525A"/>
    <w:rsid w:val="000352F3"/>
    <w:rsid w:val="00035569"/>
    <w:rsid w:val="0003556A"/>
    <w:rsid w:val="00035851"/>
    <w:rsid w:val="00035925"/>
    <w:rsid w:val="00035B67"/>
    <w:rsid w:val="00035B84"/>
    <w:rsid w:val="00035C07"/>
    <w:rsid w:val="00035C52"/>
    <w:rsid w:val="00035D7D"/>
    <w:rsid w:val="00035EE3"/>
    <w:rsid w:val="00035F4A"/>
    <w:rsid w:val="00036045"/>
    <w:rsid w:val="00036245"/>
    <w:rsid w:val="0003630B"/>
    <w:rsid w:val="00036439"/>
    <w:rsid w:val="00036467"/>
    <w:rsid w:val="000364FE"/>
    <w:rsid w:val="00036500"/>
    <w:rsid w:val="0003668D"/>
    <w:rsid w:val="000369C1"/>
    <w:rsid w:val="00036A0A"/>
    <w:rsid w:val="00036AE3"/>
    <w:rsid w:val="00036B5B"/>
    <w:rsid w:val="00036B98"/>
    <w:rsid w:val="00036CE1"/>
    <w:rsid w:val="00036E5B"/>
    <w:rsid w:val="00036F2E"/>
    <w:rsid w:val="00036FD3"/>
    <w:rsid w:val="00037000"/>
    <w:rsid w:val="000370AE"/>
    <w:rsid w:val="00037320"/>
    <w:rsid w:val="00037470"/>
    <w:rsid w:val="00037477"/>
    <w:rsid w:val="00037577"/>
    <w:rsid w:val="000375C0"/>
    <w:rsid w:val="000375E8"/>
    <w:rsid w:val="000375F6"/>
    <w:rsid w:val="0003769A"/>
    <w:rsid w:val="000376FC"/>
    <w:rsid w:val="00037734"/>
    <w:rsid w:val="0003799C"/>
    <w:rsid w:val="00037E8A"/>
    <w:rsid w:val="00040119"/>
    <w:rsid w:val="00040250"/>
    <w:rsid w:val="000402EB"/>
    <w:rsid w:val="0004032E"/>
    <w:rsid w:val="00040340"/>
    <w:rsid w:val="00040468"/>
    <w:rsid w:val="00040576"/>
    <w:rsid w:val="00040587"/>
    <w:rsid w:val="00040655"/>
    <w:rsid w:val="000407AB"/>
    <w:rsid w:val="0004085E"/>
    <w:rsid w:val="0004088A"/>
    <w:rsid w:val="000408C8"/>
    <w:rsid w:val="000408F8"/>
    <w:rsid w:val="0004090F"/>
    <w:rsid w:val="00040B73"/>
    <w:rsid w:val="00040BBA"/>
    <w:rsid w:val="00040C0D"/>
    <w:rsid w:val="00040C57"/>
    <w:rsid w:val="00040CC5"/>
    <w:rsid w:val="00040E05"/>
    <w:rsid w:val="00041003"/>
    <w:rsid w:val="00041043"/>
    <w:rsid w:val="00041057"/>
    <w:rsid w:val="00041096"/>
    <w:rsid w:val="0004118B"/>
    <w:rsid w:val="000411A5"/>
    <w:rsid w:val="0004125D"/>
    <w:rsid w:val="000412D6"/>
    <w:rsid w:val="00041313"/>
    <w:rsid w:val="000413F2"/>
    <w:rsid w:val="0004145A"/>
    <w:rsid w:val="000414A5"/>
    <w:rsid w:val="000414B6"/>
    <w:rsid w:val="00041502"/>
    <w:rsid w:val="0004157C"/>
    <w:rsid w:val="000415A5"/>
    <w:rsid w:val="00041629"/>
    <w:rsid w:val="00041977"/>
    <w:rsid w:val="00041A0C"/>
    <w:rsid w:val="00041A72"/>
    <w:rsid w:val="00041B66"/>
    <w:rsid w:val="00041CE2"/>
    <w:rsid w:val="00041D9D"/>
    <w:rsid w:val="00041DAB"/>
    <w:rsid w:val="00041F92"/>
    <w:rsid w:val="00041FEC"/>
    <w:rsid w:val="00042034"/>
    <w:rsid w:val="000420E3"/>
    <w:rsid w:val="00042166"/>
    <w:rsid w:val="000423F4"/>
    <w:rsid w:val="0004240A"/>
    <w:rsid w:val="0004242A"/>
    <w:rsid w:val="00042470"/>
    <w:rsid w:val="00042475"/>
    <w:rsid w:val="000426A9"/>
    <w:rsid w:val="000426C6"/>
    <w:rsid w:val="000427CC"/>
    <w:rsid w:val="000428B8"/>
    <w:rsid w:val="000428C9"/>
    <w:rsid w:val="0004291D"/>
    <w:rsid w:val="00042977"/>
    <w:rsid w:val="00042B29"/>
    <w:rsid w:val="00042D23"/>
    <w:rsid w:val="00042D49"/>
    <w:rsid w:val="00042E91"/>
    <w:rsid w:val="00042EA1"/>
    <w:rsid w:val="00042EE2"/>
    <w:rsid w:val="00043001"/>
    <w:rsid w:val="00043005"/>
    <w:rsid w:val="000430E1"/>
    <w:rsid w:val="0004311A"/>
    <w:rsid w:val="000432F2"/>
    <w:rsid w:val="00043375"/>
    <w:rsid w:val="000433FC"/>
    <w:rsid w:val="00043503"/>
    <w:rsid w:val="0004353A"/>
    <w:rsid w:val="00043713"/>
    <w:rsid w:val="00043745"/>
    <w:rsid w:val="00043757"/>
    <w:rsid w:val="00043B79"/>
    <w:rsid w:val="00043C14"/>
    <w:rsid w:val="00043C43"/>
    <w:rsid w:val="00043CB7"/>
    <w:rsid w:val="00043EA6"/>
    <w:rsid w:val="00043F33"/>
    <w:rsid w:val="00043F7B"/>
    <w:rsid w:val="00043F8B"/>
    <w:rsid w:val="0004409B"/>
    <w:rsid w:val="000442FE"/>
    <w:rsid w:val="000443C9"/>
    <w:rsid w:val="00044438"/>
    <w:rsid w:val="00044540"/>
    <w:rsid w:val="000449D0"/>
    <w:rsid w:val="000449DA"/>
    <w:rsid w:val="00044B59"/>
    <w:rsid w:val="00044C07"/>
    <w:rsid w:val="00044C9D"/>
    <w:rsid w:val="00044CA5"/>
    <w:rsid w:val="00044CCA"/>
    <w:rsid w:val="00044D07"/>
    <w:rsid w:val="00044D63"/>
    <w:rsid w:val="00044E09"/>
    <w:rsid w:val="00044FC7"/>
    <w:rsid w:val="000450FE"/>
    <w:rsid w:val="00045160"/>
    <w:rsid w:val="0004516A"/>
    <w:rsid w:val="00045180"/>
    <w:rsid w:val="00045301"/>
    <w:rsid w:val="0004533F"/>
    <w:rsid w:val="0004544F"/>
    <w:rsid w:val="000454FB"/>
    <w:rsid w:val="000454FF"/>
    <w:rsid w:val="0004567E"/>
    <w:rsid w:val="00045710"/>
    <w:rsid w:val="00045711"/>
    <w:rsid w:val="000458AE"/>
    <w:rsid w:val="000458D6"/>
    <w:rsid w:val="000458F2"/>
    <w:rsid w:val="00045929"/>
    <w:rsid w:val="00045B67"/>
    <w:rsid w:val="00045BA3"/>
    <w:rsid w:val="00045BFF"/>
    <w:rsid w:val="00045C83"/>
    <w:rsid w:val="00045D24"/>
    <w:rsid w:val="00045E6C"/>
    <w:rsid w:val="00045EB3"/>
    <w:rsid w:val="00045EC9"/>
    <w:rsid w:val="00045F61"/>
    <w:rsid w:val="00045FFC"/>
    <w:rsid w:val="0004609C"/>
    <w:rsid w:val="000461B1"/>
    <w:rsid w:val="00046289"/>
    <w:rsid w:val="0004637A"/>
    <w:rsid w:val="000463E3"/>
    <w:rsid w:val="000466D7"/>
    <w:rsid w:val="000469C1"/>
    <w:rsid w:val="00046B73"/>
    <w:rsid w:val="00046BC4"/>
    <w:rsid w:val="00046C8B"/>
    <w:rsid w:val="00046CCF"/>
    <w:rsid w:val="00046E54"/>
    <w:rsid w:val="00046F89"/>
    <w:rsid w:val="00046FAA"/>
    <w:rsid w:val="00047067"/>
    <w:rsid w:val="0004710E"/>
    <w:rsid w:val="00047117"/>
    <w:rsid w:val="00047229"/>
    <w:rsid w:val="00047367"/>
    <w:rsid w:val="00047498"/>
    <w:rsid w:val="00047591"/>
    <w:rsid w:val="000475B5"/>
    <w:rsid w:val="0004789B"/>
    <w:rsid w:val="000478E8"/>
    <w:rsid w:val="00047909"/>
    <w:rsid w:val="00047943"/>
    <w:rsid w:val="000479E6"/>
    <w:rsid w:val="00047AB9"/>
    <w:rsid w:val="00047B27"/>
    <w:rsid w:val="00047DB1"/>
    <w:rsid w:val="00047E7A"/>
    <w:rsid w:val="00047EA8"/>
    <w:rsid w:val="00047EFF"/>
    <w:rsid w:val="00050017"/>
    <w:rsid w:val="00050279"/>
    <w:rsid w:val="00050313"/>
    <w:rsid w:val="000503C1"/>
    <w:rsid w:val="00050428"/>
    <w:rsid w:val="0005049B"/>
    <w:rsid w:val="0005072D"/>
    <w:rsid w:val="000507CB"/>
    <w:rsid w:val="00050995"/>
    <w:rsid w:val="00050B19"/>
    <w:rsid w:val="00050B82"/>
    <w:rsid w:val="00050BAB"/>
    <w:rsid w:val="00050CFE"/>
    <w:rsid w:val="00050D3F"/>
    <w:rsid w:val="00050DB7"/>
    <w:rsid w:val="00050DFB"/>
    <w:rsid w:val="00050FC4"/>
    <w:rsid w:val="000510F3"/>
    <w:rsid w:val="000512D0"/>
    <w:rsid w:val="000513E5"/>
    <w:rsid w:val="00051451"/>
    <w:rsid w:val="000514C7"/>
    <w:rsid w:val="00051556"/>
    <w:rsid w:val="000515AB"/>
    <w:rsid w:val="00051643"/>
    <w:rsid w:val="00051828"/>
    <w:rsid w:val="000518ED"/>
    <w:rsid w:val="00051915"/>
    <w:rsid w:val="000519D0"/>
    <w:rsid w:val="000519DB"/>
    <w:rsid w:val="00051B01"/>
    <w:rsid w:val="00051B9F"/>
    <w:rsid w:val="00051C53"/>
    <w:rsid w:val="00051C86"/>
    <w:rsid w:val="00051D51"/>
    <w:rsid w:val="00051E25"/>
    <w:rsid w:val="00051EE1"/>
    <w:rsid w:val="00051F45"/>
    <w:rsid w:val="00051FA4"/>
    <w:rsid w:val="000521CC"/>
    <w:rsid w:val="00052207"/>
    <w:rsid w:val="00052237"/>
    <w:rsid w:val="00052343"/>
    <w:rsid w:val="000523D9"/>
    <w:rsid w:val="0005248E"/>
    <w:rsid w:val="000524F3"/>
    <w:rsid w:val="000525CB"/>
    <w:rsid w:val="0005267D"/>
    <w:rsid w:val="00052794"/>
    <w:rsid w:val="000528AE"/>
    <w:rsid w:val="000528C8"/>
    <w:rsid w:val="000528F1"/>
    <w:rsid w:val="00052992"/>
    <w:rsid w:val="00052D27"/>
    <w:rsid w:val="00052D4A"/>
    <w:rsid w:val="00052DF9"/>
    <w:rsid w:val="00052E41"/>
    <w:rsid w:val="00052E6F"/>
    <w:rsid w:val="00052ED1"/>
    <w:rsid w:val="00052FBF"/>
    <w:rsid w:val="00053184"/>
    <w:rsid w:val="00053220"/>
    <w:rsid w:val="00053472"/>
    <w:rsid w:val="0005353D"/>
    <w:rsid w:val="000535DB"/>
    <w:rsid w:val="000535DF"/>
    <w:rsid w:val="000535F4"/>
    <w:rsid w:val="00053921"/>
    <w:rsid w:val="00053971"/>
    <w:rsid w:val="00053986"/>
    <w:rsid w:val="00053A2B"/>
    <w:rsid w:val="00053A51"/>
    <w:rsid w:val="00053C35"/>
    <w:rsid w:val="00053E97"/>
    <w:rsid w:val="00053F33"/>
    <w:rsid w:val="0005413C"/>
    <w:rsid w:val="000541D2"/>
    <w:rsid w:val="000542FD"/>
    <w:rsid w:val="0005434D"/>
    <w:rsid w:val="0005450C"/>
    <w:rsid w:val="00054520"/>
    <w:rsid w:val="00054526"/>
    <w:rsid w:val="00054678"/>
    <w:rsid w:val="000546B3"/>
    <w:rsid w:val="000546E0"/>
    <w:rsid w:val="000547F8"/>
    <w:rsid w:val="00054912"/>
    <w:rsid w:val="00054A5F"/>
    <w:rsid w:val="00054E7A"/>
    <w:rsid w:val="00054F00"/>
    <w:rsid w:val="00055199"/>
    <w:rsid w:val="00055418"/>
    <w:rsid w:val="00055419"/>
    <w:rsid w:val="000554B7"/>
    <w:rsid w:val="000556BD"/>
    <w:rsid w:val="000556E2"/>
    <w:rsid w:val="000557CD"/>
    <w:rsid w:val="0005588D"/>
    <w:rsid w:val="000559B1"/>
    <w:rsid w:val="000559E7"/>
    <w:rsid w:val="000559F6"/>
    <w:rsid w:val="00055A44"/>
    <w:rsid w:val="00055A63"/>
    <w:rsid w:val="00055AA1"/>
    <w:rsid w:val="00055AF6"/>
    <w:rsid w:val="00055C16"/>
    <w:rsid w:val="00055C98"/>
    <w:rsid w:val="00055CE3"/>
    <w:rsid w:val="00055D62"/>
    <w:rsid w:val="00055DFF"/>
    <w:rsid w:val="0005623B"/>
    <w:rsid w:val="0005628A"/>
    <w:rsid w:val="000562DB"/>
    <w:rsid w:val="0005630D"/>
    <w:rsid w:val="0005643A"/>
    <w:rsid w:val="000564EA"/>
    <w:rsid w:val="000564FE"/>
    <w:rsid w:val="0005650C"/>
    <w:rsid w:val="0005663A"/>
    <w:rsid w:val="0005663C"/>
    <w:rsid w:val="00056744"/>
    <w:rsid w:val="00056787"/>
    <w:rsid w:val="0005678E"/>
    <w:rsid w:val="000567F0"/>
    <w:rsid w:val="0005693A"/>
    <w:rsid w:val="000569B0"/>
    <w:rsid w:val="00056B86"/>
    <w:rsid w:val="00056D4F"/>
    <w:rsid w:val="00056E4C"/>
    <w:rsid w:val="00056E4F"/>
    <w:rsid w:val="00056FB4"/>
    <w:rsid w:val="0005704D"/>
    <w:rsid w:val="000571B9"/>
    <w:rsid w:val="0005723C"/>
    <w:rsid w:val="00057330"/>
    <w:rsid w:val="00057392"/>
    <w:rsid w:val="0005761E"/>
    <w:rsid w:val="0005768F"/>
    <w:rsid w:val="000577CB"/>
    <w:rsid w:val="00057805"/>
    <w:rsid w:val="000578BD"/>
    <w:rsid w:val="00057C42"/>
    <w:rsid w:val="00057C67"/>
    <w:rsid w:val="00057C6E"/>
    <w:rsid w:val="00057C9E"/>
    <w:rsid w:val="00057CFE"/>
    <w:rsid w:val="00057DB6"/>
    <w:rsid w:val="00057FE2"/>
    <w:rsid w:val="00060029"/>
    <w:rsid w:val="0006002B"/>
    <w:rsid w:val="0006017E"/>
    <w:rsid w:val="000603B3"/>
    <w:rsid w:val="000603BF"/>
    <w:rsid w:val="00060552"/>
    <w:rsid w:val="0006064E"/>
    <w:rsid w:val="0006065E"/>
    <w:rsid w:val="00060773"/>
    <w:rsid w:val="000608A4"/>
    <w:rsid w:val="000608B5"/>
    <w:rsid w:val="00060CCC"/>
    <w:rsid w:val="00060DE1"/>
    <w:rsid w:val="00060EAF"/>
    <w:rsid w:val="00060EB1"/>
    <w:rsid w:val="00060FA9"/>
    <w:rsid w:val="0006104C"/>
    <w:rsid w:val="000610DE"/>
    <w:rsid w:val="00061277"/>
    <w:rsid w:val="00061301"/>
    <w:rsid w:val="00061343"/>
    <w:rsid w:val="000613FD"/>
    <w:rsid w:val="00061434"/>
    <w:rsid w:val="000615DA"/>
    <w:rsid w:val="0006163C"/>
    <w:rsid w:val="0006168A"/>
    <w:rsid w:val="0006179D"/>
    <w:rsid w:val="000617E9"/>
    <w:rsid w:val="000618DF"/>
    <w:rsid w:val="000618EF"/>
    <w:rsid w:val="00061938"/>
    <w:rsid w:val="00061A93"/>
    <w:rsid w:val="00061B7F"/>
    <w:rsid w:val="00061D7A"/>
    <w:rsid w:val="00061E8C"/>
    <w:rsid w:val="00061ECC"/>
    <w:rsid w:val="00061FCC"/>
    <w:rsid w:val="0006204A"/>
    <w:rsid w:val="000620A1"/>
    <w:rsid w:val="000620E4"/>
    <w:rsid w:val="00062213"/>
    <w:rsid w:val="000623C4"/>
    <w:rsid w:val="0006271C"/>
    <w:rsid w:val="00062857"/>
    <w:rsid w:val="00062937"/>
    <w:rsid w:val="00062A7F"/>
    <w:rsid w:val="00062C05"/>
    <w:rsid w:val="00062C71"/>
    <w:rsid w:val="00062C7D"/>
    <w:rsid w:val="00062CE0"/>
    <w:rsid w:val="00063156"/>
    <w:rsid w:val="00063206"/>
    <w:rsid w:val="000632BC"/>
    <w:rsid w:val="0006351B"/>
    <w:rsid w:val="0006359C"/>
    <w:rsid w:val="00063650"/>
    <w:rsid w:val="000636F0"/>
    <w:rsid w:val="00063742"/>
    <w:rsid w:val="000637D1"/>
    <w:rsid w:val="0006391E"/>
    <w:rsid w:val="000639C2"/>
    <w:rsid w:val="00063B16"/>
    <w:rsid w:val="00063B29"/>
    <w:rsid w:val="00063BB9"/>
    <w:rsid w:val="00063C87"/>
    <w:rsid w:val="00064318"/>
    <w:rsid w:val="0006439E"/>
    <w:rsid w:val="000644A3"/>
    <w:rsid w:val="00064578"/>
    <w:rsid w:val="0006457C"/>
    <w:rsid w:val="0006468E"/>
    <w:rsid w:val="000647E5"/>
    <w:rsid w:val="0006492A"/>
    <w:rsid w:val="00064A3E"/>
    <w:rsid w:val="00064AC6"/>
    <w:rsid w:val="00064BE1"/>
    <w:rsid w:val="00064BEA"/>
    <w:rsid w:val="00064C3D"/>
    <w:rsid w:val="00064D21"/>
    <w:rsid w:val="00064D37"/>
    <w:rsid w:val="00064D6E"/>
    <w:rsid w:val="00064EA1"/>
    <w:rsid w:val="00064EFA"/>
    <w:rsid w:val="00064F34"/>
    <w:rsid w:val="00064FBC"/>
    <w:rsid w:val="0006518D"/>
    <w:rsid w:val="0006529A"/>
    <w:rsid w:val="000652AC"/>
    <w:rsid w:val="0006543E"/>
    <w:rsid w:val="0006558E"/>
    <w:rsid w:val="00065764"/>
    <w:rsid w:val="0006587E"/>
    <w:rsid w:val="000659AA"/>
    <w:rsid w:val="00065AC2"/>
    <w:rsid w:val="00065B56"/>
    <w:rsid w:val="00065B89"/>
    <w:rsid w:val="00065B8E"/>
    <w:rsid w:val="00065E51"/>
    <w:rsid w:val="00065E5A"/>
    <w:rsid w:val="00065E73"/>
    <w:rsid w:val="00066088"/>
    <w:rsid w:val="000660E1"/>
    <w:rsid w:val="000661A3"/>
    <w:rsid w:val="00066273"/>
    <w:rsid w:val="0006629E"/>
    <w:rsid w:val="000662E1"/>
    <w:rsid w:val="0006635D"/>
    <w:rsid w:val="00066379"/>
    <w:rsid w:val="0006637D"/>
    <w:rsid w:val="00066391"/>
    <w:rsid w:val="0006639B"/>
    <w:rsid w:val="000663B0"/>
    <w:rsid w:val="000663C6"/>
    <w:rsid w:val="00066411"/>
    <w:rsid w:val="000664B7"/>
    <w:rsid w:val="000666C8"/>
    <w:rsid w:val="000667C7"/>
    <w:rsid w:val="00066887"/>
    <w:rsid w:val="00066893"/>
    <w:rsid w:val="00066930"/>
    <w:rsid w:val="0006698E"/>
    <w:rsid w:val="00066BA0"/>
    <w:rsid w:val="00066BF7"/>
    <w:rsid w:val="00066C12"/>
    <w:rsid w:val="00066E77"/>
    <w:rsid w:val="00066FD3"/>
    <w:rsid w:val="0006712F"/>
    <w:rsid w:val="000671DB"/>
    <w:rsid w:val="000672EC"/>
    <w:rsid w:val="0006759F"/>
    <w:rsid w:val="000675BF"/>
    <w:rsid w:val="000675F1"/>
    <w:rsid w:val="00067778"/>
    <w:rsid w:val="000679B3"/>
    <w:rsid w:val="000679C6"/>
    <w:rsid w:val="00067A50"/>
    <w:rsid w:val="00067A70"/>
    <w:rsid w:val="00067BD7"/>
    <w:rsid w:val="0007010D"/>
    <w:rsid w:val="000701B9"/>
    <w:rsid w:val="0007022F"/>
    <w:rsid w:val="00070267"/>
    <w:rsid w:val="00070345"/>
    <w:rsid w:val="000703B3"/>
    <w:rsid w:val="0007042C"/>
    <w:rsid w:val="0007065C"/>
    <w:rsid w:val="000707BC"/>
    <w:rsid w:val="000707ED"/>
    <w:rsid w:val="0007087C"/>
    <w:rsid w:val="00070B4A"/>
    <w:rsid w:val="00070C44"/>
    <w:rsid w:val="00070C9C"/>
    <w:rsid w:val="00070D2D"/>
    <w:rsid w:val="00070D91"/>
    <w:rsid w:val="00070F44"/>
    <w:rsid w:val="00070F6F"/>
    <w:rsid w:val="00070FA1"/>
    <w:rsid w:val="0007107B"/>
    <w:rsid w:val="000710B0"/>
    <w:rsid w:val="000710C8"/>
    <w:rsid w:val="000710DB"/>
    <w:rsid w:val="0007110B"/>
    <w:rsid w:val="00071213"/>
    <w:rsid w:val="0007121C"/>
    <w:rsid w:val="0007128C"/>
    <w:rsid w:val="00071316"/>
    <w:rsid w:val="00071381"/>
    <w:rsid w:val="00071383"/>
    <w:rsid w:val="0007142A"/>
    <w:rsid w:val="0007142D"/>
    <w:rsid w:val="00071751"/>
    <w:rsid w:val="00071A08"/>
    <w:rsid w:val="00071B5E"/>
    <w:rsid w:val="00071C87"/>
    <w:rsid w:val="00071D6F"/>
    <w:rsid w:val="00071E1F"/>
    <w:rsid w:val="00071E97"/>
    <w:rsid w:val="000721A6"/>
    <w:rsid w:val="0007229E"/>
    <w:rsid w:val="0007232D"/>
    <w:rsid w:val="0007237A"/>
    <w:rsid w:val="000723AD"/>
    <w:rsid w:val="000723EA"/>
    <w:rsid w:val="000723EB"/>
    <w:rsid w:val="00072429"/>
    <w:rsid w:val="00072458"/>
    <w:rsid w:val="00072675"/>
    <w:rsid w:val="000727A6"/>
    <w:rsid w:val="000727E0"/>
    <w:rsid w:val="000727FF"/>
    <w:rsid w:val="0007282F"/>
    <w:rsid w:val="00072863"/>
    <w:rsid w:val="00072978"/>
    <w:rsid w:val="00072A2E"/>
    <w:rsid w:val="00072B45"/>
    <w:rsid w:val="00072BBB"/>
    <w:rsid w:val="00072C0D"/>
    <w:rsid w:val="00072F80"/>
    <w:rsid w:val="000730FF"/>
    <w:rsid w:val="000731A0"/>
    <w:rsid w:val="000731E9"/>
    <w:rsid w:val="0007325E"/>
    <w:rsid w:val="000732DF"/>
    <w:rsid w:val="000733BC"/>
    <w:rsid w:val="0007341A"/>
    <w:rsid w:val="00073431"/>
    <w:rsid w:val="00073441"/>
    <w:rsid w:val="0007347C"/>
    <w:rsid w:val="000734AB"/>
    <w:rsid w:val="00073504"/>
    <w:rsid w:val="00073586"/>
    <w:rsid w:val="000737BA"/>
    <w:rsid w:val="00073840"/>
    <w:rsid w:val="000738CF"/>
    <w:rsid w:val="00073C92"/>
    <w:rsid w:val="00073DDC"/>
    <w:rsid w:val="00073E15"/>
    <w:rsid w:val="00073F62"/>
    <w:rsid w:val="00074030"/>
    <w:rsid w:val="000740E0"/>
    <w:rsid w:val="00074481"/>
    <w:rsid w:val="000745B8"/>
    <w:rsid w:val="0007482A"/>
    <w:rsid w:val="000749AC"/>
    <w:rsid w:val="00074B3D"/>
    <w:rsid w:val="00074BA6"/>
    <w:rsid w:val="00074C48"/>
    <w:rsid w:val="00074DCD"/>
    <w:rsid w:val="00074EDB"/>
    <w:rsid w:val="00074F35"/>
    <w:rsid w:val="00075001"/>
    <w:rsid w:val="00075259"/>
    <w:rsid w:val="0007538C"/>
    <w:rsid w:val="000759D4"/>
    <w:rsid w:val="00075A2A"/>
    <w:rsid w:val="00075A46"/>
    <w:rsid w:val="00075B9E"/>
    <w:rsid w:val="00075C61"/>
    <w:rsid w:val="00075CB2"/>
    <w:rsid w:val="00075D66"/>
    <w:rsid w:val="00075DAD"/>
    <w:rsid w:val="00075E19"/>
    <w:rsid w:val="00076090"/>
    <w:rsid w:val="000760B9"/>
    <w:rsid w:val="000760DE"/>
    <w:rsid w:val="000762D4"/>
    <w:rsid w:val="000763A2"/>
    <w:rsid w:val="000765E9"/>
    <w:rsid w:val="000765FC"/>
    <w:rsid w:val="00076639"/>
    <w:rsid w:val="000766A7"/>
    <w:rsid w:val="0007671D"/>
    <w:rsid w:val="00076788"/>
    <w:rsid w:val="0007688E"/>
    <w:rsid w:val="00076A5A"/>
    <w:rsid w:val="00076A5F"/>
    <w:rsid w:val="00076B56"/>
    <w:rsid w:val="00076B9D"/>
    <w:rsid w:val="00076BC1"/>
    <w:rsid w:val="00076EA5"/>
    <w:rsid w:val="00076FC3"/>
    <w:rsid w:val="0007705A"/>
    <w:rsid w:val="00077133"/>
    <w:rsid w:val="00077167"/>
    <w:rsid w:val="00077441"/>
    <w:rsid w:val="000774E1"/>
    <w:rsid w:val="0007759F"/>
    <w:rsid w:val="000775B8"/>
    <w:rsid w:val="000775C8"/>
    <w:rsid w:val="000775CF"/>
    <w:rsid w:val="000775E5"/>
    <w:rsid w:val="0007762D"/>
    <w:rsid w:val="000778E6"/>
    <w:rsid w:val="00077A30"/>
    <w:rsid w:val="00077C6C"/>
    <w:rsid w:val="00077CB9"/>
    <w:rsid w:val="00077DC6"/>
    <w:rsid w:val="00077ECD"/>
    <w:rsid w:val="00077FD8"/>
    <w:rsid w:val="000800DA"/>
    <w:rsid w:val="000801B3"/>
    <w:rsid w:val="000801F0"/>
    <w:rsid w:val="0008033F"/>
    <w:rsid w:val="00080682"/>
    <w:rsid w:val="0008074C"/>
    <w:rsid w:val="00080757"/>
    <w:rsid w:val="0008082D"/>
    <w:rsid w:val="000808D2"/>
    <w:rsid w:val="000808FA"/>
    <w:rsid w:val="00080991"/>
    <w:rsid w:val="000809B1"/>
    <w:rsid w:val="000809C2"/>
    <w:rsid w:val="000809CE"/>
    <w:rsid w:val="00080A10"/>
    <w:rsid w:val="00080B13"/>
    <w:rsid w:val="00080B79"/>
    <w:rsid w:val="00080CA6"/>
    <w:rsid w:val="00080D8D"/>
    <w:rsid w:val="00080EC6"/>
    <w:rsid w:val="00080F07"/>
    <w:rsid w:val="00080FCC"/>
    <w:rsid w:val="0008102B"/>
    <w:rsid w:val="0008106A"/>
    <w:rsid w:val="000810E7"/>
    <w:rsid w:val="000810EE"/>
    <w:rsid w:val="00081149"/>
    <w:rsid w:val="000811B3"/>
    <w:rsid w:val="0008123C"/>
    <w:rsid w:val="0008126B"/>
    <w:rsid w:val="000813F8"/>
    <w:rsid w:val="00081480"/>
    <w:rsid w:val="000815D0"/>
    <w:rsid w:val="0008161C"/>
    <w:rsid w:val="00081642"/>
    <w:rsid w:val="0008166D"/>
    <w:rsid w:val="000817CD"/>
    <w:rsid w:val="000818C2"/>
    <w:rsid w:val="000818E6"/>
    <w:rsid w:val="00081BBF"/>
    <w:rsid w:val="00081C12"/>
    <w:rsid w:val="00081C69"/>
    <w:rsid w:val="00081C97"/>
    <w:rsid w:val="00081D02"/>
    <w:rsid w:val="00081EA1"/>
    <w:rsid w:val="00081F37"/>
    <w:rsid w:val="00081F6D"/>
    <w:rsid w:val="00081F86"/>
    <w:rsid w:val="00082021"/>
    <w:rsid w:val="000820A0"/>
    <w:rsid w:val="000821E2"/>
    <w:rsid w:val="000824BF"/>
    <w:rsid w:val="00082512"/>
    <w:rsid w:val="00082549"/>
    <w:rsid w:val="000825BE"/>
    <w:rsid w:val="0008275D"/>
    <w:rsid w:val="00082818"/>
    <w:rsid w:val="00082861"/>
    <w:rsid w:val="00082910"/>
    <w:rsid w:val="00082A43"/>
    <w:rsid w:val="00082AFC"/>
    <w:rsid w:val="00082D70"/>
    <w:rsid w:val="00082EA3"/>
    <w:rsid w:val="00083028"/>
    <w:rsid w:val="00083346"/>
    <w:rsid w:val="000833AD"/>
    <w:rsid w:val="00083492"/>
    <w:rsid w:val="0008353C"/>
    <w:rsid w:val="00083592"/>
    <w:rsid w:val="00083646"/>
    <w:rsid w:val="000836E1"/>
    <w:rsid w:val="0008372E"/>
    <w:rsid w:val="00083796"/>
    <w:rsid w:val="00083839"/>
    <w:rsid w:val="00083AAD"/>
    <w:rsid w:val="00083ADF"/>
    <w:rsid w:val="00083B0E"/>
    <w:rsid w:val="00083BF3"/>
    <w:rsid w:val="00083C61"/>
    <w:rsid w:val="00083CA9"/>
    <w:rsid w:val="00083CBD"/>
    <w:rsid w:val="00083CDA"/>
    <w:rsid w:val="00083E7E"/>
    <w:rsid w:val="0008408B"/>
    <w:rsid w:val="000840A7"/>
    <w:rsid w:val="000840FB"/>
    <w:rsid w:val="00084100"/>
    <w:rsid w:val="0008417F"/>
    <w:rsid w:val="000841B9"/>
    <w:rsid w:val="0008424A"/>
    <w:rsid w:val="000843DD"/>
    <w:rsid w:val="00084778"/>
    <w:rsid w:val="000847BF"/>
    <w:rsid w:val="000847DD"/>
    <w:rsid w:val="000848D3"/>
    <w:rsid w:val="00084949"/>
    <w:rsid w:val="00084A0A"/>
    <w:rsid w:val="00084A47"/>
    <w:rsid w:val="00084C49"/>
    <w:rsid w:val="00084C6A"/>
    <w:rsid w:val="00084C88"/>
    <w:rsid w:val="00084CB5"/>
    <w:rsid w:val="00084D35"/>
    <w:rsid w:val="00084F43"/>
    <w:rsid w:val="00085134"/>
    <w:rsid w:val="00085183"/>
    <w:rsid w:val="00085260"/>
    <w:rsid w:val="0008527B"/>
    <w:rsid w:val="000853B2"/>
    <w:rsid w:val="000853D2"/>
    <w:rsid w:val="000853F9"/>
    <w:rsid w:val="00085439"/>
    <w:rsid w:val="000855BF"/>
    <w:rsid w:val="000855E3"/>
    <w:rsid w:val="000856DA"/>
    <w:rsid w:val="000856E0"/>
    <w:rsid w:val="00085854"/>
    <w:rsid w:val="0008598D"/>
    <w:rsid w:val="00085A15"/>
    <w:rsid w:val="00085ADC"/>
    <w:rsid w:val="00085B31"/>
    <w:rsid w:val="00085BA9"/>
    <w:rsid w:val="00085BB8"/>
    <w:rsid w:val="00085C72"/>
    <w:rsid w:val="00085C7A"/>
    <w:rsid w:val="00085CD4"/>
    <w:rsid w:val="00085D50"/>
    <w:rsid w:val="00085E98"/>
    <w:rsid w:val="00085F10"/>
    <w:rsid w:val="00086075"/>
    <w:rsid w:val="000861DA"/>
    <w:rsid w:val="0008631F"/>
    <w:rsid w:val="00086385"/>
    <w:rsid w:val="000864B2"/>
    <w:rsid w:val="00086519"/>
    <w:rsid w:val="00086666"/>
    <w:rsid w:val="00086746"/>
    <w:rsid w:val="00086748"/>
    <w:rsid w:val="00086835"/>
    <w:rsid w:val="000868A8"/>
    <w:rsid w:val="000869B7"/>
    <w:rsid w:val="00086BCC"/>
    <w:rsid w:val="00087049"/>
    <w:rsid w:val="000870EC"/>
    <w:rsid w:val="00087226"/>
    <w:rsid w:val="000872A4"/>
    <w:rsid w:val="000872C6"/>
    <w:rsid w:val="000873FF"/>
    <w:rsid w:val="00087411"/>
    <w:rsid w:val="000874FE"/>
    <w:rsid w:val="000875C4"/>
    <w:rsid w:val="0008763C"/>
    <w:rsid w:val="000876C5"/>
    <w:rsid w:val="00087796"/>
    <w:rsid w:val="0008783C"/>
    <w:rsid w:val="00087882"/>
    <w:rsid w:val="000879C1"/>
    <w:rsid w:val="00087BC4"/>
    <w:rsid w:val="00087BF1"/>
    <w:rsid w:val="00087C27"/>
    <w:rsid w:val="00087D47"/>
    <w:rsid w:val="00087D94"/>
    <w:rsid w:val="00087E01"/>
    <w:rsid w:val="00087FE4"/>
    <w:rsid w:val="00090004"/>
    <w:rsid w:val="00090023"/>
    <w:rsid w:val="000900DF"/>
    <w:rsid w:val="000902EB"/>
    <w:rsid w:val="000903C0"/>
    <w:rsid w:val="000903D7"/>
    <w:rsid w:val="0009061F"/>
    <w:rsid w:val="00090776"/>
    <w:rsid w:val="00090847"/>
    <w:rsid w:val="00090A90"/>
    <w:rsid w:val="00090AB6"/>
    <w:rsid w:val="00090C13"/>
    <w:rsid w:val="00090EB2"/>
    <w:rsid w:val="00090EBE"/>
    <w:rsid w:val="0009105D"/>
    <w:rsid w:val="00091412"/>
    <w:rsid w:val="00091498"/>
    <w:rsid w:val="000914F3"/>
    <w:rsid w:val="00091594"/>
    <w:rsid w:val="00091630"/>
    <w:rsid w:val="00091658"/>
    <w:rsid w:val="000917EB"/>
    <w:rsid w:val="00091910"/>
    <w:rsid w:val="00091917"/>
    <w:rsid w:val="00091CAE"/>
    <w:rsid w:val="00091CF9"/>
    <w:rsid w:val="00091E94"/>
    <w:rsid w:val="00091F24"/>
    <w:rsid w:val="000920B7"/>
    <w:rsid w:val="0009216C"/>
    <w:rsid w:val="000924D6"/>
    <w:rsid w:val="000926DB"/>
    <w:rsid w:val="0009274E"/>
    <w:rsid w:val="0009278A"/>
    <w:rsid w:val="0009285D"/>
    <w:rsid w:val="000928A8"/>
    <w:rsid w:val="000928B2"/>
    <w:rsid w:val="00092C96"/>
    <w:rsid w:val="00092CDE"/>
    <w:rsid w:val="00092CF0"/>
    <w:rsid w:val="00092E08"/>
    <w:rsid w:val="00092E5D"/>
    <w:rsid w:val="00092EAC"/>
    <w:rsid w:val="00092EC8"/>
    <w:rsid w:val="00092F1B"/>
    <w:rsid w:val="00092F55"/>
    <w:rsid w:val="0009310F"/>
    <w:rsid w:val="000931AF"/>
    <w:rsid w:val="0009335C"/>
    <w:rsid w:val="0009338B"/>
    <w:rsid w:val="00093450"/>
    <w:rsid w:val="00093523"/>
    <w:rsid w:val="0009352A"/>
    <w:rsid w:val="000935A4"/>
    <w:rsid w:val="0009361D"/>
    <w:rsid w:val="00093637"/>
    <w:rsid w:val="0009378A"/>
    <w:rsid w:val="000939D0"/>
    <w:rsid w:val="00093A1B"/>
    <w:rsid w:val="00093BD8"/>
    <w:rsid w:val="00093CB6"/>
    <w:rsid w:val="00093CFA"/>
    <w:rsid w:val="00093E10"/>
    <w:rsid w:val="00093E8B"/>
    <w:rsid w:val="00093EA6"/>
    <w:rsid w:val="00093F66"/>
    <w:rsid w:val="000940E1"/>
    <w:rsid w:val="000941D7"/>
    <w:rsid w:val="0009428E"/>
    <w:rsid w:val="000942FA"/>
    <w:rsid w:val="000943AB"/>
    <w:rsid w:val="00094405"/>
    <w:rsid w:val="000944DC"/>
    <w:rsid w:val="00094524"/>
    <w:rsid w:val="00094679"/>
    <w:rsid w:val="0009470D"/>
    <w:rsid w:val="000947DA"/>
    <w:rsid w:val="0009486E"/>
    <w:rsid w:val="000948A5"/>
    <w:rsid w:val="000949F1"/>
    <w:rsid w:val="00094CDA"/>
    <w:rsid w:val="00094DD0"/>
    <w:rsid w:val="00094E25"/>
    <w:rsid w:val="000950D7"/>
    <w:rsid w:val="0009516C"/>
    <w:rsid w:val="000951CA"/>
    <w:rsid w:val="000951D3"/>
    <w:rsid w:val="00095288"/>
    <w:rsid w:val="0009575D"/>
    <w:rsid w:val="0009584F"/>
    <w:rsid w:val="000958C0"/>
    <w:rsid w:val="000958CC"/>
    <w:rsid w:val="000958E8"/>
    <w:rsid w:val="00095C85"/>
    <w:rsid w:val="00095F11"/>
    <w:rsid w:val="0009610C"/>
    <w:rsid w:val="00096173"/>
    <w:rsid w:val="00096176"/>
    <w:rsid w:val="0009620E"/>
    <w:rsid w:val="00096240"/>
    <w:rsid w:val="00096255"/>
    <w:rsid w:val="000964A7"/>
    <w:rsid w:val="00096600"/>
    <w:rsid w:val="00096613"/>
    <w:rsid w:val="000967E2"/>
    <w:rsid w:val="000969DF"/>
    <w:rsid w:val="00096A29"/>
    <w:rsid w:val="00096AD3"/>
    <w:rsid w:val="00096B40"/>
    <w:rsid w:val="00096C7A"/>
    <w:rsid w:val="00096DFE"/>
    <w:rsid w:val="00096E41"/>
    <w:rsid w:val="00096EE1"/>
    <w:rsid w:val="00096F84"/>
    <w:rsid w:val="00097056"/>
    <w:rsid w:val="00097181"/>
    <w:rsid w:val="00097490"/>
    <w:rsid w:val="0009750E"/>
    <w:rsid w:val="000975EA"/>
    <w:rsid w:val="0009761B"/>
    <w:rsid w:val="00097643"/>
    <w:rsid w:val="000976AD"/>
    <w:rsid w:val="0009778E"/>
    <w:rsid w:val="000978A7"/>
    <w:rsid w:val="000978EF"/>
    <w:rsid w:val="0009796C"/>
    <w:rsid w:val="00097A2A"/>
    <w:rsid w:val="00097A64"/>
    <w:rsid w:val="00097B13"/>
    <w:rsid w:val="00097C33"/>
    <w:rsid w:val="00097C88"/>
    <w:rsid w:val="00097CB8"/>
    <w:rsid w:val="00097CCA"/>
    <w:rsid w:val="00097D62"/>
    <w:rsid w:val="00097DE3"/>
    <w:rsid w:val="00097EF4"/>
    <w:rsid w:val="000A0038"/>
    <w:rsid w:val="000A0190"/>
    <w:rsid w:val="000A01BE"/>
    <w:rsid w:val="000A01D1"/>
    <w:rsid w:val="000A01E4"/>
    <w:rsid w:val="000A0360"/>
    <w:rsid w:val="000A0455"/>
    <w:rsid w:val="000A0459"/>
    <w:rsid w:val="000A046F"/>
    <w:rsid w:val="000A0528"/>
    <w:rsid w:val="000A0743"/>
    <w:rsid w:val="000A08E3"/>
    <w:rsid w:val="000A0A35"/>
    <w:rsid w:val="000A0B03"/>
    <w:rsid w:val="000A0BFC"/>
    <w:rsid w:val="000A0D02"/>
    <w:rsid w:val="000A0D87"/>
    <w:rsid w:val="000A0DC8"/>
    <w:rsid w:val="000A0EED"/>
    <w:rsid w:val="000A0EF8"/>
    <w:rsid w:val="000A0FBA"/>
    <w:rsid w:val="000A0FC8"/>
    <w:rsid w:val="000A108C"/>
    <w:rsid w:val="000A13FD"/>
    <w:rsid w:val="000A14AF"/>
    <w:rsid w:val="000A16B7"/>
    <w:rsid w:val="000A174C"/>
    <w:rsid w:val="000A184E"/>
    <w:rsid w:val="000A1886"/>
    <w:rsid w:val="000A1AA5"/>
    <w:rsid w:val="000A1C58"/>
    <w:rsid w:val="000A1CDD"/>
    <w:rsid w:val="000A1E0C"/>
    <w:rsid w:val="000A1FE4"/>
    <w:rsid w:val="000A2079"/>
    <w:rsid w:val="000A20B3"/>
    <w:rsid w:val="000A20CC"/>
    <w:rsid w:val="000A2209"/>
    <w:rsid w:val="000A225A"/>
    <w:rsid w:val="000A23B0"/>
    <w:rsid w:val="000A263E"/>
    <w:rsid w:val="000A27E3"/>
    <w:rsid w:val="000A2836"/>
    <w:rsid w:val="000A296B"/>
    <w:rsid w:val="000A2971"/>
    <w:rsid w:val="000A29D5"/>
    <w:rsid w:val="000A2B52"/>
    <w:rsid w:val="000A2C52"/>
    <w:rsid w:val="000A2CBD"/>
    <w:rsid w:val="000A2D4F"/>
    <w:rsid w:val="000A3072"/>
    <w:rsid w:val="000A30B1"/>
    <w:rsid w:val="000A3295"/>
    <w:rsid w:val="000A32D0"/>
    <w:rsid w:val="000A32E2"/>
    <w:rsid w:val="000A33B9"/>
    <w:rsid w:val="000A3464"/>
    <w:rsid w:val="000A3502"/>
    <w:rsid w:val="000A35F7"/>
    <w:rsid w:val="000A360D"/>
    <w:rsid w:val="000A3666"/>
    <w:rsid w:val="000A36C2"/>
    <w:rsid w:val="000A371F"/>
    <w:rsid w:val="000A389E"/>
    <w:rsid w:val="000A39B6"/>
    <w:rsid w:val="000A39EA"/>
    <w:rsid w:val="000A39F0"/>
    <w:rsid w:val="000A3CEE"/>
    <w:rsid w:val="000A3D8A"/>
    <w:rsid w:val="000A4160"/>
    <w:rsid w:val="000A4179"/>
    <w:rsid w:val="000A41E6"/>
    <w:rsid w:val="000A42E5"/>
    <w:rsid w:val="000A441B"/>
    <w:rsid w:val="000A45A8"/>
    <w:rsid w:val="000A46E0"/>
    <w:rsid w:val="000A47D8"/>
    <w:rsid w:val="000A4823"/>
    <w:rsid w:val="000A4885"/>
    <w:rsid w:val="000A4922"/>
    <w:rsid w:val="000A4929"/>
    <w:rsid w:val="000A4A72"/>
    <w:rsid w:val="000A4A8D"/>
    <w:rsid w:val="000A4BFD"/>
    <w:rsid w:val="000A4C9D"/>
    <w:rsid w:val="000A4DEE"/>
    <w:rsid w:val="000A4E4B"/>
    <w:rsid w:val="000A5035"/>
    <w:rsid w:val="000A5050"/>
    <w:rsid w:val="000A5058"/>
    <w:rsid w:val="000A5198"/>
    <w:rsid w:val="000A52C3"/>
    <w:rsid w:val="000A5445"/>
    <w:rsid w:val="000A54F8"/>
    <w:rsid w:val="000A5986"/>
    <w:rsid w:val="000A599D"/>
    <w:rsid w:val="000A59D5"/>
    <w:rsid w:val="000A5A0B"/>
    <w:rsid w:val="000A5A75"/>
    <w:rsid w:val="000A5D48"/>
    <w:rsid w:val="000A5E1E"/>
    <w:rsid w:val="000A5EE4"/>
    <w:rsid w:val="000A5FFA"/>
    <w:rsid w:val="000A61EA"/>
    <w:rsid w:val="000A61FE"/>
    <w:rsid w:val="000A6222"/>
    <w:rsid w:val="000A6270"/>
    <w:rsid w:val="000A635B"/>
    <w:rsid w:val="000A6431"/>
    <w:rsid w:val="000A646C"/>
    <w:rsid w:val="000A664C"/>
    <w:rsid w:val="000A674E"/>
    <w:rsid w:val="000A67A1"/>
    <w:rsid w:val="000A686C"/>
    <w:rsid w:val="000A687D"/>
    <w:rsid w:val="000A69CB"/>
    <w:rsid w:val="000A6B39"/>
    <w:rsid w:val="000A6B5C"/>
    <w:rsid w:val="000A6B92"/>
    <w:rsid w:val="000A6E27"/>
    <w:rsid w:val="000A6E51"/>
    <w:rsid w:val="000A6EA1"/>
    <w:rsid w:val="000A6ECD"/>
    <w:rsid w:val="000A6ED2"/>
    <w:rsid w:val="000A6FA4"/>
    <w:rsid w:val="000A6FFF"/>
    <w:rsid w:val="000A709B"/>
    <w:rsid w:val="000A71D3"/>
    <w:rsid w:val="000A73F9"/>
    <w:rsid w:val="000A7403"/>
    <w:rsid w:val="000A7412"/>
    <w:rsid w:val="000A743D"/>
    <w:rsid w:val="000A74F2"/>
    <w:rsid w:val="000A7732"/>
    <w:rsid w:val="000A776F"/>
    <w:rsid w:val="000A79BF"/>
    <w:rsid w:val="000A7A80"/>
    <w:rsid w:val="000A7AF3"/>
    <w:rsid w:val="000A7B40"/>
    <w:rsid w:val="000A7BFA"/>
    <w:rsid w:val="000A7CBD"/>
    <w:rsid w:val="000A7D4A"/>
    <w:rsid w:val="000A7E3F"/>
    <w:rsid w:val="000A7EE3"/>
    <w:rsid w:val="000A7F35"/>
    <w:rsid w:val="000A7F44"/>
    <w:rsid w:val="000B0164"/>
    <w:rsid w:val="000B025B"/>
    <w:rsid w:val="000B02D5"/>
    <w:rsid w:val="000B042A"/>
    <w:rsid w:val="000B046C"/>
    <w:rsid w:val="000B0547"/>
    <w:rsid w:val="000B0863"/>
    <w:rsid w:val="000B08FC"/>
    <w:rsid w:val="000B09C0"/>
    <w:rsid w:val="000B09D2"/>
    <w:rsid w:val="000B09EA"/>
    <w:rsid w:val="000B09EC"/>
    <w:rsid w:val="000B0A5F"/>
    <w:rsid w:val="000B0C64"/>
    <w:rsid w:val="000B0D00"/>
    <w:rsid w:val="000B0D97"/>
    <w:rsid w:val="000B0E1D"/>
    <w:rsid w:val="000B0EF9"/>
    <w:rsid w:val="000B1042"/>
    <w:rsid w:val="000B10A4"/>
    <w:rsid w:val="000B1332"/>
    <w:rsid w:val="000B1363"/>
    <w:rsid w:val="000B1385"/>
    <w:rsid w:val="000B141A"/>
    <w:rsid w:val="000B145F"/>
    <w:rsid w:val="000B170D"/>
    <w:rsid w:val="000B172F"/>
    <w:rsid w:val="000B1826"/>
    <w:rsid w:val="000B1833"/>
    <w:rsid w:val="000B1939"/>
    <w:rsid w:val="000B1A7A"/>
    <w:rsid w:val="000B1AC1"/>
    <w:rsid w:val="000B1B2C"/>
    <w:rsid w:val="000B1B6D"/>
    <w:rsid w:val="000B1BDF"/>
    <w:rsid w:val="000B1D35"/>
    <w:rsid w:val="000B1D93"/>
    <w:rsid w:val="000B1F4F"/>
    <w:rsid w:val="000B210A"/>
    <w:rsid w:val="000B2163"/>
    <w:rsid w:val="000B2336"/>
    <w:rsid w:val="000B2359"/>
    <w:rsid w:val="000B263C"/>
    <w:rsid w:val="000B28E1"/>
    <w:rsid w:val="000B293A"/>
    <w:rsid w:val="000B2972"/>
    <w:rsid w:val="000B2991"/>
    <w:rsid w:val="000B2B75"/>
    <w:rsid w:val="000B2B95"/>
    <w:rsid w:val="000B2C8C"/>
    <w:rsid w:val="000B2CBC"/>
    <w:rsid w:val="000B2CE1"/>
    <w:rsid w:val="000B2E74"/>
    <w:rsid w:val="000B2EF1"/>
    <w:rsid w:val="000B2F7C"/>
    <w:rsid w:val="000B2FA2"/>
    <w:rsid w:val="000B305B"/>
    <w:rsid w:val="000B3090"/>
    <w:rsid w:val="000B31CD"/>
    <w:rsid w:val="000B3559"/>
    <w:rsid w:val="000B3648"/>
    <w:rsid w:val="000B372F"/>
    <w:rsid w:val="000B3730"/>
    <w:rsid w:val="000B3876"/>
    <w:rsid w:val="000B3B09"/>
    <w:rsid w:val="000B3C86"/>
    <w:rsid w:val="000B3C96"/>
    <w:rsid w:val="000B3CAB"/>
    <w:rsid w:val="000B3D4E"/>
    <w:rsid w:val="000B3D9A"/>
    <w:rsid w:val="000B3E03"/>
    <w:rsid w:val="000B3E47"/>
    <w:rsid w:val="000B3F72"/>
    <w:rsid w:val="000B40A1"/>
    <w:rsid w:val="000B4167"/>
    <w:rsid w:val="000B420D"/>
    <w:rsid w:val="000B4497"/>
    <w:rsid w:val="000B45FA"/>
    <w:rsid w:val="000B4697"/>
    <w:rsid w:val="000B4723"/>
    <w:rsid w:val="000B49B4"/>
    <w:rsid w:val="000B4B86"/>
    <w:rsid w:val="000B4BC2"/>
    <w:rsid w:val="000B4D27"/>
    <w:rsid w:val="000B4D2D"/>
    <w:rsid w:val="000B4F06"/>
    <w:rsid w:val="000B4FE8"/>
    <w:rsid w:val="000B5054"/>
    <w:rsid w:val="000B50D0"/>
    <w:rsid w:val="000B50D8"/>
    <w:rsid w:val="000B5165"/>
    <w:rsid w:val="000B51CE"/>
    <w:rsid w:val="000B5346"/>
    <w:rsid w:val="000B53DA"/>
    <w:rsid w:val="000B5594"/>
    <w:rsid w:val="000B55EF"/>
    <w:rsid w:val="000B564C"/>
    <w:rsid w:val="000B566D"/>
    <w:rsid w:val="000B56B0"/>
    <w:rsid w:val="000B57E4"/>
    <w:rsid w:val="000B5801"/>
    <w:rsid w:val="000B5809"/>
    <w:rsid w:val="000B599F"/>
    <w:rsid w:val="000B59DF"/>
    <w:rsid w:val="000B5A13"/>
    <w:rsid w:val="000B5AB3"/>
    <w:rsid w:val="000B5C6B"/>
    <w:rsid w:val="000B5D2E"/>
    <w:rsid w:val="000B5D30"/>
    <w:rsid w:val="000B5D87"/>
    <w:rsid w:val="000B5E4C"/>
    <w:rsid w:val="000B5E8A"/>
    <w:rsid w:val="000B6392"/>
    <w:rsid w:val="000B6457"/>
    <w:rsid w:val="000B6750"/>
    <w:rsid w:val="000B68C8"/>
    <w:rsid w:val="000B6963"/>
    <w:rsid w:val="000B69B7"/>
    <w:rsid w:val="000B6A26"/>
    <w:rsid w:val="000B6A75"/>
    <w:rsid w:val="000B6C55"/>
    <w:rsid w:val="000B6CC0"/>
    <w:rsid w:val="000B6DDE"/>
    <w:rsid w:val="000B6DF8"/>
    <w:rsid w:val="000B6E37"/>
    <w:rsid w:val="000B6E56"/>
    <w:rsid w:val="000B6FE5"/>
    <w:rsid w:val="000B70C1"/>
    <w:rsid w:val="000B74F5"/>
    <w:rsid w:val="000B752C"/>
    <w:rsid w:val="000B7785"/>
    <w:rsid w:val="000B778E"/>
    <w:rsid w:val="000B77A1"/>
    <w:rsid w:val="000B79C1"/>
    <w:rsid w:val="000B7AC4"/>
    <w:rsid w:val="000B7B47"/>
    <w:rsid w:val="000B7CBA"/>
    <w:rsid w:val="000B7E51"/>
    <w:rsid w:val="000B7E5C"/>
    <w:rsid w:val="000C0027"/>
    <w:rsid w:val="000C01DD"/>
    <w:rsid w:val="000C024A"/>
    <w:rsid w:val="000C026F"/>
    <w:rsid w:val="000C02CF"/>
    <w:rsid w:val="000C02EE"/>
    <w:rsid w:val="000C05B1"/>
    <w:rsid w:val="000C05F8"/>
    <w:rsid w:val="000C064F"/>
    <w:rsid w:val="000C0664"/>
    <w:rsid w:val="000C08A3"/>
    <w:rsid w:val="000C08F9"/>
    <w:rsid w:val="000C0974"/>
    <w:rsid w:val="000C09DC"/>
    <w:rsid w:val="000C0A03"/>
    <w:rsid w:val="000C0A08"/>
    <w:rsid w:val="000C0A0A"/>
    <w:rsid w:val="000C0A64"/>
    <w:rsid w:val="000C0C54"/>
    <w:rsid w:val="000C0D4D"/>
    <w:rsid w:val="000C0D9B"/>
    <w:rsid w:val="000C0EE6"/>
    <w:rsid w:val="000C0EF8"/>
    <w:rsid w:val="000C0FA0"/>
    <w:rsid w:val="000C111F"/>
    <w:rsid w:val="000C1280"/>
    <w:rsid w:val="000C129E"/>
    <w:rsid w:val="000C12C0"/>
    <w:rsid w:val="000C1399"/>
    <w:rsid w:val="000C13A0"/>
    <w:rsid w:val="000C13F9"/>
    <w:rsid w:val="000C1424"/>
    <w:rsid w:val="000C1433"/>
    <w:rsid w:val="000C149A"/>
    <w:rsid w:val="000C16A6"/>
    <w:rsid w:val="000C16D2"/>
    <w:rsid w:val="000C18B9"/>
    <w:rsid w:val="000C194D"/>
    <w:rsid w:val="000C1ABD"/>
    <w:rsid w:val="000C1B90"/>
    <w:rsid w:val="000C1CA1"/>
    <w:rsid w:val="000C1CB2"/>
    <w:rsid w:val="000C1D8F"/>
    <w:rsid w:val="000C2041"/>
    <w:rsid w:val="000C210E"/>
    <w:rsid w:val="000C2113"/>
    <w:rsid w:val="000C2201"/>
    <w:rsid w:val="000C22B6"/>
    <w:rsid w:val="000C22BB"/>
    <w:rsid w:val="000C22EF"/>
    <w:rsid w:val="000C2386"/>
    <w:rsid w:val="000C23BC"/>
    <w:rsid w:val="000C23BE"/>
    <w:rsid w:val="000C23BF"/>
    <w:rsid w:val="000C2478"/>
    <w:rsid w:val="000C259C"/>
    <w:rsid w:val="000C25E6"/>
    <w:rsid w:val="000C2617"/>
    <w:rsid w:val="000C2748"/>
    <w:rsid w:val="000C28CD"/>
    <w:rsid w:val="000C2A85"/>
    <w:rsid w:val="000C2AC0"/>
    <w:rsid w:val="000C2B2E"/>
    <w:rsid w:val="000C2B3D"/>
    <w:rsid w:val="000C2BD7"/>
    <w:rsid w:val="000C2D5C"/>
    <w:rsid w:val="000C2DF5"/>
    <w:rsid w:val="000C2DFC"/>
    <w:rsid w:val="000C2FB1"/>
    <w:rsid w:val="000C2FD1"/>
    <w:rsid w:val="000C3034"/>
    <w:rsid w:val="000C31FD"/>
    <w:rsid w:val="000C323A"/>
    <w:rsid w:val="000C334C"/>
    <w:rsid w:val="000C3432"/>
    <w:rsid w:val="000C3752"/>
    <w:rsid w:val="000C37F3"/>
    <w:rsid w:val="000C38C2"/>
    <w:rsid w:val="000C3973"/>
    <w:rsid w:val="000C3999"/>
    <w:rsid w:val="000C39A3"/>
    <w:rsid w:val="000C39BA"/>
    <w:rsid w:val="000C39F7"/>
    <w:rsid w:val="000C3B2F"/>
    <w:rsid w:val="000C3BD8"/>
    <w:rsid w:val="000C3C27"/>
    <w:rsid w:val="000C3CC6"/>
    <w:rsid w:val="000C3FA5"/>
    <w:rsid w:val="000C4014"/>
    <w:rsid w:val="000C41A0"/>
    <w:rsid w:val="000C41CB"/>
    <w:rsid w:val="000C4224"/>
    <w:rsid w:val="000C4489"/>
    <w:rsid w:val="000C44DC"/>
    <w:rsid w:val="000C45B2"/>
    <w:rsid w:val="000C4648"/>
    <w:rsid w:val="000C465B"/>
    <w:rsid w:val="000C4662"/>
    <w:rsid w:val="000C4670"/>
    <w:rsid w:val="000C46B1"/>
    <w:rsid w:val="000C4929"/>
    <w:rsid w:val="000C4B7E"/>
    <w:rsid w:val="000C4B8F"/>
    <w:rsid w:val="000C4D44"/>
    <w:rsid w:val="000C4D9B"/>
    <w:rsid w:val="000C5044"/>
    <w:rsid w:val="000C51D7"/>
    <w:rsid w:val="000C523F"/>
    <w:rsid w:val="000C529A"/>
    <w:rsid w:val="000C54B7"/>
    <w:rsid w:val="000C5671"/>
    <w:rsid w:val="000C569C"/>
    <w:rsid w:val="000C56B8"/>
    <w:rsid w:val="000C56EA"/>
    <w:rsid w:val="000C57BC"/>
    <w:rsid w:val="000C58BD"/>
    <w:rsid w:val="000C5970"/>
    <w:rsid w:val="000C59A9"/>
    <w:rsid w:val="000C59D7"/>
    <w:rsid w:val="000C5A0E"/>
    <w:rsid w:val="000C5A3C"/>
    <w:rsid w:val="000C5AA3"/>
    <w:rsid w:val="000C5AD1"/>
    <w:rsid w:val="000C5B22"/>
    <w:rsid w:val="000C5BF7"/>
    <w:rsid w:val="000C5C89"/>
    <w:rsid w:val="000C5D9C"/>
    <w:rsid w:val="000C5EDB"/>
    <w:rsid w:val="000C60D9"/>
    <w:rsid w:val="000C615C"/>
    <w:rsid w:val="000C61A2"/>
    <w:rsid w:val="000C629B"/>
    <w:rsid w:val="000C6409"/>
    <w:rsid w:val="000C6473"/>
    <w:rsid w:val="000C6616"/>
    <w:rsid w:val="000C678A"/>
    <w:rsid w:val="000C68B3"/>
    <w:rsid w:val="000C68E4"/>
    <w:rsid w:val="000C6A33"/>
    <w:rsid w:val="000C6A5C"/>
    <w:rsid w:val="000C6A6A"/>
    <w:rsid w:val="000C6B0A"/>
    <w:rsid w:val="000C6B59"/>
    <w:rsid w:val="000C6B5C"/>
    <w:rsid w:val="000C6B7A"/>
    <w:rsid w:val="000C6C19"/>
    <w:rsid w:val="000C6C79"/>
    <w:rsid w:val="000C6E3D"/>
    <w:rsid w:val="000C6EDD"/>
    <w:rsid w:val="000C6EEE"/>
    <w:rsid w:val="000C6F6A"/>
    <w:rsid w:val="000C6F93"/>
    <w:rsid w:val="000C6FB2"/>
    <w:rsid w:val="000C704D"/>
    <w:rsid w:val="000C72CA"/>
    <w:rsid w:val="000C732C"/>
    <w:rsid w:val="000C736C"/>
    <w:rsid w:val="000C73BE"/>
    <w:rsid w:val="000C743F"/>
    <w:rsid w:val="000C747A"/>
    <w:rsid w:val="000C74D1"/>
    <w:rsid w:val="000C7667"/>
    <w:rsid w:val="000C7825"/>
    <w:rsid w:val="000C7AA5"/>
    <w:rsid w:val="000C7BF2"/>
    <w:rsid w:val="000C7DA2"/>
    <w:rsid w:val="000C7DAD"/>
    <w:rsid w:val="000C7FA2"/>
    <w:rsid w:val="000D006F"/>
    <w:rsid w:val="000D00C4"/>
    <w:rsid w:val="000D01EA"/>
    <w:rsid w:val="000D01EF"/>
    <w:rsid w:val="000D025E"/>
    <w:rsid w:val="000D02C7"/>
    <w:rsid w:val="000D0537"/>
    <w:rsid w:val="000D0652"/>
    <w:rsid w:val="000D0663"/>
    <w:rsid w:val="000D0693"/>
    <w:rsid w:val="000D06DD"/>
    <w:rsid w:val="000D07F1"/>
    <w:rsid w:val="000D0838"/>
    <w:rsid w:val="000D0988"/>
    <w:rsid w:val="000D0A09"/>
    <w:rsid w:val="000D0C0E"/>
    <w:rsid w:val="000D0C69"/>
    <w:rsid w:val="000D0C95"/>
    <w:rsid w:val="000D0CB6"/>
    <w:rsid w:val="000D0D1D"/>
    <w:rsid w:val="000D0DB3"/>
    <w:rsid w:val="000D0E3B"/>
    <w:rsid w:val="000D0EF1"/>
    <w:rsid w:val="000D114E"/>
    <w:rsid w:val="000D11AB"/>
    <w:rsid w:val="000D1724"/>
    <w:rsid w:val="000D1741"/>
    <w:rsid w:val="000D176D"/>
    <w:rsid w:val="000D1771"/>
    <w:rsid w:val="000D1987"/>
    <w:rsid w:val="000D19E2"/>
    <w:rsid w:val="000D1A6D"/>
    <w:rsid w:val="000D1B9C"/>
    <w:rsid w:val="000D1CA8"/>
    <w:rsid w:val="000D1CB6"/>
    <w:rsid w:val="000D208C"/>
    <w:rsid w:val="000D21E2"/>
    <w:rsid w:val="000D23C1"/>
    <w:rsid w:val="000D23FA"/>
    <w:rsid w:val="000D2603"/>
    <w:rsid w:val="000D27BF"/>
    <w:rsid w:val="000D28C4"/>
    <w:rsid w:val="000D2906"/>
    <w:rsid w:val="000D295E"/>
    <w:rsid w:val="000D2979"/>
    <w:rsid w:val="000D2B60"/>
    <w:rsid w:val="000D2BC0"/>
    <w:rsid w:val="000D2C9B"/>
    <w:rsid w:val="000D2D17"/>
    <w:rsid w:val="000D2DA6"/>
    <w:rsid w:val="000D2DFC"/>
    <w:rsid w:val="000D2E39"/>
    <w:rsid w:val="000D309C"/>
    <w:rsid w:val="000D3155"/>
    <w:rsid w:val="000D3494"/>
    <w:rsid w:val="000D34A9"/>
    <w:rsid w:val="000D34BB"/>
    <w:rsid w:val="000D355E"/>
    <w:rsid w:val="000D3598"/>
    <w:rsid w:val="000D3683"/>
    <w:rsid w:val="000D3898"/>
    <w:rsid w:val="000D3927"/>
    <w:rsid w:val="000D39D6"/>
    <w:rsid w:val="000D3AE5"/>
    <w:rsid w:val="000D3B67"/>
    <w:rsid w:val="000D3C9A"/>
    <w:rsid w:val="000D3D1C"/>
    <w:rsid w:val="000D3F12"/>
    <w:rsid w:val="000D3F52"/>
    <w:rsid w:val="000D3F8B"/>
    <w:rsid w:val="000D408D"/>
    <w:rsid w:val="000D4128"/>
    <w:rsid w:val="000D41C9"/>
    <w:rsid w:val="000D4675"/>
    <w:rsid w:val="000D490F"/>
    <w:rsid w:val="000D4A34"/>
    <w:rsid w:val="000D4AC6"/>
    <w:rsid w:val="000D4B55"/>
    <w:rsid w:val="000D4BFB"/>
    <w:rsid w:val="000D4CCD"/>
    <w:rsid w:val="000D4D00"/>
    <w:rsid w:val="000D4D9F"/>
    <w:rsid w:val="000D4DA5"/>
    <w:rsid w:val="000D4E99"/>
    <w:rsid w:val="000D4F19"/>
    <w:rsid w:val="000D4FA9"/>
    <w:rsid w:val="000D5025"/>
    <w:rsid w:val="000D50A7"/>
    <w:rsid w:val="000D52BF"/>
    <w:rsid w:val="000D5340"/>
    <w:rsid w:val="000D53EA"/>
    <w:rsid w:val="000D5437"/>
    <w:rsid w:val="000D54D4"/>
    <w:rsid w:val="000D598C"/>
    <w:rsid w:val="000D5BAB"/>
    <w:rsid w:val="000D5CDB"/>
    <w:rsid w:val="000D5E32"/>
    <w:rsid w:val="000D60CA"/>
    <w:rsid w:val="000D616B"/>
    <w:rsid w:val="000D61EB"/>
    <w:rsid w:val="000D6240"/>
    <w:rsid w:val="000D62F5"/>
    <w:rsid w:val="000D649D"/>
    <w:rsid w:val="000D67BC"/>
    <w:rsid w:val="000D6A58"/>
    <w:rsid w:val="000D6B2E"/>
    <w:rsid w:val="000D6B4D"/>
    <w:rsid w:val="000D6B51"/>
    <w:rsid w:val="000D6B56"/>
    <w:rsid w:val="000D6B74"/>
    <w:rsid w:val="000D6B88"/>
    <w:rsid w:val="000D6BE4"/>
    <w:rsid w:val="000D6D1C"/>
    <w:rsid w:val="000D6D38"/>
    <w:rsid w:val="000D6D3F"/>
    <w:rsid w:val="000D6D7A"/>
    <w:rsid w:val="000D6F03"/>
    <w:rsid w:val="000D7057"/>
    <w:rsid w:val="000D7187"/>
    <w:rsid w:val="000D71B2"/>
    <w:rsid w:val="000D71BB"/>
    <w:rsid w:val="000D7242"/>
    <w:rsid w:val="000D72BA"/>
    <w:rsid w:val="000D72BD"/>
    <w:rsid w:val="000D72D5"/>
    <w:rsid w:val="000D731F"/>
    <w:rsid w:val="000D735E"/>
    <w:rsid w:val="000D743C"/>
    <w:rsid w:val="000D7447"/>
    <w:rsid w:val="000D748F"/>
    <w:rsid w:val="000D7575"/>
    <w:rsid w:val="000D764B"/>
    <w:rsid w:val="000D7693"/>
    <w:rsid w:val="000D7694"/>
    <w:rsid w:val="000D7851"/>
    <w:rsid w:val="000D795A"/>
    <w:rsid w:val="000D7A68"/>
    <w:rsid w:val="000D7B43"/>
    <w:rsid w:val="000D7C31"/>
    <w:rsid w:val="000D7C55"/>
    <w:rsid w:val="000D7F3D"/>
    <w:rsid w:val="000D7FD2"/>
    <w:rsid w:val="000E0024"/>
    <w:rsid w:val="000E0033"/>
    <w:rsid w:val="000E004E"/>
    <w:rsid w:val="000E0071"/>
    <w:rsid w:val="000E0301"/>
    <w:rsid w:val="000E047B"/>
    <w:rsid w:val="000E059A"/>
    <w:rsid w:val="000E0601"/>
    <w:rsid w:val="000E070D"/>
    <w:rsid w:val="000E0755"/>
    <w:rsid w:val="000E079A"/>
    <w:rsid w:val="000E07E9"/>
    <w:rsid w:val="000E0817"/>
    <w:rsid w:val="000E0859"/>
    <w:rsid w:val="000E08AA"/>
    <w:rsid w:val="000E0914"/>
    <w:rsid w:val="000E09C9"/>
    <w:rsid w:val="000E0A15"/>
    <w:rsid w:val="000E0FB2"/>
    <w:rsid w:val="000E1121"/>
    <w:rsid w:val="000E114E"/>
    <w:rsid w:val="000E1234"/>
    <w:rsid w:val="000E126F"/>
    <w:rsid w:val="000E15C4"/>
    <w:rsid w:val="000E1698"/>
    <w:rsid w:val="000E16B5"/>
    <w:rsid w:val="000E16E3"/>
    <w:rsid w:val="000E1751"/>
    <w:rsid w:val="000E181F"/>
    <w:rsid w:val="000E1838"/>
    <w:rsid w:val="000E19AE"/>
    <w:rsid w:val="000E1A11"/>
    <w:rsid w:val="000E1A20"/>
    <w:rsid w:val="000E1BD5"/>
    <w:rsid w:val="000E1C1C"/>
    <w:rsid w:val="000E1DEF"/>
    <w:rsid w:val="000E1F72"/>
    <w:rsid w:val="000E2089"/>
    <w:rsid w:val="000E2209"/>
    <w:rsid w:val="000E247C"/>
    <w:rsid w:val="000E24D5"/>
    <w:rsid w:val="000E2660"/>
    <w:rsid w:val="000E2700"/>
    <w:rsid w:val="000E272E"/>
    <w:rsid w:val="000E27D1"/>
    <w:rsid w:val="000E2A11"/>
    <w:rsid w:val="000E2A12"/>
    <w:rsid w:val="000E2B50"/>
    <w:rsid w:val="000E2B54"/>
    <w:rsid w:val="000E2BFF"/>
    <w:rsid w:val="000E2C15"/>
    <w:rsid w:val="000E2C36"/>
    <w:rsid w:val="000E2CBD"/>
    <w:rsid w:val="000E2CD3"/>
    <w:rsid w:val="000E2D4B"/>
    <w:rsid w:val="000E2D6F"/>
    <w:rsid w:val="000E2DDF"/>
    <w:rsid w:val="000E2E5D"/>
    <w:rsid w:val="000E2EB2"/>
    <w:rsid w:val="000E2FED"/>
    <w:rsid w:val="000E30C0"/>
    <w:rsid w:val="000E30D3"/>
    <w:rsid w:val="000E30D9"/>
    <w:rsid w:val="000E311F"/>
    <w:rsid w:val="000E32AA"/>
    <w:rsid w:val="000E3455"/>
    <w:rsid w:val="000E3457"/>
    <w:rsid w:val="000E3565"/>
    <w:rsid w:val="000E3635"/>
    <w:rsid w:val="000E374B"/>
    <w:rsid w:val="000E3924"/>
    <w:rsid w:val="000E3A51"/>
    <w:rsid w:val="000E3C0B"/>
    <w:rsid w:val="000E3D4A"/>
    <w:rsid w:val="000E3DBC"/>
    <w:rsid w:val="000E3E86"/>
    <w:rsid w:val="000E3EA7"/>
    <w:rsid w:val="000E3EDE"/>
    <w:rsid w:val="000E4268"/>
    <w:rsid w:val="000E42D7"/>
    <w:rsid w:val="000E42EC"/>
    <w:rsid w:val="000E43F6"/>
    <w:rsid w:val="000E43FF"/>
    <w:rsid w:val="000E4419"/>
    <w:rsid w:val="000E442E"/>
    <w:rsid w:val="000E47EE"/>
    <w:rsid w:val="000E488E"/>
    <w:rsid w:val="000E4949"/>
    <w:rsid w:val="000E4AD6"/>
    <w:rsid w:val="000E4C6A"/>
    <w:rsid w:val="000E4DFD"/>
    <w:rsid w:val="000E4E03"/>
    <w:rsid w:val="000E507B"/>
    <w:rsid w:val="000E5120"/>
    <w:rsid w:val="000E51A8"/>
    <w:rsid w:val="000E52D1"/>
    <w:rsid w:val="000E5362"/>
    <w:rsid w:val="000E55D2"/>
    <w:rsid w:val="000E55FC"/>
    <w:rsid w:val="000E5726"/>
    <w:rsid w:val="000E5894"/>
    <w:rsid w:val="000E590D"/>
    <w:rsid w:val="000E5996"/>
    <w:rsid w:val="000E5B2A"/>
    <w:rsid w:val="000E5D46"/>
    <w:rsid w:val="000E5DA5"/>
    <w:rsid w:val="000E5ED8"/>
    <w:rsid w:val="000E6156"/>
    <w:rsid w:val="000E61A1"/>
    <w:rsid w:val="000E625C"/>
    <w:rsid w:val="000E6414"/>
    <w:rsid w:val="000E6418"/>
    <w:rsid w:val="000E6434"/>
    <w:rsid w:val="000E6443"/>
    <w:rsid w:val="000E6540"/>
    <w:rsid w:val="000E6579"/>
    <w:rsid w:val="000E676E"/>
    <w:rsid w:val="000E6880"/>
    <w:rsid w:val="000E6885"/>
    <w:rsid w:val="000E6950"/>
    <w:rsid w:val="000E6959"/>
    <w:rsid w:val="000E69D6"/>
    <w:rsid w:val="000E6AE5"/>
    <w:rsid w:val="000E6B06"/>
    <w:rsid w:val="000E6B46"/>
    <w:rsid w:val="000E6C40"/>
    <w:rsid w:val="000E6CE7"/>
    <w:rsid w:val="000E6DA9"/>
    <w:rsid w:val="000E6EB3"/>
    <w:rsid w:val="000E6F75"/>
    <w:rsid w:val="000E708F"/>
    <w:rsid w:val="000E70A3"/>
    <w:rsid w:val="000E70B1"/>
    <w:rsid w:val="000E720D"/>
    <w:rsid w:val="000E7227"/>
    <w:rsid w:val="000E7447"/>
    <w:rsid w:val="000E7452"/>
    <w:rsid w:val="000E74E7"/>
    <w:rsid w:val="000E7596"/>
    <w:rsid w:val="000E76F2"/>
    <w:rsid w:val="000E77E6"/>
    <w:rsid w:val="000E78E2"/>
    <w:rsid w:val="000E78FE"/>
    <w:rsid w:val="000E7975"/>
    <w:rsid w:val="000E7CCB"/>
    <w:rsid w:val="000E7CCF"/>
    <w:rsid w:val="000E7D74"/>
    <w:rsid w:val="000E7E39"/>
    <w:rsid w:val="000E7EC4"/>
    <w:rsid w:val="000E7F27"/>
    <w:rsid w:val="000E7F2C"/>
    <w:rsid w:val="000F0049"/>
    <w:rsid w:val="000F01B7"/>
    <w:rsid w:val="000F0237"/>
    <w:rsid w:val="000F0290"/>
    <w:rsid w:val="000F0878"/>
    <w:rsid w:val="000F089F"/>
    <w:rsid w:val="000F08E7"/>
    <w:rsid w:val="000F0A1D"/>
    <w:rsid w:val="000F0A6B"/>
    <w:rsid w:val="000F0B6F"/>
    <w:rsid w:val="000F0C31"/>
    <w:rsid w:val="000F0D8E"/>
    <w:rsid w:val="000F0FA6"/>
    <w:rsid w:val="000F11A2"/>
    <w:rsid w:val="000F11D3"/>
    <w:rsid w:val="000F124F"/>
    <w:rsid w:val="000F1477"/>
    <w:rsid w:val="000F1514"/>
    <w:rsid w:val="000F16F0"/>
    <w:rsid w:val="000F1B28"/>
    <w:rsid w:val="000F1C07"/>
    <w:rsid w:val="000F1C33"/>
    <w:rsid w:val="000F1D5B"/>
    <w:rsid w:val="000F1E91"/>
    <w:rsid w:val="000F1F95"/>
    <w:rsid w:val="000F2015"/>
    <w:rsid w:val="000F21EC"/>
    <w:rsid w:val="000F2202"/>
    <w:rsid w:val="000F221E"/>
    <w:rsid w:val="000F25AE"/>
    <w:rsid w:val="000F266A"/>
    <w:rsid w:val="000F26C7"/>
    <w:rsid w:val="000F275C"/>
    <w:rsid w:val="000F2855"/>
    <w:rsid w:val="000F2918"/>
    <w:rsid w:val="000F29D8"/>
    <w:rsid w:val="000F2B2A"/>
    <w:rsid w:val="000F2B4D"/>
    <w:rsid w:val="000F2B8E"/>
    <w:rsid w:val="000F2D74"/>
    <w:rsid w:val="000F2D7C"/>
    <w:rsid w:val="000F2F2C"/>
    <w:rsid w:val="000F30CD"/>
    <w:rsid w:val="000F30DF"/>
    <w:rsid w:val="000F31D5"/>
    <w:rsid w:val="000F31EA"/>
    <w:rsid w:val="000F329D"/>
    <w:rsid w:val="000F336A"/>
    <w:rsid w:val="000F3523"/>
    <w:rsid w:val="000F3608"/>
    <w:rsid w:val="000F37E1"/>
    <w:rsid w:val="000F38BA"/>
    <w:rsid w:val="000F3AD9"/>
    <w:rsid w:val="000F3C57"/>
    <w:rsid w:val="000F3CF5"/>
    <w:rsid w:val="000F3D8F"/>
    <w:rsid w:val="000F3F6C"/>
    <w:rsid w:val="000F3FCF"/>
    <w:rsid w:val="000F3FDB"/>
    <w:rsid w:val="000F406B"/>
    <w:rsid w:val="000F410E"/>
    <w:rsid w:val="000F4188"/>
    <w:rsid w:val="000F41B5"/>
    <w:rsid w:val="000F427A"/>
    <w:rsid w:val="000F4480"/>
    <w:rsid w:val="000F45D6"/>
    <w:rsid w:val="000F462C"/>
    <w:rsid w:val="000F4630"/>
    <w:rsid w:val="000F46AC"/>
    <w:rsid w:val="000F46AF"/>
    <w:rsid w:val="000F48A0"/>
    <w:rsid w:val="000F499C"/>
    <w:rsid w:val="000F4B12"/>
    <w:rsid w:val="000F4C87"/>
    <w:rsid w:val="000F4DCA"/>
    <w:rsid w:val="000F4E2C"/>
    <w:rsid w:val="000F4EED"/>
    <w:rsid w:val="000F5033"/>
    <w:rsid w:val="000F5087"/>
    <w:rsid w:val="000F50BC"/>
    <w:rsid w:val="000F5484"/>
    <w:rsid w:val="000F54A9"/>
    <w:rsid w:val="000F54C4"/>
    <w:rsid w:val="000F553A"/>
    <w:rsid w:val="000F564D"/>
    <w:rsid w:val="000F5653"/>
    <w:rsid w:val="000F56D5"/>
    <w:rsid w:val="000F572D"/>
    <w:rsid w:val="000F573E"/>
    <w:rsid w:val="000F57C8"/>
    <w:rsid w:val="000F57D1"/>
    <w:rsid w:val="000F5850"/>
    <w:rsid w:val="000F594C"/>
    <w:rsid w:val="000F5B20"/>
    <w:rsid w:val="000F5BF3"/>
    <w:rsid w:val="000F5C30"/>
    <w:rsid w:val="000F5C93"/>
    <w:rsid w:val="000F5CEB"/>
    <w:rsid w:val="000F5D7E"/>
    <w:rsid w:val="000F5DEC"/>
    <w:rsid w:val="000F5E21"/>
    <w:rsid w:val="000F5F90"/>
    <w:rsid w:val="000F60CA"/>
    <w:rsid w:val="000F6188"/>
    <w:rsid w:val="000F62E2"/>
    <w:rsid w:val="000F653D"/>
    <w:rsid w:val="000F656F"/>
    <w:rsid w:val="000F66F5"/>
    <w:rsid w:val="000F6712"/>
    <w:rsid w:val="000F67F2"/>
    <w:rsid w:val="000F680E"/>
    <w:rsid w:val="000F68FB"/>
    <w:rsid w:val="000F6918"/>
    <w:rsid w:val="000F6A9E"/>
    <w:rsid w:val="000F6AE2"/>
    <w:rsid w:val="000F6C22"/>
    <w:rsid w:val="000F6D1B"/>
    <w:rsid w:val="000F6EF1"/>
    <w:rsid w:val="000F6FAF"/>
    <w:rsid w:val="000F6FD4"/>
    <w:rsid w:val="000F703D"/>
    <w:rsid w:val="000F708E"/>
    <w:rsid w:val="000F70C9"/>
    <w:rsid w:val="000F73D4"/>
    <w:rsid w:val="000F74E1"/>
    <w:rsid w:val="000F7573"/>
    <w:rsid w:val="000F75D0"/>
    <w:rsid w:val="000F7606"/>
    <w:rsid w:val="000F76C0"/>
    <w:rsid w:val="000F78A6"/>
    <w:rsid w:val="000F79A9"/>
    <w:rsid w:val="000F79D3"/>
    <w:rsid w:val="000F7B12"/>
    <w:rsid w:val="000F7B19"/>
    <w:rsid w:val="000F7B29"/>
    <w:rsid w:val="000F7BA7"/>
    <w:rsid w:val="0010015E"/>
    <w:rsid w:val="00100164"/>
    <w:rsid w:val="001001E8"/>
    <w:rsid w:val="00100253"/>
    <w:rsid w:val="00100453"/>
    <w:rsid w:val="0010050F"/>
    <w:rsid w:val="0010063A"/>
    <w:rsid w:val="001006A2"/>
    <w:rsid w:val="001006D6"/>
    <w:rsid w:val="00100715"/>
    <w:rsid w:val="001008FE"/>
    <w:rsid w:val="001009CA"/>
    <w:rsid w:val="001009E0"/>
    <w:rsid w:val="00100A32"/>
    <w:rsid w:val="00100AA9"/>
    <w:rsid w:val="00100B08"/>
    <w:rsid w:val="00100F21"/>
    <w:rsid w:val="00100F9E"/>
    <w:rsid w:val="00100FE1"/>
    <w:rsid w:val="0010121D"/>
    <w:rsid w:val="001012A0"/>
    <w:rsid w:val="0010136D"/>
    <w:rsid w:val="00101427"/>
    <w:rsid w:val="00101497"/>
    <w:rsid w:val="00101590"/>
    <w:rsid w:val="00101645"/>
    <w:rsid w:val="00101691"/>
    <w:rsid w:val="00101873"/>
    <w:rsid w:val="00101885"/>
    <w:rsid w:val="0010198B"/>
    <w:rsid w:val="001019C4"/>
    <w:rsid w:val="00101A2F"/>
    <w:rsid w:val="00101A53"/>
    <w:rsid w:val="00101AB3"/>
    <w:rsid w:val="00101B02"/>
    <w:rsid w:val="00101B66"/>
    <w:rsid w:val="00101C00"/>
    <w:rsid w:val="00101C6E"/>
    <w:rsid w:val="00101F56"/>
    <w:rsid w:val="00101FE9"/>
    <w:rsid w:val="001020A5"/>
    <w:rsid w:val="0010215B"/>
    <w:rsid w:val="001022A4"/>
    <w:rsid w:val="001022D2"/>
    <w:rsid w:val="00102461"/>
    <w:rsid w:val="001026CC"/>
    <w:rsid w:val="00102722"/>
    <w:rsid w:val="0010274F"/>
    <w:rsid w:val="0010284F"/>
    <w:rsid w:val="00102888"/>
    <w:rsid w:val="001029FF"/>
    <w:rsid w:val="00102A6B"/>
    <w:rsid w:val="00102AC5"/>
    <w:rsid w:val="00102BCF"/>
    <w:rsid w:val="00102C80"/>
    <w:rsid w:val="00102CD1"/>
    <w:rsid w:val="00102CED"/>
    <w:rsid w:val="00102E39"/>
    <w:rsid w:val="00102F1F"/>
    <w:rsid w:val="00103194"/>
    <w:rsid w:val="0010346F"/>
    <w:rsid w:val="00103501"/>
    <w:rsid w:val="0010354F"/>
    <w:rsid w:val="0010358F"/>
    <w:rsid w:val="001037CC"/>
    <w:rsid w:val="001038CE"/>
    <w:rsid w:val="00103947"/>
    <w:rsid w:val="00103B61"/>
    <w:rsid w:val="00103BB8"/>
    <w:rsid w:val="00103C62"/>
    <w:rsid w:val="00103CDB"/>
    <w:rsid w:val="00103E17"/>
    <w:rsid w:val="00103EFF"/>
    <w:rsid w:val="00103F01"/>
    <w:rsid w:val="00103FB0"/>
    <w:rsid w:val="00104064"/>
    <w:rsid w:val="0010414E"/>
    <w:rsid w:val="0010421D"/>
    <w:rsid w:val="001043C0"/>
    <w:rsid w:val="00104458"/>
    <w:rsid w:val="0010446E"/>
    <w:rsid w:val="00104547"/>
    <w:rsid w:val="0010454D"/>
    <w:rsid w:val="0010456E"/>
    <w:rsid w:val="001046F0"/>
    <w:rsid w:val="00104794"/>
    <w:rsid w:val="001047B6"/>
    <w:rsid w:val="001047DD"/>
    <w:rsid w:val="0010495B"/>
    <w:rsid w:val="0010496E"/>
    <w:rsid w:val="00104A53"/>
    <w:rsid w:val="00104AB7"/>
    <w:rsid w:val="00104B91"/>
    <w:rsid w:val="00104BE5"/>
    <w:rsid w:val="00104C3C"/>
    <w:rsid w:val="00104C5C"/>
    <w:rsid w:val="00104E63"/>
    <w:rsid w:val="00104E83"/>
    <w:rsid w:val="00104EFB"/>
    <w:rsid w:val="00104F1D"/>
    <w:rsid w:val="00104FC7"/>
    <w:rsid w:val="00105011"/>
    <w:rsid w:val="001050E8"/>
    <w:rsid w:val="00105140"/>
    <w:rsid w:val="0010516F"/>
    <w:rsid w:val="00105467"/>
    <w:rsid w:val="001054E4"/>
    <w:rsid w:val="001055D1"/>
    <w:rsid w:val="001055F3"/>
    <w:rsid w:val="0010562A"/>
    <w:rsid w:val="001056C4"/>
    <w:rsid w:val="0010581A"/>
    <w:rsid w:val="0010588D"/>
    <w:rsid w:val="00105970"/>
    <w:rsid w:val="00105990"/>
    <w:rsid w:val="001059E7"/>
    <w:rsid w:val="001059F7"/>
    <w:rsid w:val="00105A30"/>
    <w:rsid w:val="00105AD7"/>
    <w:rsid w:val="00105B60"/>
    <w:rsid w:val="00105EB1"/>
    <w:rsid w:val="00105ED7"/>
    <w:rsid w:val="00105F48"/>
    <w:rsid w:val="00105F95"/>
    <w:rsid w:val="001060FD"/>
    <w:rsid w:val="00106172"/>
    <w:rsid w:val="0010626A"/>
    <w:rsid w:val="001062E9"/>
    <w:rsid w:val="00106337"/>
    <w:rsid w:val="00106376"/>
    <w:rsid w:val="0010637C"/>
    <w:rsid w:val="001063BD"/>
    <w:rsid w:val="00106494"/>
    <w:rsid w:val="001064A9"/>
    <w:rsid w:val="001066E5"/>
    <w:rsid w:val="0010676E"/>
    <w:rsid w:val="00106851"/>
    <w:rsid w:val="00106878"/>
    <w:rsid w:val="0010687D"/>
    <w:rsid w:val="001068C2"/>
    <w:rsid w:val="00106966"/>
    <w:rsid w:val="00106A44"/>
    <w:rsid w:val="00106AFA"/>
    <w:rsid w:val="00106B3C"/>
    <w:rsid w:val="00106D1D"/>
    <w:rsid w:val="00106DCE"/>
    <w:rsid w:val="00106F3F"/>
    <w:rsid w:val="0010703D"/>
    <w:rsid w:val="00107138"/>
    <w:rsid w:val="001072AA"/>
    <w:rsid w:val="0010734F"/>
    <w:rsid w:val="001074E1"/>
    <w:rsid w:val="00107591"/>
    <w:rsid w:val="00107721"/>
    <w:rsid w:val="00107844"/>
    <w:rsid w:val="00107892"/>
    <w:rsid w:val="001079D2"/>
    <w:rsid w:val="00107B92"/>
    <w:rsid w:val="00107BF0"/>
    <w:rsid w:val="00107C8E"/>
    <w:rsid w:val="00107D13"/>
    <w:rsid w:val="00107D19"/>
    <w:rsid w:val="00110088"/>
    <w:rsid w:val="00110288"/>
    <w:rsid w:val="00110427"/>
    <w:rsid w:val="00110446"/>
    <w:rsid w:val="0011069E"/>
    <w:rsid w:val="001106A7"/>
    <w:rsid w:val="001106FA"/>
    <w:rsid w:val="00110898"/>
    <w:rsid w:val="00110902"/>
    <w:rsid w:val="001109C2"/>
    <w:rsid w:val="001109FE"/>
    <w:rsid w:val="00110B18"/>
    <w:rsid w:val="00110D6E"/>
    <w:rsid w:val="00110E72"/>
    <w:rsid w:val="00111012"/>
    <w:rsid w:val="00111042"/>
    <w:rsid w:val="00111302"/>
    <w:rsid w:val="00111468"/>
    <w:rsid w:val="001114CF"/>
    <w:rsid w:val="001116B6"/>
    <w:rsid w:val="00111858"/>
    <w:rsid w:val="00111913"/>
    <w:rsid w:val="0011192D"/>
    <w:rsid w:val="0011198E"/>
    <w:rsid w:val="00111A63"/>
    <w:rsid w:val="00111A93"/>
    <w:rsid w:val="00111CBD"/>
    <w:rsid w:val="00111CDB"/>
    <w:rsid w:val="00111D8F"/>
    <w:rsid w:val="00111D92"/>
    <w:rsid w:val="00111EB4"/>
    <w:rsid w:val="001121CA"/>
    <w:rsid w:val="0011229A"/>
    <w:rsid w:val="0011239B"/>
    <w:rsid w:val="00112480"/>
    <w:rsid w:val="00112847"/>
    <w:rsid w:val="001128CC"/>
    <w:rsid w:val="00112984"/>
    <w:rsid w:val="00112991"/>
    <w:rsid w:val="001129A2"/>
    <w:rsid w:val="00112B5B"/>
    <w:rsid w:val="00112B8C"/>
    <w:rsid w:val="00112CE9"/>
    <w:rsid w:val="00112DCC"/>
    <w:rsid w:val="00112E30"/>
    <w:rsid w:val="00112EBC"/>
    <w:rsid w:val="00113070"/>
    <w:rsid w:val="00113140"/>
    <w:rsid w:val="001131BD"/>
    <w:rsid w:val="001132CC"/>
    <w:rsid w:val="001132F5"/>
    <w:rsid w:val="0011343B"/>
    <w:rsid w:val="001134A0"/>
    <w:rsid w:val="00113573"/>
    <w:rsid w:val="001135E5"/>
    <w:rsid w:val="00113650"/>
    <w:rsid w:val="001136C1"/>
    <w:rsid w:val="001136CD"/>
    <w:rsid w:val="00113A34"/>
    <w:rsid w:val="00113B12"/>
    <w:rsid w:val="00113DBF"/>
    <w:rsid w:val="0011407B"/>
    <w:rsid w:val="00114196"/>
    <w:rsid w:val="001141AF"/>
    <w:rsid w:val="0011422D"/>
    <w:rsid w:val="00114230"/>
    <w:rsid w:val="001142BD"/>
    <w:rsid w:val="0011440C"/>
    <w:rsid w:val="00114570"/>
    <w:rsid w:val="001145E4"/>
    <w:rsid w:val="0011471C"/>
    <w:rsid w:val="00114826"/>
    <w:rsid w:val="0011485C"/>
    <w:rsid w:val="001148ED"/>
    <w:rsid w:val="00114966"/>
    <w:rsid w:val="00114ACD"/>
    <w:rsid w:val="00114C23"/>
    <w:rsid w:val="00114CD3"/>
    <w:rsid w:val="00114F1D"/>
    <w:rsid w:val="00114FE1"/>
    <w:rsid w:val="0011509D"/>
    <w:rsid w:val="001150DC"/>
    <w:rsid w:val="0011511D"/>
    <w:rsid w:val="001151AF"/>
    <w:rsid w:val="00115343"/>
    <w:rsid w:val="001153E2"/>
    <w:rsid w:val="00115491"/>
    <w:rsid w:val="001154F9"/>
    <w:rsid w:val="00115525"/>
    <w:rsid w:val="0011560D"/>
    <w:rsid w:val="00115696"/>
    <w:rsid w:val="001156D6"/>
    <w:rsid w:val="001158CF"/>
    <w:rsid w:val="001158EF"/>
    <w:rsid w:val="001159EE"/>
    <w:rsid w:val="00115A58"/>
    <w:rsid w:val="00115A6D"/>
    <w:rsid w:val="00115AD8"/>
    <w:rsid w:val="00115BB0"/>
    <w:rsid w:val="00115D0F"/>
    <w:rsid w:val="00115D5E"/>
    <w:rsid w:val="00115E99"/>
    <w:rsid w:val="00115ED7"/>
    <w:rsid w:val="00115F45"/>
    <w:rsid w:val="00115F6A"/>
    <w:rsid w:val="0011611C"/>
    <w:rsid w:val="00116231"/>
    <w:rsid w:val="00116253"/>
    <w:rsid w:val="00116362"/>
    <w:rsid w:val="0011638C"/>
    <w:rsid w:val="001163F9"/>
    <w:rsid w:val="00116488"/>
    <w:rsid w:val="0011648F"/>
    <w:rsid w:val="001165C1"/>
    <w:rsid w:val="0011663E"/>
    <w:rsid w:val="00116890"/>
    <w:rsid w:val="00116C35"/>
    <w:rsid w:val="00116C56"/>
    <w:rsid w:val="00116C6B"/>
    <w:rsid w:val="00116F70"/>
    <w:rsid w:val="00116FB7"/>
    <w:rsid w:val="0011702B"/>
    <w:rsid w:val="001170A7"/>
    <w:rsid w:val="001171A7"/>
    <w:rsid w:val="001173E2"/>
    <w:rsid w:val="001175A2"/>
    <w:rsid w:val="00117616"/>
    <w:rsid w:val="00117765"/>
    <w:rsid w:val="00117905"/>
    <w:rsid w:val="00117912"/>
    <w:rsid w:val="00117943"/>
    <w:rsid w:val="0011794A"/>
    <w:rsid w:val="00117A57"/>
    <w:rsid w:val="00117A9D"/>
    <w:rsid w:val="00117B56"/>
    <w:rsid w:val="00117BF6"/>
    <w:rsid w:val="00117C0F"/>
    <w:rsid w:val="00117CEC"/>
    <w:rsid w:val="00117DE1"/>
    <w:rsid w:val="00117EA6"/>
    <w:rsid w:val="00117FBE"/>
    <w:rsid w:val="00120074"/>
    <w:rsid w:val="001200B8"/>
    <w:rsid w:val="00120111"/>
    <w:rsid w:val="00120253"/>
    <w:rsid w:val="00120295"/>
    <w:rsid w:val="001202A0"/>
    <w:rsid w:val="0012041E"/>
    <w:rsid w:val="001205D5"/>
    <w:rsid w:val="001206AF"/>
    <w:rsid w:val="00120897"/>
    <w:rsid w:val="00120929"/>
    <w:rsid w:val="0012099C"/>
    <w:rsid w:val="00120AAF"/>
    <w:rsid w:val="00120B67"/>
    <w:rsid w:val="00120CC7"/>
    <w:rsid w:val="00120D62"/>
    <w:rsid w:val="00120E49"/>
    <w:rsid w:val="00120F4E"/>
    <w:rsid w:val="00120FB0"/>
    <w:rsid w:val="0012100A"/>
    <w:rsid w:val="00121057"/>
    <w:rsid w:val="001210BE"/>
    <w:rsid w:val="00121245"/>
    <w:rsid w:val="001212D4"/>
    <w:rsid w:val="001213CF"/>
    <w:rsid w:val="001213F7"/>
    <w:rsid w:val="001215B5"/>
    <w:rsid w:val="001215F7"/>
    <w:rsid w:val="001217BF"/>
    <w:rsid w:val="001217E5"/>
    <w:rsid w:val="00121B1C"/>
    <w:rsid w:val="00121B5D"/>
    <w:rsid w:val="00121B83"/>
    <w:rsid w:val="00121C8F"/>
    <w:rsid w:val="00121DBC"/>
    <w:rsid w:val="00121E48"/>
    <w:rsid w:val="00121EB3"/>
    <w:rsid w:val="00121F21"/>
    <w:rsid w:val="00121F81"/>
    <w:rsid w:val="00122048"/>
    <w:rsid w:val="001220DA"/>
    <w:rsid w:val="001221F3"/>
    <w:rsid w:val="00122317"/>
    <w:rsid w:val="00122340"/>
    <w:rsid w:val="00122367"/>
    <w:rsid w:val="0012238D"/>
    <w:rsid w:val="00122511"/>
    <w:rsid w:val="00122580"/>
    <w:rsid w:val="00122783"/>
    <w:rsid w:val="001227BD"/>
    <w:rsid w:val="00122862"/>
    <w:rsid w:val="001229FA"/>
    <w:rsid w:val="00122C9B"/>
    <w:rsid w:val="00122DCE"/>
    <w:rsid w:val="001231BC"/>
    <w:rsid w:val="00123248"/>
    <w:rsid w:val="0012326E"/>
    <w:rsid w:val="00123295"/>
    <w:rsid w:val="001232FC"/>
    <w:rsid w:val="00123421"/>
    <w:rsid w:val="00123480"/>
    <w:rsid w:val="0012368D"/>
    <w:rsid w:val="001236FE"/>
    <w:rsid w:val="0012374A"/>
    <w:rsid w:val="001237DD"/>
    <w:rsid w:val="00123866"/>
    <w:rsid w:val="001238A2"/>
    <w:rsid w:val="00123B4B"/>
    <w:rsid w:val="00123C5B"/>
    <w:rsid w:val="00123C61"/>
    <w:rsid w:val="00123C8E"/>
    <w:rsid w:val="00123D64"/>
    <w:rsid w:val="00123E80"/>
    <w:rsid w:val="00123EC2"/>
    <w:rsid w:val="00123F61"/>
    <w:rsid w:val="00123F79"/>
    <w:rsid w:val="00123F9A"/>
    <w:rsid w:val="0012402D"/>
    <w:rsid w:val="001241AF"/>
    <w:rsid w:val="00124232"/>
    <w:rsid w:val="001242E0"/>
    <w:rsid w:val="0012431F"/>
    <w:rsid w:val="00124443"/>
    <w:rsid w:val="00124477"/>
    <w:rsid w:val="00124479"/>
    <w:rsid w:val="0012447D"/>
    <w:rsid w:val="001246D7"/>
    <w:rsid w:val="00124800"/>
    <w:rsid w:val="00124932"/>
    <w:rsid w:val="001249D1"/>
    <w:rsid w:val="00124ADF"/>
    <w:rsid w:val="00124B5B"/>
    <w:rsid w:val="00124C94"/>
    <w:rsid w:val="00124D2A"/>
    <w:rsid w:val="00124D7E"/>
    <w:rsid w:val="00124D8A"/>
    <w:rsid w:val="00124D97"/>
    <w:rsid w:val="00124E68"/>
    <w:rsid w:val="00124EC1"/>
    <w:rsid w:val="00124F15"/>
    <w:rsid w:val="00124F33"/>
    <w:rsid w:val="00124F5D"/>
    <w:rsid w:val="00125007"/>
    <w:rsid w:val="001250F8"/>
    <w:rsid w:val="0012510B"/>
    <w:rsid w:val="00125186"/>
    <w:rsid w:val="001251B5"/>
    <w:rsid w:val="001252B0"/>
    <w:rsid w:val="001252F7"/>
    <w:rsid w:val="001254B3"/>
    <w:rsid w:val="001254B5"/>
    <w:rsid w:val="0012555B"/>
    <w:rsid w:val="00125844"/>
    <w:rsid w:val="0012594A"/>
    <w:rsid w:val="00125A15"/>
    <w:rsid w:val="00125A99"/>
    <w:rsid w:val="00125A9B"/>
    <w:rsid w:val="00125AFA"/>
    <w:rsid w:val="00125B06"/>
    <w:rsid w:val="00125BCF"/>
    <w:rsid w:val="00125CF9"/>
    <w:rsid w:val="00125D1D"/>
    <w:rsid w:val="00125DC0"/>
    <w:rsid w:val="00125DDF"/>
    <w:rsid w:val="00125E03"/>
    <w:rsid w:val="001260D2"/>
    <w:rsid w:val="001261F6"/>
    <w:rsid w:val="001263C8"/>
    <w:rsid w:val="001263F2"/>
    <w:rsid w:val="0012654E"/>
    <w:rsid w:val="001265F5"/>
    <w:rsid w:val="001266AC"/>
    <w:rsid w:val="00126741"/>
    <w:rsid w:val="00126773"/>
    <w:rsid w:val="001267F2"/>
    <w:rsid w:val="0012682E"/>
    <w:rsid w:val="00126A8D"/>
    <w:rsid w:val="00126AF5"/>
    <w:rsid w:val="00126DAC"/>
    <w:rsid w:val="0012708A"/>
    <w:rsid w:val="001271F3"/>
    <w:rsid w:val="0012721E"/>
    <w:rsid w:val="001272C8"/>
    <w:rsid w:val="0012733A"/>
    <w:rsid w:val="00127348"/>
    <w:rsid w:val="00127399"/>
    <w:rsid w:val="001273C4"/>
    <w:rsid w:val="00127487"/>
    <w:rsid w:val="0012748D"/>
    <w:rsid w:val="00127514"/>
    <w:rsid w:val="001275A9"/>
    <w:rsid w:val="001275AB"/>
    <w:rsid w:val="00127670"/>
    <w:rsid w:val="0012788E"/>
    <w:rsid w:val="00127971"/>
    <w:rsid w:val="00127976"/>
    <w:rsid w:val="00127ABB"/>
    <w:rsid w:val="00127AC5"/>
    <w:rsid w:val="00127AE2"/>
    <w:rsid w:val="00127B5C"/>
    <w:rsid w:val="00127C1F"/>
    <w:rsid w:val="00127CCE"/>
    <w:rsid w:val="00127E18"/>
    <w:rsid w:val="00127E3A"/>
    <w:rsid w:val="00127E73"/>
    <w:rsid w:val="00127F28"/>
    <w:rsid w:val="00127F2A"/>
    <w:rsid w:val="00127F3D"/>
    <w:rsid w:val="00130039"/>
    <w:rsid w:val="001300B2"/>
    <w:rsid w:val="00130100"/>
    <w:rsid w:val="00130107"/>
    <w:rsid w:val="00130138"/>
    <w:rsid w:val="001304FC"/>
    <w:rsid w:val="0013057B"/>
    <w:rsid w:val="00130798"/>
    <w:rsid w:val="00130873"/>
    <w:rsid w:val="0013090C"/>
    <w:rsid w:val="0013093C"/>
    <w:rsid w:val="00130A24"/>
    <w:rsid w:val="00130BB2"/>
    <w:rsid w:val="00130CC0"/>
    <w:rsid w:val="00130D83"/>
    <w:rsid w:val="00131055"/>
    <w:rsid w:val="0013109C"/>
    <w:rsid w:val="0013129E"/>
    <w:rsid w:val="0013140E"/>
    <w:rsid w:val="00131485"/>
    <w:rsid w:val="0013176C"/>
    <w:rsid w:val="001317CA"/>
    <w:rsid w:val="00131809"/>
    <w:rsid w:val="00131941"/>
    <w:rsid w:val="001319F6"/>
    <w:rsid w:val="00131C13"/>
    <w:rsid w:val="00131CF9"/>
    <w:rsid w:val="00131D5B"/>
    <w:rsid w:val="00131E39"/>
    <w:rsid w:val="00131F2C"/>
    <w:rsid w:val="0013200E"/>
    <w:rsid w:val="00132122"/>
    <w:rsid w:val="001321CF"/>
    <w:rsid w:val="0013226B"/>
    <w:rsid w:val="0013228B"/>
    <w:rsid w:val="0013235D"/>
    <w:rsid w:val="00132483"/>
    <w:rsid w:val="001325D3"/>
    <w:rsid w:val="001327D7"/>
    <w:rsid w:val="001328D9"/>
    <w:rsid w:val="00132ABC"/>
    <w:rsid w:val="00132AFA"/>
    <w:rsid w:val="00132B70"/>
    <w:rsid w:val="00132B7C"/>
    <w:rsid w:val="00132E9F"/>
    <w:rsid w:val="00132EFC"/>
    <w:rsid w:val="00132F6F"/>
    <w:rsid w:val="0013310D"/>
    <w:rsid w:val="0013313B"/>
    <w:rsid w:val="00133241"/>
    <w:rsid w:val="001334A2"/>
    <w:rsid w:val="00133515"/>
    <w:rsid w:val="0013362F"/>
    <w:rsid w:val="001337D2"/>
    <w:rsid w:val="0013383C"/>
    <w:rsid w:val="0013385D"/>
    <w:rsid w:val="001338C1"/>
    <w:rsid w:val="00133913"/>
    <w:rsid w:val="0013393B"/>
    <w:rsid w:val="00133A79"/>
    <w:rsid w:val="00133AB3"/>
    <w:rsid w:val="00133B82"/>
    <w:rsid w:val="00133B8D"/>
    <w:rsid w:val="00133C76"/>
    <w:rsid w:val="00133D98"/>
    <w:rsid w:val="00133E71"/>
    <w:rsid w:val="00133FBB"/>
    <w:rsid w:val="00134018"/>
    <w:rsid w:val="00134022"/>
    <w:rsid w:val="00134164"/>
    <w:rsid w:val="001342C4"/>
    <w:rsid w:val="00134314"/>
    <w:rsid w:val="00134398"/>
    <w:rsid w:val="00134470"/>
    <w:rsid w:val="001347B7"/>
    <w:rsid w:val="001347D7"/>
    <w:rsid w:val="0013490F"/>
    <w:rsid w:val="00134ADE"/>
    <w:rsid w:val="00134B32"/>
    <w:rsid w:val="00134C61"/>
    <w:rsid w:val="00134DF4"/>
    <w:rsid w:val="00134F22"/>
    <w:rsid w:val="0013516D"/>
    <w:rsid w:val="001351DE"/>
    <w:rsid w:val="001352E3"/>
    <w:rsid w:val="001352F9"/>
    <w:rsid w:val="00135462"/>
    <w:rsid w:val="00135501"/>
    <w:rsid w:val="0013557E"/>
    <w:rsid w:val="00135652"/>
    <w:rsid w:val="0013566B"/>
    <w:rsid w:val="00135838"/>
    <w:rsid w:val="00135869"/>
    <w:rsid w:val="001358FD"/>
    <w:rsid w:val="00135B0E"/>
    <w:rsid w:val="00135C7B"/>
    <w:rsid w:val="00135C7D"/>
    <w:rsid w:val="00135DC0"/>
    <w:rsid w:val="00135E55"/>
    <w:rsid w:val="00135F2A"/>
    <w:rsid w:val="00135F33"/>
    <w:rsid w:val="00135FEB"/>
    <w:rsid w:val="001360E0"/>
    <w:rsid w:val="00136237"/>
    <w:rsid w:val="001362FB"/>
    <w:rsid w:val="0013632F"/>
    <w:rsid w:val="0013637B"/>
    <w:rsid w:val="00136382"/>
    <w:rsid w:val="001363F4"/>
    <w:rsid w:val="00136483"/>
    <w:rsid w:val="001364B8"/>
    <w:rsid w:val="001365BA"/>
    <w:rsid w:val="00136624"/>
    <w:rsid w:val="00136635"/>
    <w:rsid w:val="00136676"/>
    <w:rsid w:val="001367C5"/>
    <w:rsid w:val="001367F0"/>
    <w:rsid w:val="0013687A"/>
    <w:rsid w:val="00136898"/>
    <w:rsid w:val="00136967"/>
    <w:rsid w:val="001369BD"/>
    <w:rsid w:val="00136AB7"/>
    <w:rsid w:val="00136B12"/>
    <w:rsid w:val="00136B72"/>
    <w:rsid w:val="00136C80"/>
    <w:rsid w:val="00136DF8"/>
    <w:rsid w:val="00136E1C"/>
    <w:rsid w:val="00136ED2"/>
    <w:rsid w:val="00136EDF"/>
    <w:rsid w:val="00136F2F"/>
    <w:rsid w:val="00136FD9"/>
    <w:rsid w:val="00136FDC"/>
    <w:rsid w:val="00137038"/>
    <w:rsid w:val="001370AF"/>
    <w:rsid w:val="00137147"/>
    <w:rsid w:val="00137179"/>
    <w:rsid w:val="001372D5"/>
    <w:rsid w:val="001372DE"/>
    <w:rsid w:val="001373A4"/>
    <w:rsid w:val="00137627"/>
    <w:rsid w:val="001377F2"/>
    <w:rsid w:val="0013793C"/>
    <w:rsid w:val="00137B35"/>
    <w:rsid w:val="00137B8A"/>
    <w:rsid w:val="00137BE1"/>
    <w:rsid w:val="00137BF8"/>
    <w:rsid w:val="00137CF9"/>
    <w:rsid w:val="00137D79"/>
    <w:rsid w:val="00137E49"/>
    <w:rsid w:val="00140060"/>
    <w:rsid w:val="00140145"/>
    <w:rsid w:val="00140207"/>
    <w:rsid w:val="00140322"/>
    <w:rsid w:val="0014047A"/>
    <w:rsid w:val="0014049A"/>
    <w:rsid w:val="001405AD"/>
    <w:rsid w:val="00140772"/>
    <w:rsid w:val="0014081F"/>
    <w:rsid w:val="001408D6"/>
    <w:rsid w:val="001409BE"/>
    <w:rsid w:val="001409EC"/>
    <w:rsid w:val="00140B40"/>
    <w:rsid w:val="00140C22"/>
    <w:rsid w:val="00140D08"/>
    <w:rsid w:val="00140D23"/>
    <w:rsid w:val="00140D77"/>
    <w:rsid w:val="00140F69"/>
    <w:rsid w:val="0014108B"/>
    <w:rsid w:val="001411B2"/>
    <w:rsid w:val="00141211"/>
    <w:rsid w:val="0014121E"/>
    <w:rsid w:val="001412C1"/>
    <w:rsid w:val="001413AB"/>
    <w:rsid w:val="0014142E"/>
    <w:rsid w:val="00141468"/>
    <w:rsid w:val="00141673"/>
    <w:rsid w:val="0014175C"/>
    <w:rsid w:val="0014176C"/>
    <w:rsid w:val="001417A9"/>
    <w:rsid w:val="001417C1"/>
    <w:rsid w:val="001418FA"/>
    <w:rsid w:val="00141B31"/>
    <w:rsid w:val="00141C82"/>
    <w:rsid w:val="00141D5A"/>
    <w:rsid w:val="00141DE6"/>
    <w:rsid w:val="00141E58"/>
    <w:rsid w:val="00141EF0"/>
    <w:rsid w:val="001420AF"/>
    <w:rsid w:val="0014213A"/>
    <w:rsid w:val="00142168"/>
    <w:rsid w:val="0014216A"/>
    <w:rsid w:val="001421A6"/>
    <w:rsid w:val="001421F5"/>
    <w:rsid w:val="00142224"/>
    <w:rsid w:val="001424D5"/>
    <w:rsid w:val="001425B7"/>
    <w:rsid w:val="0014269E"/>
    <w:rsid w:val="001426A5"/>
    <w:rsid w:val="001426C9"/>
    <w:rsid w:val="0014278C"/>
    <w:rsid w:val="0014284A"/>
    <w:rsid w:val="00142884"/>
    <w:rsid w:val="001428A3"/>
    <w:rsid w:val="00142975"/>
    <w:rsid w:val="001429E5"/>
    <w:rsid w:val="00142A5D"/>
    <w:rsid w:val="00142D1B"/>
    <w:rsid w:val="00142D27"/>
    <w:rsid w:val="00142DC5"/>
    <w:rsid w:val="00142E61"/>
    <w:rsid w:val="00142F0C"/>
    <w:rsid w:val="00142FEC"/>
    <w:rsid w:val="00143032"/>
    <w:rsid w:val="0014306C"/>
    <w:rsid w:val="001431A5"/>
    <w:rsid w:val="00143208"/>
    <w:rsid w:val="00143339"/>
    <w:rsid w:val="001434F2"/>
    <w:rsid w:val="001435E3"/>
    <w:rsid w:val="001436BE"/>
    <w:rsid w:val="00143705"/>
    <w:rsid w:val="001437FE"/>
    <w:rsid w:val="00143857"/>
    <w:rsid w:val="00143922"/>
    <w:rsid w:val="00143A15"/>
    <w:rsid w:val="00143AE0"/>
    <w:rsid w:val="00143B7A"/>
    <w:rsid w:val="00143BB6"/>
    <w:rsid w:val="00143D4D"/>
    <w:rsid w:val="00143E68"/>
    <w:rsid w:val="00143EC9"/>
    <w:rsid w:val="00143F0F"/>
    <w:rsid w:val="00143F45"/>
    <w:rsid w:val="00144008"/>
    <w:rsid w:val="00144048"/>
    <w:rsid w:val="001441B8"/>
    <w:rsid w:val="001442DE"/>
    <w:rsid w:val="001442E1"/>
    <w:rsid w:val="00144315"/>
    <w:rsid w:val="00144389"/>
    <w:rsid w:val="00144415"/>
    <w:rsid w:val="001444AC"/>
    <w:rsid w:val="00144538"/>
    <w:rsid w:val="00144585"/>
    <w:rsid w:val="001446A7"/>
    <w:rsid w:val="001448F4"/>
    <w:rsid w:val="001449CE"/>
    <w:rsid w:val="00144A3A"/>
    <w:rsid w:val="00144ABE"/>
    <w:rsid w:val="00144ADE"/>
    <w:rsid w:val="00144B22"/>
    <w:rsid w:val="00144C19"/>
    <w:rsid w:val="00144C91"/>
    <w:rsid w:val="00144CA9"/>
    <w:rsid w:val="00144DE5"/>
    <w:rsid w:val="00144E3E"/>
    <w:rsid w:val="00144F23"/>
    <w:rsid w:val="00144F43"/>
    <w:rsid w:val="00144FBA"/>
    <w:rsid w:val="00144FEB"/>
    <w:rsid w:val="00144FFF"/>
    <w:rsid w:val="00145028"/>
    <w:rsid w:val="001450C0"/>
    <w:rsid w:val="00145256"/>
    <w:rsid w:val="001453DE"/>
    <w:rsid w:val="00145619"/>
    <w:rsid w:val="00145775"/>
    <w:rsid w:val="001457A4"/>
    <w:rsid w:val="001457C0"/>
    <w:rsid w:val="00145882"/>
    <w:rsid w:val="00145B80"/>
    <w:rsid w:val="00145B8A"/>
    <w:rsid w:val="00145C2D"/>
    <w:rsid w:val="00145CA4"/>
    <w:rsid w:val="00145D40"/>
    <w:rsid w:val="00145D7D"/>
    <w:rsid w:val="00145F84"/>
    <w:rsid w:val="0014608E"/>
    <w:rsid w:val="00146375"/>
    <w:rsid w:val="001463A0"/>
    <w:rsid w:val="00146656"/>
    <w:rsid w:val="00146682"/>
    <w:rsid w:val="001466E7"/>
    <w:rsid w:val="001467A3"/>
    <w:rsid w:val="001467F4"/>
    <w:rsid w:val="001467F7"/>
    <w:rsid w:val="00146839"/>
    <w:rsid w:val="00146938"/>
    <w:rsid w:val="001469A0"/>
    <w:rsid w:val="001469B2"/>
    <w:rsid w:val="00146E1E"/>
    <w:rsid w:val="00146E62"/>
    <w:rsid w:val="00146E86"/>
    <w:rsid w:val="00146F6A"/>
    <w:rsid w:val="00146FE1"/>
    <w:rsid w:val="0014700A"/>
    <w:rsid w:val="0014705B"/>
    <w:rsid w:val="00147077"/>
    <w:rsid w:val="0014715F"/>
    <w:rsid w:val="00147494"/>
    <w:rsid w:val="00147548"/>
    <w:rsid w:val="001475C8"/>
    <w:rsid w:val="0014763C"/>
    <w:rsid w:val="00147752"/>
    <w:rsid w:val="001477A0"/>
    <w:rsid w:val="001478A2"/>
    <w:rsid w:val="001478D2"/>
    <w:rsid w:val="00147912"/>
    <w:rsid w:val="00147A8B"/>
    <w:rsid w:val="00147B58"/>
    <w:rsid w:val="00147CA5"/>
    <w:rsid w:val="00147CCC"/>
    <w:rsid w:val="00147D09"/>
    <w:rsid w:val="00147D61"/>
    <w:rsid w:val="00147D6B"/>
    <w:rsid w:val="00147F5E"/>
    <w:rsid w:val="00150030"/>
    <w:rsid w:val="001500A1"/>
    <w:rsid w:val="001500BA"/>
    <w:rsid w:val="001501BA"/>
    <w:rsid w:val="0015022A"/>
    <w:rsid w:val="00150232"/>
    <w:rsid w:val="00150297"/>
    <w:rsid w:val="00150382"/>
    <w:rsid w:val="001504B4"/>
    <w:rsid w:val="001504C7"/>
    <w:rsid w:val="00150558"/>
    <w:rsid w:val="00150666"/>
    <w:rsid w:val="00150674"/>
    <w:rsid w:val="001507A7"/>
    <w:rsid w:val="0015088A"/>
    <w:rsid w:val="00150ABF"/>
    <w:rsid w:val="00150AC0"/>
    <w:rsid w:val="00150B37"/>
    <w:rsid w:val="00150B5E"/>
    <w:rsid w:val="00150B89"/>
    <w:rsid w:val="00150C63"/>
    <w:rsid w:val="00150CEE"/>
    <w:rsid w:val="00150DBC"/>
    <w:rsid w:val="00150DF5"/>
    <w:rsid w:val="00150E27"/>
    <w:rsid w:val="00150E73"/>
    <w:rsid w:val="00151031"/>
    <w:rsid w:val="00151155"/>
    <w:rsid w:val="001512E5"/>
    <w:rsid w:val="0015145A"/>
    <w:rsid w:val="00151547"/>
    <w:rsid w:val="00151658"/>
    <w:rsid w:val="00151897"/>
    <w:rsid w:val="00151905"/>
    <w:rsid w:val="001519E0"/>
    <w:rsid w:val="00151AA2"/>
    <w:rsid w:val="00151ADE"/>
    <w:rsid w:val="00151B5B"/>
    <w:rsid w:val="00151C81"/>
    <w:rsid w:val="00151D1C"/>
    <w:rsid w:val="00151DAD"/>
    <w:rsid w:val="00151EA2"/>
    <w:rsid w:val="00151EC0"/>
    <w:rsid w:val="00151F4C"/>
    <w:rsid w:val="001520A9"/>
    <w:rsid w:val="0015220A"/>
    <w:rsid w:val="00152250"/>
    <w:rsid w:val="001522AA"/>
    <w:rsid w:val="00152372"/>
    <w:rsid w:val="001524FB"/>
    <w:rsid w:val="00152502"/>
    <w:rsid w:val="0015258E"/>
    <w:rsid w:val="0015259F"/>
    <w:rsid w:val="001525C9"/>
    <w:rsid w:val="00152801"/>
    <w:rsid w:val="0015282B"/>
    <w:rsid w:val="00152A93"/>
    <w:rsid w:val="00152B13"/>
    <w:rsid w:val="00152C69"/>
    <w:rsid w:val="00152D76"/>
    <w:rsid w:val="00152F2D"/>
    <w:rsid w:val="00152F98"/>
    <w:rsid w:val="0015342B"/>
    <w:rsid w:val="001535A0"/>
    <w:rsid w:val="00153607"/>
    <w:rsid w:val="0015360B"/>
    <w:rsid w:val="00153693"/>
    <w:rsid w:val="00153766"/>
    <w:rsid w:val="00153989"/>
    <w:rsid w:val="00153A0D"/>
    <w:rsid w:val="00153B83"/>
    <w:rsid w:val="00153B8F"/>
    <w:rsid w:val="00153C30"/>
    <w:rsid w:val="00153D2A"/>
    <w:rsid w:val="00153F02"/>
    <w:rsid w:val="00153F3F"/>
    <w:rsid w:val="00153F94"/>
    <w:rsid w:val="00153FAC"/>
    <w:rsid w:val="00153FF3"/>
    <w:rsid w:val="00154057"/>
    <w:rsid w:val="00154116"/>
    <w:rsid w:val="001542AB"/>
    <w:rsid w:val="0015443F"/>
    <w:rsid w:val="00154659"/>
    <w:rsid w:val="00154708"/>
    <w:rsid w:val="00154735"/>
    <w:rsid w:val="00154751"/>
    <w:rsid w:val="00154826"/>
    <w:rsid w:val="0015498D"/>
    <w:rsid w:val="001549E7"/>
    <w:rsid w:val="00154A43"/>
    <w:rsid w:val="00154C20"/>
    <w:rsid w:val="00154DDD"/>
    <w:rsid w:val="00155342"/>
    <w:rsid w:val="001553D6"/>
    <w:rsid w:val="0015541D"/>
    <w:rsid w:val="00155561"/>
    <w:rsid w:val="001555DE"/>
    <w:rsid w:val="00155678"/>
    <w:rsid w:val="0015572F"/>
    <w:rsid w:val="00155848"/>
    <w:rsid w:val="001558BE"/>
    <w:rsid w:val="001558C4"/>
    <w:rsid w:val="0015592F"/>
    <w:rsid w:val="001559A4"/>
    <w:rsid w:val="00155A5E"/>
    <w:rsid w:val="00155AB3"/>
    <w:rsid w:val="00155C03"/>
    <w:rsid w:val="00155DAA"/>
    <w:rsid w:val="00155E6D"/>
    <w:rsid w:val="00155FD2"/>
    <w:rsid w:val="001560CA"/>
    <w:rsid w:val="00156295"/>
    <w:rsid w:val="00156355"/>
    <w:rsid w:val="00156364"/>
    <w:rsid w:val="0015675A"/>
    <w:rsid w:val="00156783"/>
    <w:rsid w:val="001567EA"/>
    <w:rsid w:val="00156803"/>
    <w:rsid w:val="00156868"/>
    <w:rsid w:val="00156953"/>
    <w:rsid w:val="001569B0"/>
    <w:rsid w:val="00156A7C"/>
    <w:rsid w:val="00156B88"/>
    <w:rsid w:val="00156BA5"/>
    <w:rsid w:val="00156BC9"/>
    <w:rsid w:val="00156DD6"/>
    <w:rsid w:val="00156E35"/>
    <w:rsid w:val="00156E98"/>
    <w:rsid w:val="00156F08"/>
    <w:rsid w:val="00157006"/>
    <w:rsid w:val="0015702D"/>
    <w:rsid w:val="00157070"/>
    <w:rsid w:val="00157283"/>
    <w:rsid w:val="0015746E"/>
    <w:rsid w:val="001575D0"/>
    <w:rsid w:val="001575E4"/>
    <w:rsid w:val="0015767E"/>
    <w:rsid w:val="001576ED"/>
    <w:rsid w:val="001577BD"/>
    <w:rsid w:val="00157876"/>
    <w:rsid w:val="0015787C"/>
    <w:rsid w:val="00157896"/>
    <w:rsid w:val="001578F2"/>
    <w:rsid w:val="0015792D"/>
    <w:rsid w:val="0015795B"/>
    <w:rsid w:val="001579B1"/>
    <w:rsid w:val="001579B2"/>
    <w:rsid w:val="00157A08"/>
    <w:rsid w:val="00157BD8"/>
    <w:rsid w:val="00157CD2"/>
    <w:rsid w:val="00157D7C"/>
    <w:rsid w:val="00157E2E"/>
    <w:rsid w:val="00157EAB"/>
    <w:rsid w:val="00157EF0"/>
    <w:rsid w:val="00157F5F"/>
    <w:rsid w:val="001600E0"/>
    <w:rsid w:val="00160125"/>
    <w:rsid w:val="001601D8"/>
    <w:rsid w:val="001601EC"/>
    <w:rsid w:val="0016027C"/>
    <w:rsid w:val="0016036A"/>
    <w:rsid w:val="00160385"/>
    <w:rsid w:val="001603EB"/>
    <w:rsid w:val="001605DD"/>
    <w:rsid w:val="0016064A"/>
    <w:rsid w:val="00160765"/>
    <w:rsid w:val="001607CB"/>
    <w:rsid w:val="0016081B"/>
    <w:rsid w:val="0016099F"/>
    <w:rsid w:val="00160BAC"/>
    <w:rsid w:val="00160ECE"/>
    <w:rsid w:val="00160EFC"/>
    <w:rsid w:val="00160F29"/>
    <w:rsid w:val="00161091"/>
    <w:rsid w:val="0016110C"/>
    <w:rsid w:val="001611A3"/>
    <w:rsid w:val="001611BE"/>
    <w:rsid w:val="0016135F"/>
    <w:rsid w:val="001613BD"/>
    <w:rsid w:val="001613CB"/>
    <w:rsid w:val="001613DE"/>
    <w:rsid w:val="0016176E"/>
    <w:rsid w:val="00161847"/>
    <w:rsid w:val="00161868"/>
    <w:rsid w:val="00161E14"/>
    <w:rsid w:val="00161E69"/>
    <w:rsid w:val="00161EE8"/>
    <w:rsid w:val="00161EF6"/>
    <w:rsid w:val="00161F0B"/>
    <w:rsid w:val="00161FA2"/>
    <w:rsid w:val="0016214E"/>
    <w:rsid w:val="001621E4"/>
    <w:rsid w:val="001623E8"/>
    <w:rsid w:val="0016255D"/>
    <w:rsid w:val="001625B1"/>
    <w:rsid w:val="00162674"/>
    <w:rsid w:val="001627A9"/>
    <w:rsid w:val="001627BF"/>
    <w:rsid w:val="001627DA"/>
    <w:rsid w:val="00162A88"/>
    <w:rsid w:val="00162B5B"/>
    <w:rsid w:val="00162C26"/>
    <w:rsid w:val="00162D58"/>
    <w:rsid w:val="00162FFF"/>
    <w:rsid w:val="0016312B"/>
    <w:rsid w:val="00163185"/>
    <w:rsid w:val="001632DA"/>
    <w:rsid w:val="001632E2"/>
    <w:rsid w:val="001632E6"/>
    <w:rsid w:val="001633CC"/>
    <w:rsid w:val="001633D8"/>
    <w:rsid w:val="0016349C"/>
    <w:rsid w:val="001634D8"/>
    <w:rsid w:val="001634ED"/>
    <w:rsid w:val="00163543"/>
    <w:rsid w:val="0016371B"/>
    <w:rsid w:val="00163989"/>
    <w:rsid w:val="00163AB2"/>
    <w:rsid w:val="00163B36"/>
    <w:rsid w:val="00163B89"/>
    <w:rsid w:val="00163BB4"/>
    <w:rsid w:val="00163BE4"/>
    <w:rsid w:val="00163BF4"/>
    <w:rsid w:val="00163BFC"/>
    <w:rsid w:val="00163FBD"/>
    <w:rsid w:val="00163FE2"/>
    <w:rsid w:val="001640A1"/>
    <w:rsid w:val="001642EF"/>
    <w:rsid w:val="0016442A"/>
    <w:rsid w:val="00164516"/>
    <w:rsid w:val="00164612"/>
    <w:rsid w:val="001646BB"/>
    <w:rsid w:val="00164789"/>
    <w:rsid w:val="0016499B"/>
    <w:rsid w:val="00164C25"/>
    <w:rsid w:val="00164C7F"/>
    <w:rsid w:val="00164EBD"/>
    <w:rsid w:val="00164EFB"/>
    <w:rsid w:val="00164F92"/>
    <w:rsid w:val="0016501A"/>
    <w:rsid w:val="00165022"/>
    <w:rsid w:val="00165263"/>
    <w:rsid w:val="0016527B"/>
    <w:rsid w:val="0016529A"/>
    <w:rsid w:val="0016536B"/>
    <w:rsid w:val="0016558E"/>
    <w:rsid w:val="001655DB"/>
    <w:rsid w:val="0016563E"/>
    <w:rsid w:val="001656BD"/>
    <w:rsid w:val="00165767"/>
    <w:rsid w:val="001657B6"/>
    <w:rsid w:val="001658EA"/>
    <w:rsid w:val="00165A4A"/>
    <w:rsid w:val="00165A4C"/>
    <w:rsid w:val="00165AAD"/>
    <w:rsid w:val="00165AD6"/>
    <w:rsid w:val="00165D1F"/>
    <w:rsid w:val="00165DF3"/>
    <w:rsid w:val="00165EDC"/>
    <w:rsid w:val="00166084"/>
    <w:rsid w:val="00166197"/>
    <w:rsid w:val="001661DA"/>
    <w:rsid w:val="00166294"/>
    <w:rsid w:val="001662C6"/>
    <w:rsid w:val="001662D9"/>
    <w:rsid w:val="00166403"/>
    <w:rsid w:val="00166466"/>
    <w:rsid w:val="00166563"/>
    <w:rsid w:val="001665B6"/>
    <w:rsid w:val="001668EF"/>
    <w:rsid w:val="00166AC1"/>
    <w:rsid w:val="00166BC1"/>
    <w:rsid w:val="00166C40"/>
    <w:rsid w:val="00166C49"/>
    <w:rsid w:val="00166E77"/>
    <w:rsid w:val="00166E84"/>
    <w:rsid w:val="00166F54"/>
    <w:rsid w:val="0016701D"/>
    <w:rsid w:val="001671DE"/>
    <w:rsid w:val="0016721F"/>
    <w:rsid w:val="00167331"/>
    <w:rsid w:val="0016775F"/>
    <w:rsid w:val="001678EF"/>
    <w:rsid w:val="0016795C"/>
    <w:rsid w:val="001679DA"/>
    <w:rsid w:val="001679E0"/>
    <w:rsid w:val="00167AA3"/>
    <w:rsid w:val="00167B16"/>
    <w:rsid w:val="00167C01"/>
    <w:rsid w:val="00167C1B"/>
    <w:rsid w:val="00167C55"/>
    <w:rsid w:val="00167D97"/>
    <w:rsid w:val="001702A8"/>
    <w:rsid w:val="001703EB"/>
    <w:rsid w:val="001703F4"/>
    <w:rsid w:val="001706D3"/>
    <w:rsid w:val="001708FD"/>
    <w:rsid w:val="00170AF8"/>
    <w:rsid w:val="00170B0E"/>
    <w:rsid w:val="00170CD8"/>
    <w:rsid w:val="00170CDA"/>
    <w:rsid w:val="00170D37"/>
    <w:rsid w:val="00170DB7"/>
    <w:rsid w:val="00170FE8"/>
    <w:rsid w:val="0017102A"/>
    <w:rsid w:val="0017102D"/>
    <w:rsid w:val="00171067"/>
    <w:rsid w:val="001711A5"/>
    <w:rsid w:val="00171202"/>
    <w:rsid w:val="0017128C"/>
    <w:rsid w:val="001712C0"/>
    <w:rsid w:val="00171314"/>
    <w:rsid w:val="0017133A"/>
    <w:rsid w:val="00171386"/>
    <w:rsid w:val="001715DE"/>
    <w:rsid w:val="0017176E"/>
    <w:rsid w:val="00171824"/>
    <w:rsid w:val="00171939"/>
    <w:rsid w:val="00171962"/>
    <w:rsid w:val="00171BA6"/>
    <w:rsid w:val="00171DDC"/>
    <w:rsid w:val="00171F84"/>
    <w:rsid w:val="00171FA3"/>
    <w:rsid w:val="00171FC6"/>
    <w:rsid w:val="00172272"/>
    <w:rsid w:val="001723D4"/>
    <w:rsid w:val="001723E7"/>
    <w:rsid w:val="001723EE"/>
    <w:rsid w:val="0017246F"/>
    <w:rsid w:val="00172517"/>
    <w:rsid w:val="0017254A"/>
    <w:rsid w:val="00172615"/>
    <w:rsid w:val="00172654"/>
    <w:rsid w:val="0017268D"/>
    <w:rsid w:val="00172985"/>
    <w:rsid w:val="001729E2"/>
    <w:rsid w:val="00172A44"/>
    <w:rsid w:val="00172B93"/>
    <w:rsid w:val="00172BAB"/>
    <w:rsid w:val="00172CD5"/>
    <w:rsid w:val="00172D67"/>
    <w:rsid w:val="00172E0A"/>
    <w:rsid w:val="00172F4D"/>
    <w:rsid w:val="00172FF7"/>
    <w:rsid w:val="00173221"/>
    <w:rsid w:val="0017323E"/>
    <w:rsid w:val="0017346D"/>
    <w:rsid w:val="00173479"/>
    <w:rsid w:val="0017357A"/>
    <w:rsid w:val="001735E6"/>
    <w:rsid w:val="00173620"/>
    <w:rsid w:val="00173695"/>
    <w:rsid w:val="0017373F"/>
    <w:rsid w:val="00173774"/>
    <w:rsid w:val="001737B5"/>
    <w:rsid w:val="00173819"/>
    <w:rsid w:val="00173934"/>
    <w:rsid w:val="00173940"/>
    <w:rsid w:val="00173BD2"/>
    <w:rsid w:val="00173D1C"/>
    <w:rsid w:val="00173DB2"/>
    <w:rsid w:val="00173DD7"/>
    <w:rsid w:val="00173E79"/>
    <w:rsid w:val="00173EB5"/>
    <w:rsid w:val="0017402A"/>
    <w:rsid w:val="0017404E"/>
    <w:rsid w:val="001742CD"/>
    <w:rsid w:val="001742F0"/>
    <w:rsid w:val="00174461"/>
    <w:rsid w:val="0017455F"/>
    <w:rsid w:val="0017456C"/>
    <w:rsid w:val="0017459B"/>
    <w:rsid w:val="001745BE"/>
    <w:rsid w:val="00174750"/>
    <w:rsid w:val="001747A2"/>
    <w:rsid w:val="001747C0"/>
    <w:rsid w:val="00174CA3"/>
    <w:rsid w:val="00174D8A"/>
    <w:rsid w:val="00174EB4"/>
    <w:rsid w:val="001750AB"/>
    <w:rsid w:val="001750D2"/>
    <w:rsid w:val="001751A4"/>
    <w:rsid w:val="001751C7"/>
    <w:rsid w:val="00175300"/>
    <w:rsid w:val="00175362"/>
    <w:rsid w:val="001753D8"/>
    <w:rsid w:val="00175577"/>
    <w:rsid w:val="001755D4"/>
    <w:rsid w:val="001755ED"/>
    <w:rsid w:val="00175679"/>
    <w:rsid w:val="00175869"/>
    <w:rsid w:val="0017598F"/>
    <w:rsid w:val="00175A0C"/>
    <w:rsid w:val="00175A4A"/>
    <w:rsid w:val="00175AFB"/>
    <w:rsid w:val="00175C47"/>
    <w:rsid w:val="00175C5D"/>
    <w:rsid w:val="00175DF2"/>
    <w:rsid w:val="00175E23"/>
    <w:rsid w:val="00175E92"/>
    <w:rsid w:val="00175F1C"/>
    <w:rsid w:val="00175F2D"/>
    <w:rsid w:val="00175F9A"/>
    <w:rsid w:val="0017600A"/>
    <w:rsid w:val="00176187"/>
    <w:rsid w:val="00176202"/>
    <w:rsid w:val="0017622C"/>
    <w:rsid w:val="001762CB"/>
    <w:rsid w:val="001762DD"/>
    <w:rsid w:val="00176587"/>
    <w:rsid w:val="00176882"/>
    <w:rsid w:val="0017692E"/>
    <w:rsid w:val="001769CB"/>
    <w:rsid w:val="00176C65"/>
    <w:rsid w:val="00176D06"/>
    <w:rsid w:val="00176D2D"/>
    <w:rsid w:val="00176E07"/>
    <w:rsid w:val="00176F48"/>
    <w:rsid w:val="001770F9"/>
    <w:rsid w:val="00177187"/>
    <w:rsid w:val="001771D3"/>
    <w:rsid w:val="00177293"/>
    <w:rsid w:val="00177501"/>
    <w:rsid w:val="00177643"/>
    <w:rsid w:val="00177719"/>
    <w:rsid w:val="00177932"/>
    <w:rsid w:val="001779D2"/>
    <w:rsid w:val="00177A10"/>
    <w:rsid w:val="00177A12"/>
    <w:rsid w:val="00177B81"/>
    <w:rsid w:val="00177C39"/>
    <w:rsid w:val="00180056"/>
    <w:rsid w:val="0018005D"/>
    <w:rsid w:val="00180133"/>
    <w:rsid w:val="00180171"/>
    <w:rsid w:val="001803B4"/>
    <w:rsid w:val="00180407"/>
    <w:rsid w:val="001806CA"/>
    <w:rsid w:val="00180770"/>
    <w:rsid w:val="0018085D"/>
    <w:rsid w:val="0018087D"/>
    <w:rsid w:val="001808BA"/>
    <w:rsid w:val="00180994"/>
    <w:rsid w:val="001809F6"/>
    <w:rsid w:val="00180B35"/>
    <w:rsid w:val="00180BE5"/>
    <w:rsid w:val="00180BF6"/>
    <w:rsid w:val="00180C43"/>
    <w:rsid w:val="00180D10"/>
    <w:rsid w:val="00180DCB"/>
    <w:rsid w:val="00180DDD"/>
    <w:rsid w:val="001811DC"/>
    <w:rsid w:val="001813BD"/>
    <w:rsid w:val="00181401"/>
    <w:rsid w:val="00181463"/>
    <w:rsid w:val="00181468"/>
    <w:rsid w:val="0018153F"/>
    <w:rsid w:val="001815C2"/>
    <w:rsid w:val="0018162A"/>
    <w:rsid w:val="00181637"/>
    <w:rsid w:val="00181824"/>
    <w:rsid w:val="0018190D"/>
    <w:rsid w:val="0018193C"/>
    <w:rsid w:val="00181AEF"/>
    <w:rsid w:val="00181B9E"/>
    <w:rsid w:val="00181BAE"/>
    <w:rsid w:val="00181BE1"/>
    <w:rsid w:val="00181D13"/>
    <w:rsid w:val="00181D91"/>
    <w:rsid w:val="00181DA2"/>
    <w:rsid w:val="00181E23"/>
    <w:rsid w:val="00181E64"/>
    <w:rsid w:val="00181F09"/>
    <w:rsid w:val="00181FFB"/>
    <w:rsid w:val="001820DD"/>
    <w:rsid w:val="0018212C"/>
    <w:rsid w:val="00182187"/>
    <w:rsid w:val="00182339"/>
    <w:rsid w:val="001823A0"/>
    <w:rsid w:val="0018243A"/>
    <w:rsid w:val="001824DE"/>
    <w:rsid w:val="0018259E"/>
    <w:rsid w:val="001825BE"/>
    <w:rsid w:val="001825C6"/>
    <w:rsid w:val="001826C2"/>
    <w:rsid w:val="00182726"/>
    <w:rsid w:val="00182A5F"/>
    <w:rsid w:val="00182B5C"/>
    <w:rsid w:val="00182FCC"/>
    <w:rsid w:val="001831F4"/>
    <w:rsid w:val="00183381"/>
    <w:rsid w:val="00183398"/>
    <w:rsid w:val="001836A4"/>
    <w:rsid w:val="001836C2"/>
    <w:rsid w:val="001836CB"/>
    <w:rsid w:val="00183786"/>
    <w:rsid w:val="0018379C"/>
    <w:rsid w:val="00183853"/>
    <w:rsid w:val="0018386F"/>
    <w:rsid w:val="0018389F"/>
    <w:rsid w:val="001838B6"/>
    <w:rsid w:val="001839DF"/>
    <w:rsid w:val="00183AD1"/>
    <w:rsid w:val="00183BD1"/>
    <w:rsid w:val="00183BE0"/>
    <w:rsid w:val="00183C64"/>
    <w:rsid w:val="00183D35"/>
    <w:rsid w:val="00183DA6"/>
    <w:rsid w:val="00183DB5"/>
    <w:rsid w:val="00183DF3"/>
    <w:rsid w:val="00183EFF"/>
    <w:rsid w:val="001840A0"/>
    <w:rsid w:val="0018418D"/>
    <w:rsid w:val="001843FE"/>
    <w:rsid w:val="001845C4"/>
    <w:rsid w:val="001845CC"/>
    <w:rsid w:val="001845E5"/>
    <w:rsid w:val="00184743"/>
    <w:rsid w:val="00184883"/>
    <w:rsid w:val="00184983"/>
    <w:rsid w:val="001849E8"/>
    <w:rsid w:val="001849EE"/>
    <w:rsid w:val="00184AC8"/>
    <w:rsid w:val="00184AD5"/>
    <w:rsid w:val="00184AF2"/>
    <w:rsid w:val="00184D31"/>
    <w:rsid w:val="00184DED"/>
    <w:rsid w:val="00184EFE"/>
    <w:rsid w:val="00184F3A"/>
    <w:rsid w:val="00185005"/>
    <w:rsid w:val="00185024"/>
    <w:rsid w:val="0018524C"/>
    <w:rsid w:val="001853DC"/>
    <w:rsid w:val="001855DD"/>
    <w:rsid w:val="0018571C"/>
    <w:rsid w:val="001857A9"/>
    <w:rsid w:val="001858D1"/>
    <w:rsid w:val="0018596B"/>
    <w:rsid w:val="00185A34"/>
    <w:rsid w:val="00185A52"/>
    <w:rsid w:val="00185B54"/>
    <w:rsid w:val="00185C15"/>
    <w:rsid w:val="00185D7E"/>
    <w:rsid w:val="00185D98"/>
    <w:rsid w:val="0018603E"/>
    <w:rsid w:val="001860E3"/>
    <w:rsid w:val="00186258"/>
    <w:rsid w:val="00186270"/>
    <w:rsid w:val="00186431"/>
    <w:rsid w:val="0018692D"/>
    <w:rsid w:val="001869E8"/>
    <w:rsid w:val="00186C0C"/>
    <w:rsid w:val="00186C73"/>
    <w:rsid w:val="001873FC"/>
    <w:rsid w:val="001874A3"/>
    <w:rsid w:val="00187517"/>
    <w:rsid w:val="00187593"/>
    <w:rsid w:val="001878D3"/>
    <w:rsid w:val="0018792F"/>
    <w:rsid w:val="001879D7"/>
    <w:rsid w:val="00187AEC"/>
    <w:rsid w:val="00187B29"/>
    <w:rsid w:val="00187BCC"/>
    <w:rsid w:val="00187EF5"/>
    <w:rsid w:val="00187F3F"/>
    <w:rsid w:val="00187FC2"/>
    <w:rsid w:val="00187FE3"/>
    <w:rsid w:val="00190078"/>
    <w:rsid w:val="00190118"/>
    <w:rsid w:val="00190257"/>
    <w:rsid w:val="0019025C"/>
    <w:rsid w:val="001903C3"/>
    <w:rsid w:val="0019048F"/>
    <w:rsid w:val="001904DA"/>
    <w:rsid w:val="00190639"/>
    <w:rsid w:val="0019074B"/>
    <w:rsid w:val="001908FF"/>
    <w:rsid w:val="00190B3F"/>
    <w:rsid w:val="00190CB9"/>
    <w:rsid w:val="00190CE3"/>
    <w:rsid w:val="00190EAC"/>
    <w:rsid w:val="00190F37"/>
    <w:rsid w:val="00190FDB"/>
    <w:rsid w:val="00191253"/>
    <w:rsid w:val="00191280"/>
    <w:rsid w:val="001912F4"/>
    <w:rsid w:val="00191396"/>
    <w:rsid w:val="001915B4"/>
    <w:rsid w:val="001916B2"/>
    <w:rsid w:val="00191717"/>
    <w:rsid w:val="00191912"/>
    <w:rsid w:val="0019193E"/>
    <w:rsid w:val="00191995"/>
    <w:rsid w:val="00191A9F"/>
    <w:rsid w:val="00191CE7"/>
    <w:rsid w:val="00191D19"/>
    <w:rsid w:val="00191D9F"/>
    <w:rsid w:val="00191E1C"/>
    <w:rsid w:val="00191EC0"/>
    <w:rsid w:val="00191F06"/>
    <w:rsid w:val="00191FCE"/>
    <w:rsid w:val="00191FCF"/>
    <w:rsid w:val="001920EA"/>
    <w:rsid w:val="00192173"/>
    <w:rsid w:val="001921D6"/>
    <w:rsid w:val="001922BB"/>
    <w:rsid w:val="001922FD"/>
    <w:rsid w:val="001926C8"/>
    <w:rsid w:val="00192804"/>
    <w:rsid w:val="00192852"/>
    <w:rsid w:val="001928CE"/>
    <w:rsid w:val="00192938"/>
    <w:rsid w:val="00192A1D"/>
    <w:rsid w:val="00192A8B"/>
    <w:rsid w:val="00192ADB"/>
    <w:rsid w:val="00192B2E"/>
    <w:rsid w:val="00192EF5"/>
    <w:rsid w:val="001931DD"/>
    <w:rsid w:val="0019324F"/>
    <w:rsid w:val="0019334A"/>
    <w:rsid w:val="001933C8"/>
    <w:rsid w:val="001933FA"/>
    <w:rsid w:val="00193545"/>
    <w:rsid w:val="00193619"/>
    <w:rsid w:val="001937DF"/>
    <w:rsid w:val="00193814"/>
    <w:rsid w:val="00193820"/>
    <w:rsid w:val="00193860"/>
    <w:rsid w:val="0019387A"/>
    <w:rsid w:val="0019390F"/>
    <w:rsid w:val="0019397D"/>
    <w:rsid w:val="00193A26"/>
    <w:rsid w:val="00193AE0"/>
    <w:rsid w:val="00193B77"/>
    <w:rsid w:val="00193BD7"/>
    <w:rsid w:val="00193BDE"/>
    <w:rsid w:val="00193CC6"/>
    <w:rsid w:val="00193D63"/>
    <w:rsid w:val="00193DF2"/>
    <w:rsid w:val="00193F30"/>
    <w:rsid w:val="00193F87"/>
    <w:rsid w:val="00193FE3"/>
    <w:rsid w:val="00193FE5"/>
    <w:rsid w:val="00193FEF"/>
    <w:rsid w:val="00194184"/>
    <w:rsid w:val="001941FE"/>
    <w:rsid w:val="0019424E"/>
    <w:rsid w:val="00194289"/>
    <w:rsid w:val="001943F5"/>
    <w:rsid w:val="001944EE"/>
    <w:rsid w:val="00194627"/>
    <w:rsid w:val="001949D1"/>
    <w:rsid w:val="00194A2A"/>
    <w:rsid w:val="00194A5A"/>
    <w:rsid w:val="00194B30"/>
    <w:rsid w:val="00194B8F"/>
    <w:rsid w:val="00194BE2"/>
    <w:rsid w:val="00194D7F"/>
    <w:rsid w:val="00194DF6"/>
    <w:rsid w:val="00194F7F"/>
    <w:rsid w:val="00195052"/>
    <w:rsid w:val="00195175"/>
    <w:rsid w:val="001952C6"/>
    <w:rsid w:val="00195448"/>
    <w:rsid w:val="00195465"/>
    <w:rsid w:val="0019558E"/>
    <w:rsid w:val="001957D3"/>
    <w:rsid w:val="00195931"/>
    <w:rsid w:val="00195D1B"/>
    <w:rsid w:val="00195E3A"/>
    <w:rsid w:val="00195E75"/>
    <w:rsid w:val="00195FBF"/>
    <w:rsid w:val="0019607B"/>
    <w:rsid w:val="001960DF"/>
    <w:rsid w:val="00196198"/>
    <w:rsid w:val="001961AF"/>
    <w:rsid w:val="001961BB"/>
    <w:rsid w:val="001961CC"/>
    <w:rsid w:val="001962B3"/>
    <w:rsid w:val="001963B8"/>
    <w:rsid w:val="001963EA"/>
    <w:rsid w:val="0019643F"/>
    <w:rsid w:val="00196483"/>
    <w:rsid w:val="0019653B"/>
    <w:rsid w:val="00196715"/>
    <w:rsid w:val="00196743"/>
    <w:rsid w:val="00196808"/>
    <w:rsid w:val="00196834"/>
    <w:rsid w:val="0019694D"/>
    <w:rsid w:val="00196AD4"/>
    <w:rsid w:val="00196D76"/>
    <w:rsid w:val="00196DD2"/>
    <w:rsid w:val="00196E4B"/>
    <w:rsid w:val="00196F16"/>
    <w:rsid w:val="0019740D"/>
    <w:rsid w:val="00197491"/>
    <w:rsid w:val="001974A8"/>
    <w:rsid w:val="001974AB"/>
    <w:rsid w:val="001974F0"/>
    <w:rsid w:val="001977A6"/>
    <w:rsid w:val="00197A52"/>
    <w:rsid w:val="00197B95"/>
    <w:rsid w:val="00197CC7"/>
    <w:rsid w:val="00197D5C"/>
    <w:rsid w:val="00197DAF"/>
    <w:rsid w:val="00197E46"/>
    <w:rsid w:val="00197E69"/>
    <w:rsid w:val="00197FB0"/>
    <w:rsid w:val="001A002C"/>
    <w:rsid w:val="001A0048"/>
    <w:rsid w:val="001A019C"/>
    <w:rsid w:val="001A0328"/>
    <w:rsid w:val="001A035F"/>
    <w:rsid w:val="001A0460"/>
    <w:rsid w:val="001A0531"/>
    <w:rsid w:val="001A067C"/>
    <w:rsid w:val="001A073F"/>
    <w:rsid w:val="001A07A9"/>
    <w:rsid w:val="001A07F6"/>
    <w:rsid w:val="001A08D2"/>
    <w:rsid w:val="001A0BB2"/>
    <w:rsid w:val="001A0CD9"/>
    <w:rsid w:val="001A0D70"/>
    <w:rsid w:val="001A0E07"/>
    <w:rsid w:val="001A10E8"/>
    <w:rsid w:val="001A11A8"/>
    <w:rsid w:val="001A12DF"/>
    <w:rsid w:val="001A147D"/>
    <w:rsid w:val="001A14C7"/>
    <w:rsid w:val="001A15A7"/>
    <w:rsid w:val="001A15D3"/>
    <w:rsid w:val="001A1751"/>
    <w:rsid w:val="001A1771"/>
    <w:rsid w:val="001A1789"/>
    <w:rsid w:val="001A1864"/>
    <w:rsid w:val="001A1883"/>
    <w:rsid w:val="001A18D4"/>
    <w:rsid w:val="001A18E2"/>
    <w:rsid w:val="001A192E"/>
    <w:rsid w:val="001A1944"/>
    <w:rsid w:val="001A1CB0"/>
    <w:rsid w:val="001A1CC9"/>
    <w:rsid w:val="001A1D57"/>
    <w:rsid w:val="001A1D61"/>
    <w:rsid w:val="001A1E68"/>
    <w:rsid w:val="001A1F59"/>
    <w:rsid w:val="001A20AD"/>
    <w:rsid w:val="001A20BC"/>
    <w:rsid w:val="001A2188"/>
    <w:rsid w:val="001A2247"/>
    <w:rsid w:val="001A239C"/>
    <w:rsid w:val="001A242F"/>
    <w:rsid w:val="001A264B"/>
    <w:rsid w:val="001A26BE"/>
    <w:rsid w:val="001A2813"/>
    <w:rsid w:val="001A28F9"/>
    <w:rsid w:val="001A2915"/>
    <w:rsid w:val="001A2AC8"/>
    <w:rsid w:val="001A2BD5"/>
    <w:rsid w:val="001A2C3D"/>
    <w:rsid w:val="001A2E82"/>
    <w:rsid w:val="001A2F0A"/>
    <w:rsid w:val="001A2F4C"/>
    <w:rsid w:val="001A3080"/>
    <w:rsid w:val="001A314D"/>
    <w:rsid w:val="001A31C0"/>
    <w:rsid w:val="001A31D7"/>
    <w:rsid w:val="001A322C"/>
    <w:rsid w:val="001A33F6"/>
    <w:rsid w:val="001A3404"/>
    <w:rsid w:val="001A356D"/>
    <w:rsid w:val="001A3B68"/>
    <w:rsid w:val="001A3D31"/>
    <w:rsid w:val="001A3E33"/>
    <w:rsid w:val="001A3E54"/>
    <w:rsid w:val="001A4021"/>
    <w:rsid w:val="001A4073"/>
    <w:rsid w:val="001A40DF"/>
    <w:rsid w:val="001A424C"/>
    <w:rsid w:val="001A425B"/>
    <w:rsid w:val="001A4275"/>
    <w:rsid w:val="001A42A1"/>
    <w:rsid w:val="001A42BD"/>
    <w:rsid w:val="001A42DB"/>
    <w:rsid w:val="001A437A"/>
    <w:rsid w:val="001A475C"/>
    <w:rsid w:val="001A47C1"/>
    <w:rsid w:val="001A489D"/>
    <w:rsid w:val="001A4904"/>
    <w:rsid w:val="001A490A"/>
    <w:rsid w:val="001A4AB4"/>
    <w:rsid w:val="001A4BB9"/>
    <w:rsid w:val="001A4C55"/>
    <w:rsid w:val="001A4D66"/>
    <w:rsid w:val="001A4EDB"/>
    <w:rsid w:val="001A4FFD"/>
    <w:rsid w:val="001A5004"/>
    <w:rsid w:val="001A50C0"/>
    <w:rsid w:val="001A512A"/>
    <w:rsid w:val="001A5271"/>
    <w:rsid w:val="001A52B6"/>
    <w:rsid w:val="001A539F"/>
    <w:rsid w:val="001A5474"/>
    <w:rsid w:val="001A57FD"/>
    <w:rsid w:val="001A5949"/>
    <w:rsid w:val="001A5A24"/>
    <w:rsid w:val="001A5C44"/>
    <w:rsid w:val="001A5EB3"/>
    <w:rsid w:val="001A5FA1"/>
    <w:rsid w:val="001A614C"/>
    <w:rsid w:val="001A61A3"/>
    <w:rsid w:val="001A62A5"/>
    <w:rsid w:val="001A63CE"/>
    <w:rsid w:val="001A6442"/>
    <w:rsid w:val="001A6476"/>
    <w:rsid w:val="001A6489"/>
    <w:rsid w:val="001A6503"/>
    <w:rsid w:val="001A65D5"/>
    <w:rsid w:val="001A6689"/>
    <w:rsid w:val="001A6725"/>
    <w:rsid w:val="001A676D"/>
    <w:rsid w:val="001A691A"/>
    <w:rsid w:val="001A692B"/>
    <w:rsid w:val="001A6A68"/>
    <w:rsid w:val="001A6ADC"/>
    <w:rsid w:val="001A6C0C"/>
    <w:rsid w:val="001A6CA5"/>
    <w:rsid w:val="001A6CA9"/>
    <w:rsid w:val="001A6CB3"/>
    <w:rsid w:val="001A6D13"/>
    <w:rsid w:val="001A6D18"/>
    <w:rsid w:val="001A6D63"/>
    <w:rsid w:val="001A6DD4"/>
    <w:rsid w:val="001A6E51"/>
    <w:rsid w:val="001A6F12"/>
    <w:rsid w:val="001A701D"/>
    <w:rsid w:val="001A7084"/>
    <w:rsid w:val="001A70AB"/>
    <w:rsid w:val="001A7291"/>
    <w:rsid w:val="001A73CD"/>
    <w:rsid w:val="001A780B"/>
    <w:rsid w:val="001A7823"/>
    <w:rsid w:val="001A7860"/>
    <w:rsid w:val="001A797C"/>
    <w:rsid w:val="001A7994"/>
    <w:rsid w:val="001A79F5"/>
    <w:rsid w:val="001A7B5E"/>
    <w:rsid w:val="001A7BA3"/>
    <w:rsid w:val="001A7BCD"/>
    <w:rsid w:val="001A7F1E"/>
    <w:rsid w:val="001B00DF"/>
    <w:rsid w:val="001B01A0"/>
    <w:rsid w:val="001B0272"/>
    <w:rsid w:val="001B0450"/>
    <w:rsid w:val="001B050B"/>
    <w:rsid w:val="001B080D"/>
    <w:rsid w:val="001B08A0"/>
    <w:rsid w:val="001B08BD"/>
    <w:rsid w:val="001B08F5"/>
    <w:rsid w:val="001B0A06"/>
    <w:rsid w:val="001B0A65"/>
    <w:rsid w:val="001B0F95"/>
    <w:rsid w:val="001B11AC"/>
    <w:rsid w:val="001B11B5"/>
    <w:rsid w:val="001B1249"/>
    <w:rsid w:val="001B12ED"/>
    <w:rsid w:val="001B1361"/>
    <w:rsid w:val="001B1366"/>
    <w:rsid w:val="001B13DC"/>
    <w:rsid w:val="001B1485"/>
    <w:rsid w:val="001B1554"/>
    <w:rsid w:val="001B18E9"/>
    <w:rsid w:val="001B1969"/>
    <w:rsid w:val="001B1A04"/>
    <w:rsid w:val="001B1A8F"/>
    <w:rsid w:val="001B1CED"/>
    <w:rsid w:val="001B1F7C"/>
    <w:rsid w:val="001B2055"/>
    <w:rsid w:val="001B2353"/>
    <w:rsid w:val="001B2434"/>
    <w:rsid w:val="001B248B"/>
    <w:rsid w:val="001B24B1"/>
    <w:rsid w:val="001B24C0"/>
    <w:rsid w:val="001B24D2"/>
    <w:rsid w:val="001B24DE"/>
    <w:rsid w:val="001B2675"/>
    <w:rsid w:val="001B2738"/>
    <w:rsid w:val="001B2764"/>
    <w:rsid w:val="001B2776"/>
    <w:rsid w:val="001B27EB"/>
    <w:rsid w:val="001B2975"/>
    <w:rsid w:val="001B299D"/>
    <w:rsid w:val="001B2A1D"/>
    <w:rsid w:val="001B2A5C"/>
    <w:rsid w:val="001B2B3E"/>
    <w:rsid w:val="001B2C1B"/>
    <w:rsid w:val="001B2D03"/>
    <w:rsid w:val="001B2DE4"/>
    <w:rsid w:val="001B2E19"/>
    <w:rsid w:val="001B2F0E"/>
    <w:rsid w:val="001B3049"/>
    <w:rsid w:val="001B3089"/>
    <w:rsid w:val="001B30FD"/>
    <w:rsid w:val="001B310F"/>
    <w:rsid w:val="001B31EB"/>
    <w:rsid w:val="001B32CF"/>
    <w:rsid w:val="001B3384"/>
    <w:rsid w:val="001B345C"/>
    <w:rsid w:val="001B34BC"/>
    <w:rsid w:val="001B3542"/>
    <w:rsid w:val="001B36C9"/>
    <w:rsid w:val="001B3734"/>
    <w:rsid w:val="001B3798"/>
    <w:rsid w:val="001B37C2"/>
    <w:rsid w:val="001B39E5"/>
    <w:rsid w:val="001B3AD2"/>
    <w:rsid w:val="001B3B2F"/>
    <w:rsid w:val="001B3BBE"/>
    <w:rsid w:val="001B3C0E"/>
    <w:rsid w:val="001B3C32"/>
    <w:rsid w:val="001B3C4F"/>
    <w:rsid w:val="001B3C9D"/>
    <w:rsid w:val="001B3D8E"/>
    <w:rsid w:val="001B3DBA"/>
    <w:rsid w:val="001B3F54"/>
    <w:rsid w:val="001B3F6A"/>
    <w:rsid w:val="001B4009"/>
    <w:rsid w:val="001B4050"/>
    <w:rsid w:val="001B4056"/>
    <w:rsid w:val="001B4355"/>
    <w:rsid w:val="001B4823"/>
    <w:rsid w:val="001B49B3"/>
    <w:rsid w:val="001B4A06"/>
    <w:rsid w:val="001B4A11"/>
    <w:rsid w:val="001B4B95"/>
    <w:rsid w:val="001B4D03"/>
    <w:rsid w:val="001B4F3A"/>
    <w:rsid w:val="001B4F63"/>
    <w:rsid w:val="001B52AC"/>
    <w:rsid w:val="001B53CD"/>
    <w:rsid w:val="001B53DB"/>
    <w:rsid w:val="001B53E5"/>
    <w:rsid w:val="001B53FE"/>
    <w:rsid w:val="001B5518"/>
    <w:rsid w:val="001B5989"/>
    <w:rsid w:val="001B59D6"/>
    <w:rsid w:val="001B5A10"/>
    <w:rsid w:val="001B5A8F"/>
    <w:rsid w:val="001B5AB4"/>
    <w:rsid w:val="001B5AEF"/>
    <w:rsid w:val="001B5B8E"/>
    <w:rsid w:val="001B5C75"/>
    <w:rsid w:val="001B5DEE"/>
    <w:rsid w:val="001B5E80"/>
    <w:rsid w:val="001B5ED1"/>
    <w:rsid w:val="001B5EEF"/>
    <w:rsid w:val="001B5FB9"/>
    <w:rsid w:val="001B62F9"/>
    <w:rsid w:val="001B639D"/>
    <w:rsid w:val="001B63C7"/>
    <w:rsid w:val="001B64A1"/>
    <w:rsid w:val="001B6722"/>
    <w:rsid w:val="001B681A"/>
    <w:rsid w:val="001B68F6"/>
    <w:rsid w:val="001B6B09"/>
    <w:rsid w:val="001B6C53"/>
    <w:rsid w:val="001B6CA9"/>
    <w:rsid w:val="001B6E62"/>
    <w:rsid w:val="001B6E70"/>
    <w:rsid w:val="001B6E97"/>
    <w:rsid w:val="001B6F51"/>
    <w:rsid w:val="001B7119"/>
    <w:rsid w:val="001B7245"/>
    <w:rsid w:val="001B7260"/>
    <w:rsid w:val="001B727D"/>
    <w:rsid w:val="001B76B4"/>
    <w:rsid w:val="001B7816"/>
    <w:rsid w:val="001B783D"/>
    <w:rsid w:val="001B7A2D"/>
    <w:rsid w:val="001B7BCF"/>
    <w:rsid w:val="001B7C3B"/>
    <w:rsid w:val="001B7CB9"/>
    <w:rsid w:val="001B7EA3"/>
    <w:rsid w:val="001C0088"/>
    <w:rsid w:val="001C00BE"/>
    <w:rsid w:val="001C01B8"/>
    <w:rsid w:val="001C01DC"/>
    <w:rsid w:val="001C01F0"/>
    <w:rsid w:val="001C020A"/>
    <w:rsid w:val="001C0240"/>
    <w:rsid w:val="001C0350"/>
    <w:rsid w:val="001C079B"/>
    <w:rsid w:val="001C0970"/>
    <w:rsid w:val="001C097A"/>
    <w:rsid w:val="001C0986"/>
    <w:rsid w:val="001C0B98"/>
    <w:rsid w:val="001C0BE8"/>
    <w:rsid w:val="001C0D16"/>
    <w:rsid w:val="001C0DCB"/>
    <w:rsid w:val="001C0E5B"/>
    <w:rsid w:val="001C0EE1"/>
    <w:rsid w:val="001C0EF0"/>
    <w:rsid w:val="001C1088"/>
    <w:rsid w:val="001C1241"/>
    <w:rsid w:val="001C1298"/>
    <w:rsid w:val="001C1310"/>
    <w:rsid w:val="001C1385"/>
    <w:rsid w:val="001C1418"/>
    <w:rsid w:val="001C163F"/>
    <w:rsid w:val="001C170D"/>
    <w:rsid w:val="001C1764"/>
    <w:rsid w:val="001C17F9"/>
    <w:rsid w:val="001C1AD9"/>
    <w:rsid w:val="001C1AE0"/>
    <w:rsid w:val="001C1B05"/>
    <w:rsid w:val="001C1B9C"/>
    <w:rsid w:val="001C1D27"/>
    <w:rsid w:val="001C1E76"/>
    <w:rsid w:val="001C1E89"/>
    <w:rsid w:val="001C2094"/>
    <w:rsid w:val="001C22BA"/>
    <w:rsid w:val="001C2354"/>
    <w:rsid w:val="001C2425"/>
    <w:rsid w:val="001C2472"/>
    <w:rsid w:val="001C2684"/>
    <w:rsid w:val="001C27BE"/>
    <w:rsid w:val="001C2C42"/>
    <w:rsid w:val="001C2D3E"/>
    <w:rsid w:val="001C2E53"/>
    <w:rsid w:val="001C2ED0"/>
    <w:rsid w:val="001C3009"/>
    <w:rsid w:val="001C300C"/>
    <w:rsid w:val="001C3172"/>
    <w:rsid w:val="001C327B"/>
    <w:rsid w:val="001C340C"/>
    <w:rsid w:val="001C3582"/>
    <w:rsid w:val="001C3648"/>
    <w:rsid w:val="001C3659"/>
    <w:rsid w:val="001C36F4"/>
    <w:rsid w:val="001C36FD"/>
    <w:rsid w:val="001C3772"/>
    <w:rsid w:val="001C3774"/>
    <w:rsid w:val="001C39AF"/>
    <w:rsid w:val="001C39DE"/>
    <w:rsid w:val="001C3A12"/>
    <w:rsid w:val="001C3A27"/>
    <w:rsid w:val="001C3A6C"/>
    <w:rsid w:val="001C3AEB"/>
    <w:rsid w:val="001C3B7B"/>
    <w:rsid w:val="001C3C92"/>
    <w:rsid w:val="001C3D48"/>
    <w:rsid w:val="001C3DF9"/>
    <w:rsid w:val="001C3FDD"/>
    <w:rsid w:val="001C40CE"/>
    <w:rsid w:val="001C40D2"/>
    <w:rsid w:val="001C428D"/>
    <w:rsid w:val="001C42F5"/>
    <w:rsid w:val="001C4531"/>
    <w:rsid w:val="001C4550"/>
    <w:rsid w:val="001C4684"/>
    <w:rsid w:val="001C4714"/>
    <w:rsid w:val="001C4A81"/>
    <w:rsid w:val="001C4ACF"/>
    <w:rsid w:val="001C4B5F"/>
    <w:rsid w:val="001C4C54"/>
    <w:rsid w:val="001C4C70"/>
    <w:rsid w:val="001C4C99"/>
    <w:rsid w:val="001C4F9C"/>
    <w:rsid w:val="001C5100"/>
    <w:rsid w:val="001C5104"/>
    <w:rsid w:val="001C5211"/>
    <w:rsid w:val="001C5327"/>
    <w:rsid w:val="001C534B"/>
    <w:rsid w:val="001C545D"/>
    <w:rsid w:val="001C573B"/>
    <w:rsid w:val="001C580F"/>
    <w:rsid w:val="001C5871"/>
    <w:rsid w:val="001C5966"/>
    <w:rsid w:val="001C5975"/>
    <w:rsid w:val="001C59FD"/>
    <w:rsid w:val="001C5C1E"/>
    <w:rsid w:val="001C5CD1"/>
    <w:rsid w:val="001C5D96"/>
    <w:rsid w:val="001C5D97"/>
    <w:rsid w:val="001C5DE2"/>
    <w:rsid w:val="001C5E0C"/>
    <w:rsid w:val="001C5ED8"/>
    <w:rsid w:val="001C61E9"/>
    <w:rsid w:val="001C633C"/>
    <w:rsid w:val="001C6377"/>
    <w:rsid w:val="001C638C"/>
    <w:rsid w:val="001C6607"/>
    <w:rsid w:val="001C68E4"/>
    <w:rsid w:val="001C6AE8"/>
    <w:rsid w:val="001C6B1C"/>
    <w:rsid w:val="001C6BA8"/>
    <w:rsid w:val="001C6BD6"/>
    <w:rsid w:val="001C6C3B"/>
    <w:rsid w:val="001C6D4B"/>
    <w:rsid w:val="001C712E"/>
    <w:rsid w:val="001C719C"/>
    <w:rsid w:val="001C721D"/>
    <w:rsid w:val="001C7593"/>
    <w:rsid w:val="001C75A3"/>
    <w:rsid w:val="001C75BA"/>
    <w:rsid w:val="001C75E2"/>
    <w:rsid w:val="001C7654"/>
    <w:rsid w:val="001C7679"/>
    <w:rsid w:val="001C7690"/>
    <w:rsid w:val="001C775A"/>
    <w:rsid w:val="001C77A4"/>
    <w:rsid w:val="001C78D4"/>
    <w:rsid w:val="001C7AA6"/>
    <w:rsid w:val="001C7AC8"/>
    <w:rsid w:val="001C7B4F"/>
    <w:rsid w:val="001C7CE1"/>
    <w:rsid w:val="001C7DA2"/>
    <w:rsid w:val="001C7E73"/>
    <w:rsid w:val="001C7ED1"/>
    <w:rsid w:val="001C7F36"/>
    <w:rsid w:val="001C7FEF"/>
    <w:rsid w:val="001D0042"/>
    <w:rsid w:val="001D0341"/>
    <w:rsid w:val="001D0390"/>
    <w:rsid w:val="001D0533"/>
    <w:rsid w:val="001D05E6"/>
    <w:rsid w:val="001D07AF"/>
    <w:rsid w:val="001D0883"/>
    <w:rsid w:val="001D08E0"/>
    <w:rsid w:val="001D0A6D"/>
    <w:rsid w:val="001D0B7D"/>
    <w:rsid w:val="001D0CB7"/>
    <w:rsid w:val="001D0CFB"/>
    <w:rsid w:val="001D0DA4"/>
    <w:rsid w:val="001D0F76"/>
    <w:rsid w:val="001D1023"/>
    <w:rsid w:val="001D102C"/>
    <w:rsid w:val="001D1158"/>
    <w:rsid w:val="001D11DE"/>
    <w:rsid w:val="001D1286"/>
    <w:rsid w:val="001D12B6"/>
    <w:rsid w:val="001D13F5"/>
    <w:rsid w:val="001D1535"/>
    <w:rsid w:val="001D1539"/>
    <w:rsid w:val="001D1595"/>
    <w:rsid w:val="001D1652"/>
    <w:rsid w:val="001D1772"/>
    <w:rsid w:val="001D19A3"/>
    <w:rsid w:val="001D1A04"/>
    <w:rsid w:val="001D1AED"/>
    <w:rsid w:val="001D1B69"/>
    <w:rsid w:val="001D1C65"/>
    <w:rsid w:val="001D1D62"/>
    <w:rsid w:val="001D1D6E"/>
    <w:rsid w:val="001D1D92"/>
    <w:rsid w:val="001D1FC2"/>
    <w:rsid w:val="001D2026"/>
    <w:rsid w:val="001D205A"/>
    <w:rsid w:val="001D2113"/>
    <w:rsid w:val="001D21CE"/>
    <w:rsid w:val="001D21F5"/>
    <w:rsid w:val="001D2408"/>
    <w:rsid w:val="001D2726"/>
    <w:rsid w:val="001D2746"/>
    <w:rsid w:val="001D275A"/>
    <w:rsid w:val="001D284E"/>
    <w:rsid w:val="001D2C93"/>
    <w:rsid w:val="001D2C9D"/>
    <w:rsid w:val="001D2CB7"/>
    <w:rsid w:val="001D2EF6"/>
    <w:rsid w:val="001D2F71"/>
    <w:rsid w:val="001D32CA"/>
    <w:rsid w:val="001D3314"/>
    <w:rsid w:val="001D3318"/>
    <w:rsid w:val="001D3566"/>
    <w:rsid w:val="001D36CD"/>
    <w:rsid w:val="001D37CA"/>
    <w:rsid w:val="001D3991"/>
    <w:rsid w:val="001D3AE3"/>
    <w:rsid w:val="001D3AF1"/>
    <w:rsid w:val="001D3B98"/>
    <w:rsid w:val="001D3B99"/>
    <w:rsid w:val="001D3BFC"/>
    <w:rsid w:val="001D3C7D"/>
    <w:rsid w:val="001D3D3D"/>
    <w:rsid w:val="001D3DF7"/>
    <w:rsid w:val="001D3E6A"/>
    <w:rsid w:val="001D3F70"/>
    <w:rsid w:val="001D405F"/>
    <w:rsid w:val="001D422A"/>
    <w:rsid w:val="001D4245"/>
    <w:rsid w:val="001D4539"/>
    <w:rsid w:val="001D4556"/>
    <w:rsid w:val="001D4644"/>
    <w:rsid w:val="001D46CE"/>
    <w:rsid w:val="001D471B"/>
    <w:rsid w:val="001D486B"/>
    <w:rsid w:val="001D4A90"/>
    <w:rsid w:val="001D4B12"/>
    <w:rsid w:val="001D4B3F"/>
    <w:rsid w:val="001D4B69"/>
    <w:rsid w:val="001D4BB1"/>
    <w:rsid w:val="001D4E1F"/>
    <w:rsid w:val="001D4E8A"/>
    <w:rsid w:val="001D4F1F"/>
    <w:rsid w:val="001D5066"/>
    <w:rsid w:val="001D5071"/>
    <w:rsid w:val="001D51DA"/>
    <w:rsid w:val="001D51EE"/>
    <w:rsid w:val="001D5287"/>
    <w:rsid w:val="001D5362"/>
    <w:rsid w:val="001D5469"/>
    <w:rsid w:val="001D5609"/>
    <w:rsid w:val="001D56E3"/>
    <w:rsid w:val="001D5751"/>
    <w:rsid w:val="001D5796"/>
    <w:rsid w:val="001D588C"/>
    <w:rsid w:val="001D5A5F"/>
    <w:rsid w:val="001D5AEF"/>
    <w:rsid w:val="001D5B69"/>
    <w:rsid w:val="001D5D67"/>
    <w:rsid w:val="001D5E01"/>
    <w:rsid w:val="001D5F46"/>
    <w:rsid w:val="001D5FB0"/>
    <w:rsid w:val="001D5FEE"/>
    <w:rsid w:val="001D607C"/>
    <w:rsid w:val="001D60F0"/>
    <w:rsid w:val="001D6107"/>
    <w:rsid w:val="001D62C5"/>
    <w:rsid w:val="001D62D5"/>
    <w:rsid w:val="001D642F"/>
    <w:rsid w:val="001D6476"/>
    <w:rsid w:val="001D6483"/>
    <w:rsid w:val="001D6547"/>
    <w:rsid w:val="001D6597"/>
    <w:rsid w:val="001D66D1"/>
    <w:rsid w:val="001D6725"/>
    <w:rsid w:val="001D68B2"/>
    <w:rsid w:val="001D6A52"/>
    <w:rsid w:val="001D6A53"/>
    <w:rsid w:val="001D6A8F"/>
    <w:rsid w:val="001D6B14"/>
    <w:rsid w:val="001D6B6F"/>
    <w:rsid w:val="001D6C8E"/>
    <w:rsid w:val="001D6CF4"/>
    <w:rsid w:val="001D6E08"/>
    <w:rsid w:val="001D6FEF"/>
    <w:rsid w:val="001D703F"/>
    <w:rsid w:val="001D7096"/>
    <w:rsid w:val="001D71FF"/>
    <w:rsid w:val="001D72F9"/>
    <w:rsid w:val="001D734E"/>
    <w:rsid w:val="001D7430"/>
    <w:rsid w:val="001D74CC"/>
    <w:rsid w:val="001D7716"/>
    <w:rsid w:val="001D78BC"/>
    <w:rsid w:val="001D79CD"/>
    <w:rsid w:val="001D7A9A"/>
    <w:rsid w:val="001D7BA6"/>
    <w:rsid w:val="001D7BDC"/>
    <w:rsid w:val="001D7BFA"/>
    <w:rsid w:val="001D7DA1"/>
    <w:rsid w:val="001D7DB2"/>
    <w:rsid w:val="001D7ED1"/>
    <w:rsid w:val="001D7F7C"/>
    <w:rsid w:val="001E0130"/>
    <w:rsid w:val="001E01A8"/>
    <w:rsid w:val="001E0309"/>
    <w:rsid w:val="001E03BF"/>
    <w:rsid w:val="001E0571"/>
    <w:rsid w:val="001E06F7"/>
    <w:rsid w:val="001E0775"/>
    <w:rsid w:val="001E07D1"/>
    <w:rsid w:val="001E082A"/>
    <w:rsid w:val="001E0924"/>
    <w:rsid w:val="001E0972"/>
    <w:rsid w:val="001E0A2A"/>
    <w:rsid w:val="001E0AC3"/>
    <w:rsid w:val="001E0CE2"/>
    <w:rsid w:val="001E0D4B"/>
    <w:rsid w:val="001E0DE6"/>
    <w:rsid w:val="001E0F50"/>
    <w:rsid w:val="001E100C"/>
    <w:rsid w:val="001E1025"/>
    <w:rsid w:val="001E10D7"/>
    <w:rsid w:val="001E1180"/>
    <w:rsid w:val="001E13CC"/>
    <w:rsid w:val="001E1549"/>
    <w:rsid w:val="001E157C"/>
    <w:rsid w:val="001E16DF"/>
    <w:rsid w:val="001E18A5"/>
    <w:rsid w:val="001E18DB"/>
    <w:rsid w:val="001E192B"/>
    <w:rsid w:val="001E1AB1"/>
    <w:rsid w:val="001E1B3D"/>
    <w:rsid w:val="001E1BA6"/>
    <w:rsid w:val="001E1BF2"/>
    <w:rsid w:val="001E1D08"/>
    <w:rsid w:val="001E1D0F"/>
    <w:rsid w:val="001E1D30"/>
    <w:rsid w:val="001E1D6B"/>
    <w:rsid w:val="001E1DBE"/>
    <w:rsid w:val="001E1E4B"/>
    <w:rsid w:val="001E1FD4"/>
    <w:rsid w:val="001E2050"/>
    <w:rsid w:val="001E2072"/>
    <w:rsid w:val="001E2114"/>
    <w:rsid w:val="001E225F"/>
    <w:rsid w:val="001E22D3"/>
    <w:rsid w:val="001E2577"/>
    <w:rsid w:val="001E26F7"/>
    <w:rsid w:val="001E27B4"/>
    <w:rsid w:val="001E2891"/>
    <w:rsid w:val="001E28D1"/>
    <w:rsid w:val="001E28E2"/>
    <w:rsid w:val="001E297D"/>
    <w:rsid w:val="001E29BA"/>
    <w:rsid w:val="001E2ADC"/>
    <w:rsid w:val="001E2C2D"/>
    <w:rsid w:val="001E2DA5"/>
    <w:rsid w:val="001E2DC2"/>
    <w:rsid w:val="001E2E5A"/>
    <w:rsid w:val="001E2E80"/>
    <w:rsid w:val="001E2EE5"/>
    <w:rsid w:val="001E2EE6"/>
    <w:rsid w:val="001E315A"/>
    <w:rsid w:val="001E316A"/>
    <w:rsid w:val="001E31A4"/>
    <w:rsid w:val="001E32AA"/>
    <w:rsid w:val="001E3393"/>
    <w:rsid w:val="001E3449"/>
    <w:rsid w:val="001E350D"/>
    <w:rsid w:val="001E3559"/>
    <w:rsid w:val="001E3595"/>
    <w:rsid w:val="001E361D"/>
    <w:rsid w:val="001E3625"/>
    <w:rsid w:val="001E3697"/>
    <w:rsid w:val="001E3766"/>
    <w:rsid w:val="001E37DF"/>
    <w:rsid w:val="001E38CB"/>
    <w:rsid w:val="001E38D2"/>
    <w:rsid w:val="001E390D"/>
    <w:rsid w:val="001E3924"/>
    <w:rsid w:val="001E3A6A"/>
    <w:rsid w:val="001E3B69"/>
    <w:rsid w:val="001E3BA5"/>
    <w:rsid w:val="001E3BE5"/>
    <w:rsid w:val="001E3C1A"/>
    <w:rsid w:val="001E3C41"/>
    <w:rsid w:val="001E3C68"/>
    <w:rsid w:val="001E3D2A"/>
    <w:rsid w:val="001E4009"/>
    <w:rsid w:val="001E409E"/>
    <w:rsid w:val="001E40F8"/>
    <w:rsid w:val="001E41AB"/>
    <w:rsid w:val="001E4251"/>
    <w:rsid w:val="001E431A"/>
    <w:rsid w:val="001E4405"/>
    <w:rsid w:val="001E44D5"/>
    <w:rsid w:val="001E4763"/>
    <w:rsid w:val="001E477E"/>
    <w:rsid w:val="001E47DA"/>
    <w:rsid w:val="001E48EF"/>
    <w:rsid w:val="001E4963"/>
    <w:rsid w:val="001E497B"/>
    <w:rsid w:val="001E4AA7"/>
    <w:rsid w:val="001E4AE0"/>
    <w:rsid w:val="001E4EC9"/>
    <w:rsid w:val="001E4F38"/>
    <w:rsid w:val="001E5010"/>
    <w:rsid w:val="001E51C6"/>
    <w:rsid w:val="001E551A"/>
    <w:rsid w:val="001E55B3"/>
    <w:rsid w:val="001E5723"/>
    <w:rsid w:val="001E5729"/>
    <w:rsid w:val="001E5778"/>
    <w:rsid w:val="001E589B"/>
    <w:rsid w:val="001E58F3"/>
    <w:rsid w:val="001E5A18"/>
    <w:rsid w:val="001E5AD8"/>
    <w:rsid w:val="001E5E2D"/>
    <w:rsid w:val="001E5EE3"/>
    <w:rsid w:val="001E5F35"/>
    <w:rsid w:val="001E5F5D"/>
    <w:rsid w:val="001E6016"/>
    <w:rsid w:val="001E6550"/>
    <w:rsid w:val="001E6554"/>
    <w:rsid w:val="001E6605"/>
    <w:rsid w:val="001E67B3"/>
    <w:rsid w:val="001E6836"/>
    <w:rsid w:val="001E69AB"/>
    <w:rsid w:val="001E6C4C"/>
    <w:rsid w:val="001E6C6B"/>
    <w:rsid w:val="001E6D15"/>
    <w:rsid w:val="001E6E6E"/>
    <w:rsid w:val="001E7179"/>
    <w:rsid w:val="001E749D"/>
    <w:rsid w:val="001E7546"/>
    <w:rsid w:val="001E7743"/>
    <w:rsid w:val="001E7819"/>
    <w:rsid w:val="001E78B4"/>
    <w:rsid w:val="001E7919"/>
    <w:rsid w:val="001E7EB0"/>
    <w:rsid w:val="001E7F48"/>
    <w:rsid w:val="001E7F4E"/>
    <w:rsid w:val="001F0157"/>
    <w:rsid w:val="001F0493"/>
    <w:rsid w:val="001F04DC"/>
    <w:rsid w:val="001F05BA"/>
    <w:rsid w:val="001F05D7"/>
    <w:rsid w:val="001F0651"/>
    <w:rsid w:val="001F085E"/>
    <w:rsid w:val="001F0A21"/>
    <w:rsid w:val="001F0A50"/>
    <w:rsid w:val="001F0A88"/>
    <w:rsid w:val="001F0BDC"/>
    <w:rsid w:val="001F0BFC"/>
    <w:rsid w:val="001F0EEF"/>
    <w:rsid w:val="001F0FA5"/>
    <w:rsid w:val="001F1030"/>
    <w:rsid w:val="001F1149"/>
    <w:rsid w:val="001F11B7"/>
    <w:rsid w:val="001F1247"/>
    <w:rsid w:val="001F12A2"/>
    <w:rsid w:val="001F1306"/>
    <w:rsid w:val="001F135D"/>
    <w:rsid w:val="001F137E"/>
    <w:rsid w:val="001F13AD"/>
    <w:rsid w:val="001F13C0"/>
    <w:rsid w:val="001F15CE"/>
    <w:rsid w:val="001F167E"/>
    <w:rsid w:val="001F1798"/>
    <w:rsid w:val="001F1810"/>
    <w:rsid w:val="001F18F2"/>
    <w:rsid w:val="001F191D"/>
    <w:rsid w:val="001F1929"/>
    <w:rsid w:val="001F19AE"/>
    <w:rsid w:val="001F1A10"/>
    <w:rsid w:val="001F1BD5"/>
    <w:rsid w:val="001F1D42"/>
    <w:rsid w:val="001F1D9B"/>
    <w:rsid w:val="001F21E3"/>
    <w:rsid w:val="001F22FE"/>
    <w:rsid w:val="001F231A"/>
    <w:rsid w:val="001F2339"/>
    <w:rsid w:val="001F23B8"/>
    <w:rsid w:val="001F2427"/>
    <w:rsid w:val="001F2507"/>
    <w:rsid w:val="001F2575"/>
    <w:rsid w:val="001F2587"/>
    <w:rsid w:val="001F2781"/>
    <w:rsid w:val="001F28AF"/>
    <w:rsid w:val="001F2995"/>
    <w:rsid w:val="001F29DA"/>
    <w:rsid w:val="001F2BA0"/>
    <w:rsid w:val="001F2D2F"/>
    <w:rsid w:val="001F2D56"/>
    <w:rsid w:val="001F2D95"/>
    <w:rsid w:val="001F2E41"/>
    <w:rsid w:val="001F2E9C"/>
    <w:rsid w:val="001F3361"/>
    <w:rsid w:val="001F33A8"/>
    <w:rsid w:val="001F3585"/>
    <w:rsid w:val="001F3BD2"/>
    <w:rsid w:val="001F3CCE"/>
    <w:rsid w:val="001F3E34"/>
    <w:rsid w:val="001F3E40"/>
    <w:rsid w:val="001F3E87"/>
    <w:rsid w:val="001F3EAC"/>
    <w:rsid w:val="001F3FB0"/>
    <w:rsid w:val="001F40F8"/>
    <w:rsid w:val="001F4345"/>
    <w:rsid w:val="001F4458"/>
    <w:rsid w:val="001F452F"/>
    <w:rsid w:val="001F456F"/>
    <w:rsid w:val="001F45D5"/>
    <w:rsid w:val="001F45DA"/>
    <w:rsid w:val="001F4638"/>
    <w:rsid w:val="001F47A3"/>
    <w:rsid w:val="001F47BB"/>
    <w:rsid w:val="001F4884"/>
    <w:rsid w:val="001F497D"/>
    <w:rsid w:val="001F49A6"/>
    <w:rsid w:val="001F49A9"/>
    <w:rsid w:val="001F4AF7"/>
    <w:rsid w:val="001F4E6A"/>
    <w:rsid w:val="001F4E99"/>
    <w:rsid w:val="001F4F74"/>
    <w:rsid w:val="001F520F"/>
    <w:rsid w:val="001F528D"/>
    <w:rsid w:val="001F5307"/>
    <w:rsid w:val="001F540C"/>
    <w:rsid w:val="001F547F"/>
    <w:rsid w:val="001F5492"/>
    <w:rsid w:val="001F55E9"/>
    <w:rsid w:val="001F55F9"/>
    <w:rsid w:val="001F58C0"/>
    <w:rsid w:val="001F58E1"/>
    <w:rsid w:val="001F59A0"/>
    <w:rsid w:val="001F59EA"/>
    <w:rsid w:val="001F5A16"/>
    <w:rsid w:val="001F5AE6"/>
    <w:rsid w:val="001F5B43"/>
    <w:rsid w:val="001F5C06"/>
    <w:rsid w:val="001F5C9C"/>
    <w:rsid w:val="001F5F63"/>
    <w:rsid w:val="001F6092"/>
    <w:rsid w:val="001F61CC"/>
    <w:rsid w:val="001F61FF"/>
    <w:rsid w:val="001F6249"/>
    <w:rsid w:val="001F62BD"/>
    <w:rsid w:val="001F62E5"/>
    <w:rsid w:val="001F636C"/>
    <w:rsid w:val="001F6395"/>
    <w:rsid w:val="001F64A9"/>
    <w:rsid w:val="001F657A"/>
    <w:rsid w:val="001F664F"/>
    <w:rsid w:val="001F67B4"/>
    <w:rsid w:val="001F6A68"/>
    <w:rsid w:val="001F6AE8"/>
    <w:rsid w:val="001F6B6D"/>
    <w:rsid w:val="001F6B73"/>
    <w:rsid w:val="001F6ED8"/>
    <w:rsid w:val="001F6EF4"/>
    <w:rsid w:val="001F7012"/>
    <w:rsid w:val="001F7125"/>
    <w:rsid w:val="001F7149"/>
    <w:rsid w:val="001F71B4"/>
    <w:rsid w:val="001F71B7"/>
    <w:rsid w:val="001F725B"/>
    <w:rsid w:val="001F732E"/>
    <w:rsid w:val="001F7383"/>
    <w:rsid w:val="001F7417"/>
    <w:rsid w:val="001F751B"/>
    <w:rsid w:val="001F753C"/>
    <w:rsid w:val="001F7586"/>
    <w:rsid w:val="001F7609"/>
    <w:rsid w:val="001F7612"/>
    <w:rsid w:val="001F76ED"/>
    <w:rsid w:val="001F779B"/>
    <w:rsid w:val="001F77E8"/>
    <w:rsid w:val="001F78F8"/>
    <w:rsid w:val="001F799D"/>
    <w:rsid w:val="001F7A0D"/>
    <w:rsid w:val="001F7AAA"/>
    <w:rsid w:val="001F7BE0"/>
    <w:rsid w:val="001F7D36"/>
    <w:rsid w:val="001F7FB8"/>
    <w:rsid w:val="001F7FD2"/>
    <w:rsid w:val="00200063"/>
    <w:rsid w:val="0020011E"/>
    <w:rsid w:val="002001B5"/>
    <w:rsid w:val="00200352"/>
    <w:rsid w:val="002003F8"/>
    <w:rsid w:val="00200565"/>
    <w:rsid w:val="002005D2"/>
    <w:rsid w:val="002006AB"/>
    <w:rsid w:val="0020070A"/>
    <w:rsid w:val="0020083C"/>
    <w:rsid w:val="00200A5F"/>
    <w:rsid w:val="00200B41"/>
    <w:rsid w:val="00200BB9"/>
    <w:rsid w:val="00200BE6"/>
    <w:rsid w:val="00200DA0"/>
    <w:rsid w:val="00200ED1"/>
    <w:rsid w:val="00201010"/>
    <w:rsid w:val="0020104E"/>
    <w:rsid w:val="002010FB"/>
    <w:rsid w:val="002012CC"/>
    <w:rsid w:val="00201333"/>
    <w:rsid w:val="002013AD"/>
    <w:rsid w:val="00201431"/>
    <w:rsid w:val="00201488"/>
    <w:rsid w:val="002016C7"/>
    <w:rsid w:val="00201748"/>
    <w:rsid w:val="002017E3"/>
    <w:rsid w:val="0020186B"/>
    <w:rsid w:val="002018DA"/>
    <w:rsid w:val="002019B7"/>
    <w:rsid w:val="00201AF7"/>
    <w:rsid w:val="00201C0C"/>
    <w:rsid w:val="00201CE7"/>
    <w:rsid w:val="00201E8E"/>
    <w:rsid w:val="00201FF4"/>
    <w:rsid w:val="0020200F"/>
    <w:rsid w:val="00202015"/>
    <w:rsid w:val="00202044"/>
    <w:rsid w:val="00202331"/>
    <w:rsid w:val="0020233A"/>
    <w:rsid w:val="00202390"/>
    <w:rsid w:val="002023A1"/>
    <w:rsid w:val="002023B0"/>
    <w:rsid w:val="0020248E"/>
    <w:rsid w:val="00202494"/>
    <w:rsid w:val="002025AC"/>
    <w:rsid w:val="00202602"/>
    <w:rsid w:val="00202608"/>
    <w:rsid w:val="00202654"/>
    <w:rsid w:val="002026EF"/>
    <w:rsid w:val="002026FA"/>
    <w:rsid w:val="00202878"/>
    <w:rsid w:val="002028FE"/>
    <w:rsid w:val="002029D0"/>
    <w:rsid w:val="00202A69"/>
    <w:rsid w:val="00202B45"/>
    <w:rsid w:val="00202B9E"/>
    <w:rsid w:val="00202BCC"/>
    <w:rsid w:val="00202D74"/>
    <w:rsid w:val="00202DD5"/>
    <w:rsid w:val="00202FEE"/>
    <w:rsid w:val="00203045"/>
    <w:rsid w:val="00203066"/>
    <w:rsid w:val="002031E2"/>
    <w:rsid w:val="00203303"/>
    <w:rsid w:val="00203348"/>
    <w:rsid w:val="00203445"/>
    <w:rsid w:val="00203484"/>
    <w:rsid w:val="00203511"/>
    <w:rsid w:val="00203577"/>
    <w:rsid w:val="00203628"/>
    <w:rsid w:val="002036E1"/>
    <w:rsid w:val="0020382A"/>
    <w:rsid w:val="002038CF"/>
    <w:rsid w:val="00203A61"/>
    <w:rsid w:val="00203AA3"/>
    <w:rsid w:val="00203B71"/>
    <w:rsid w:val="00203D04"/>
    <w:rsid w:val="00203DCB"/>
    <w:rsid w:val="00204033"/>
    <w:rsid w:val="002040A8"/>
    <w:rsid w:val="002042AC"/>
    <w:rsid w:val="00204363"/>
    <w:rsid w:val="0020484D"/>
    <w:rsid w:val="002048A4"/>
    <w:rsid w:val="002048D2"/>
    <w:rsid w:val="002048DF"/>
    <w:rsid w:val="0020494A"/>
    <w:rsid w:val="002049B5"/>
    <w:rsid w:val="00204A06"/>
    <w:rsid w:val="00204BEE"/>
    <w:rsid w:val="00204C80"/>
    <w:rsid w:val="00204D1F"/>
    <w:rsid w:val="00204D51"/>
    <w:rsid w:val="00204F28"/>
    <w:rsid w:val="00205080"/>
    <w:rsid w:val="002050E2"/>
    <w:rsid w:val="002050FF"/>
    <w:rsid w:val="00205103"/>
    <w:rsid w:val="002051B5"/>
    <w:rsid w:val="002054B4"/>
    <w:rsid w:val="002054CB"/>
    <w:rsid w:val="00205505"/>
    <w:rsid w:val="002056DD"/>
    <w:rsid w:val="00205740"/>
    <w:rsid w:val="00205745"/>
    <w:rsid w:val="00205824"/>
    <w:rsid w:val="002058DB"/>
    <w:rsid w:val="0020592A"/>
    <w:rsid w:val="00205997"/>
    <w:rsid w:val="00205BB2"/>
    <w:rsid w:val="00205BCF"/>
    <w:rsid w:val="00205D86"/>
    <w:rsid w:val="00205ED2"/>
    <w:rsid w:val="00205F77"/>
    <w:rsid w:val="00206061"/>
    <w:rsid w:val="0020613F"/>
    <w:rsid w:val="0020625E"/>
    <w:rsid w:val="0020643A"/>
    <w:rsid w:val="002064EA"/>
    <w:rsid w:val="002065A6"/>
    <w:rsid w:val="002065CE"/>
    <w:rsid w:val="0020667E"/>
    <w:rsid w:val="002066EE"/>
    <w:rsid w:val="002066F7"/>
    <w:rsid w:val="00206725"/>
    <w:rsid w:val="00206774"/>
    <w:rsid w:val="00206791"/>
    <w:rsid w:val="00206824"/>
    <w:rsid w:val="002068DF"/>
    <w:rsid w:val="002068FA"/>
    <w:rsid w:val="00206AC1"/>
    <w:rsid w:val="00206BD1"/>
    <w:rsid w:val="00206C29"/>
    <w:rsid w:val="00206C3F"/>
    <w:rsid w:val="00206C77"/>
    <w:rsid w:val="00206E11"/>
    <w:rsid w:val="00206E47"/>
    <w:rsid w:val="00206F5A"/>
    <w:rsid w:val="0020700D"/>
    <w:rsid w:val="00207033"/>
    <w:rsid w:val="00207036"/>
    <w:rsid w:val="00207305"/>
    <w:rsid w:val="00207311"/>
    <w:rsid w:val="00207334"/>
    <w:rsid w:val="002073BD"/>
    <w:rsid w:val="002073F6"/>
    <w:rsid w:val="0020754F"/>
    <w:rsid w:val="002075C2"/>
    <w:rsid w:val="002075D6"/>
    <w:rsid w:val="002075DB"/>
    <w:rsid w:val="002078C0"/>
    <w:rsid w:val="002078C5"/>
    <w:rsid w:val="00207A86"/>
    <w:rsid w:val="00207B4C"/>
    <w:rsid w:val="00207C9D"/>
    <w:rsid w:val="00207CCF"/>
    <w:rsid w:val="00207EBB"/>
    <w:rsid w:val="00207EE1"/>
    <w:rsid w:val="00207FA6"/>
    <w:rsid w:val="00207FBA"/>
    <w:rsid w:val="00210184"/>
    <w:rsid w:val="002101A9"/>
    <w:rsid w:val="002101D1"/>
    <w:rsid w:val="002102F0"/>
    <w:rsid w:val="00210319"/>
    <w:rsid w:val="00210366"/>
    <w:rsid w:val="0021037C"/>
    <w:rsid w:val="00210418"/>
    <w:rsid w:val="0021047C"/>
    <w:rsid w:val="0021049B"/>
    <w:rsid w:val="002104C0"/>
    <w:rsid w:val="002105E8"/>
    <w:rsid w:val="0021060E"/>
    <w:rsid w:val="0021065B"/>
    <w:rsid w:val="00210811"/>
    <w:rsid w:val="002108CF"/>
    <w:rsid w:val="00210918"/>
    <w:rsid w:val="00210930"/>
    <w:rsid w:val="00210A49"/>
    <w:rsid w:val="00210BBB"/>
    <w:rsid w:val="00210BD0"/>
    <w:rsid w:val="00210C19"/>
    <w:rsid w:val="00210C4B"/>
    <w:rsid w:val="00210C80"/>
    <w:rsid w:val="00210F48"/>
    <w:rsid w:val="002110A3"/>
    <w:rsid w:val="002110AD"/>
    <w:rsid w:val="00211102"/>
    <w:rsid w:val="00211178"/>
    <w:rsid w:val="002111D1"/>
    <w:rsid w:val="002111D5"/>
    <w:rsid w:val="00211386"/>
    <w:rsid w:val="002113F5"/>
    <w:rsid w:val="002114FA"/>
    <w:rsid w:val="00211724"/>
    <w:rsid w:val="00211796"/>
    <w:rsid w:val="00211A8F"/>
    <w:rsid w:val="00211AF8"/>
    <w:rsid w:val="00211BE5"/>
    <w:rsid w:val="00211E3E"/>
    <w:rsid w:val="00211F94"/>
    <w:rsid w:val="00211FD9"/>
    <w:rsid w:val="0021211B"/>
    <w:rsid w:val="0021245E"/>
    <w:rsid w:val="002125C0"/>
    <w:rsid w:val="002126DC"/>
    <w:rsid w:val="00212994"/>
    <w:rsid w:val="002129E7"/>
    <w:rsid w:val="00212A17"/>
    <w:rsid w:val="00212A57"/>
    <w:rsid w:val="00212B03"/>
    <w:rsid w:val="00212BB7"/>
    <w:rsid w:val="00212C60"/>
    <w:rsid w:val="00212D7E"/>
    <w:rsid w:val="00212E02"/>
    <w:rsid w:val="00212EC2"/>
    <w:rsid w:val="00212F54"/>
    <w:rsid w:val="00212F68"/>
    <w:rsid w:val="00212FB9"/>
    <w:rsid w:val="00212FD6"/>
    <w:rsid w:val="0021305D"/>
    <w:rsid w:val="002130F7"/>
    <w:rsid w:val="0021319C"/>
    <w:rsid w:val="00213209"/>
    <w:rsid w:val="00213346"/>
    <w:rsid w:val="00213376"/>
    <w:rsid w:val="0021338D"/>
    <w:rsid w:val="0021343F"/>
    <w:rsid w:val="00213454"/>
    <w:rsid w:val="0021366B"/>
    <w:rsid w:val="0021376C"/>
    <w:rsid w:val="00213860"/>
    <w:rsid w:val="0021386D"/>
    <w:rsid w:val="00213930"/>
    <w:rsid w:val="00213972"/>
    <w:rsid w:val="002139A7"/>
    <w:rsid w:val="002139CB"/>
    <w:rsid w:val="00213A42"/>
    <w:rsid w:val="00213B77"/>
    <w:rsid w:val="00213C63"/>
    <w:rsid w:val="00213C9A"/>
    <w:rsid w:val="00213CA4"/>
    <w:rsid w:val="00213CDF"/>
    <w:rsid w:val="00213D61"/>
    <w:rsid w:val="00213DFF"/>
    <w:rsid w:val="00213F72"/>
    <w:rsid w:val="00213FF3"/>
    <w:rsid w:val="00214038"/>
    <w:rsid w:val="00214056"/>
    <w:rsid w:val="00214068"/>
    <w:rsid w:val="00214153"/>
    <w:rsid w:val="002142AF"/>
    <w:rsid w:val="0021435A"/>
    <w:rsid w:val="002143BA"/>
    <w:rsid w:val="00214425"/>
    <w:rsid w:val="00214606"/>
    <w:rsid w:val="00214635"/>
    <w:rsid w:val="00214918"/>
    <w:rsid w:val="00214987"/>
    <w:rsid w:val="00214A3B"/>
    <w:rsid w:val="00214ABB"/>
    <w:rsid w:val="00214B65"/>
    <w:rsid w:val="00214B85"/>
    <w:rsid w:val="00214BE2"/>
    <w:rsid w:val="00214C0A"/>
    <w:rsid w:val="00214C59"/>
    <w:rsid w:val="00214E39"/>
    <w:rsid w:val="00214E41"/>
    <w:rsid w:val="00214FA0"/>
    <w:rsid w:val="0021504B"/>
    <w:rsid w:val="00215143"/>
    <w:rsid w:val="00215145"/>
    <w:rsid w:val="002152DB"/>
    <w:rsid w:val="00215414"/>
    <w:rsid w:val="0021552D"/>
    <w:rsid w:val="0021555A"/>
    <w:rsid w:val="0021566F"/>
    <w:rsid w:val="002156F2"/>
    <w:rsid w:val="00215927"/>
    <w:rsid w:val="00215D03"/>
    <w:rsid w:val="00215D56"/>
    <w:rsid w:val="00216003"/>
    <w:rsid w:val="00216366"/>
    <w:rsid w:val="002163E5"/>
    <w:rsid w:val="00216454"/>
    <w:rsid w:val="00216486"/>
    <w:rsid w:val="00216736"/>
    <w:rsid w:val="002168B8"/>
    <w:rsid w:val="00216924"/>
    <w:rsid w:val="00216954"/>
    <w:rsid w:val="002169E5"/>
    <w:rsid w:val="00216A6F"/>
    <w:rsid w:val="00216B21"/>
    <w:rsid w:val="00216B52"/>
    <w:rsid w:val="00216BC9"/>
    <w:rsid w:val="00216E14"/>
    <w:rsid w:val="00216E1C"/>
    <w:rsid w:val="00216E85"/>
    <w:rsid w:val="00216FB3"/>
    <w:rsid w:val="00217167"/>
    <w:rsid w:val="002171E2"/>
    <w:rsid w:val="002174C3"/>
    <w:rsid w:val="0021752D"/>
    <w:rsid w:val="00217691"/>
    <w:rsid w:val="002176CE"/>
    <w:rsid w:val="00217743"/>
    <w:rsid w:val="0021774E"/>
    <w:rsid w:val="002177F6"/>
    <w:rsid w:val="00217A01"/>
    <w:rsid w:val="00217B04"/>
    <w:rsid w:val="00217BF6"/>
    <w:rsid w:val="00217BF7"/>
    <w:rsid w:val="00217DFD"/>
    <w:rsid w:val="00217E50"/>
    <w:rsid w:val="00217EC5"/>
    <w:rsid w:val="00217F17"/>
    <w:rsid w:val="00220012"/>
    <w:rsid w:val="0022003E"/>
    <w:rsid w:val="0022008A"/>
    <w:rsid w:val="002200D8"/>
    <w:rsid w:val="002201C0"/>
    <w:rsid w:val="002203CC"/>
    <w:rsid w:val="0022040C"/>
    <w:rsid w:val="0022044C"/>
    <w:rsid w:val="00220482"/>
    <w:rsid w:val="00220494"/>
    <w:rsid w:val="00220527"/>
    <w:rsid w:val="0022068F"/>
    <w:rsid w:val="00220774"/>
    <w:rsid w:val="002207B2"/>
    <w:rsid w:val="002207F8"/>
    <w:rsid w:val="0022090F"/>
    <w:rsid w:val="00220934"/>
    <w:rsid w:val="00220A10"/>
    <w:rsid w:val="00220ACC"/>
    <w:rsid w:val="00220B0B"/>
    <w:rsid w:val="00220B2E"/>
    <w:rsid w:val="00220B87"/>
    <w:rsid w:val="00220C0D"/>
    <w:rsid w:val="00220C5C"/>
    <w:rsid w:val="00220C7B"/>
    <w:rsid w:val="00220C83"/>
    <w:rsid w:val="00220D16"/>
    <w:rsid w:val="00220E9F"/>
    <w:rsid w:val="00220F71"/>
    <w:rsid w:val="00220F84"/>
    <w:rsid w:val="00220FF0"/>
    <w:rsid w:val="00221008"/>
    <w:rsid w:val="00221089"/>
    <w:rsid w:val="0022108A"/>
    <w:rsid w:val="00221200"/>
    <w:rsid w:val="00221247"/>
    <w:rsid w:val="002212B4"/>
    <w:rsid w:val="002212F9"/>
    <w:rsid w:val="00221378"/>
    <w:rsid w:val="0022141B"/>
    <w:rsid w:val="002214F9"/>
    <w:rsid w:val="00221503"/>
    <w:rsid w:val="00221737"/>
    <w:rsid w:val="002217B6"/>
    <w:rsid w:val="0022186C"/>
    <w:rsid w:val="0022187C"/>
    <w:rsid w:val="00221AA2"/>
    <w:rsid w:val="00221AAC"/>
    <w:rsid w:val="00221B4B"/>
    <w:rsid w:val="00221BCD"/>
    <w:rsid w:val="00221BE3"/>
    <w:rsid w:val="00221CFE"/>
    <w:rsid w:val="00221E9E"/>
    <w:rsid w:val="00221ED8"/>
    <w:rsid w:val="00221F38"/>
    <w:rsid w:val="00221FB4"/>
    <w:rsid w:val="00222399"/>
    <w:rsid w:val="0022246C"/>
    <w:rsid w:val="0022253C"/>
    <w:rsid w:val="002225ED"/>
    <w:rsid w:val="002228A7"/>
    <w:rsid w:val="002229A1"/>
    <w:rsid w:val="002229D4"/>
    <w:rsid w:val="00222A22"/>
    <w:rsid w:val="00222CD3"/>
    <w:rsid w:val="00222D44"/>
    <w:rsid w:val="00222E4C"/>
    <w:rsid w:val="00223018"/>
    <w:rsid w:val="00223028"/>
    <w:rsid w:val="00223064"/>
    <w:rsid w:val="0022310E"/>
    <w:rsid w:val="00223172"/>
    <w:rsid w:val="0022335E"/>
    <w:rsid w:val="002233C6"/>
    <w:rsid w:val="00223452"/>
    <w:rsid w:val="002234B8"/>
    <w:rsid w:val="0022353C"/>
    <w:rsid w:val="002236A4"/>
    <w:rsid w:val="00223726"/>
    <w:rsid w:val="0022381A"/>
    <w:rsid w:val="00223852"/>
    <w:rsid w:val="00223891"/>
    <w:rsid w:val="00223924"/>
    <w:rsid w:val="00223C5F"/>
    <w:rsid w:val="00223CFD"/>
    <w:rsid w:val="00223ECA"/>
    <w:rsid w:val="00223F9E"/>
    <w:rsid w:val="002240E8"/>
    <w:rsid w:val="002245AE"/>
    <w:rsid w:val="002245E4"/>
    <w:rsid w:val="002246C8"/>
    <w:rsid w:val="0022477F"/>
    <w:rsid w:val="0022479F"/>
    <w:rsid w:val="002247DF"/>
    <w:rsid w:val="00224849"/>
    <w:rsid w:val="00224856"/>
    <w:rsid w:val="00224A21"/>
    <w:rsid w:val="00224AC5"/>
    <w:rsid w:val="00224B51"/>
    <w:rsid w:val="00224D0B"/>
    <w:rsid w:val="00224E25"/>
    <w:rsid w:val="00224E62"/>
    <w:rsid w:val="00224F0A"/>
    <w:rsid w:val="00224F2B"/>
    <w:rsid w:val="00224F32"/>
    <w:rsid w:val="00224F54"/>
    <w:rsid w:val="00224F69"/>
    <w:rsid w:val="00224FA4"/>
    <w:rsid w:val="00225035"/>
    <w:rsid w:val="00225161"/>
    <w:rsid w:val="00225241"/>
    <w:rsid w:val="0022524B"/>
    <w:rsid w:val="00225315"/>
    <w:rsid w:val="0022542A"/>
    <w:rsid w:val="0022582F"/>
    <w:rsid w:val="00225840"/>
    <w:rsid w:val="002258A4"/>
    <w:rsid w:val="002258B9"/>
    <w:rsid w:val="002258DF"/>
    <w:rsid w:val="00225BC0"/>
    <w:rsid w:val="00225C22"/>
    <w:rsid w:val="00225E3B"/>
    <w:rsid w:val="00225EBF"/>
    <w:rsid w:val="002261DB"/>
    <w:rsid w:val="00226362"/>
    <w:rsid w:val="002264E2"/>
    <w:rsid w:val="0022662E"/>
    <w:rsid w:val="0022666E"/>
    <w:rsid w:val="002266AA"/>
    <w:rsid w:val="002266DA"/>
    <w:rsid w:val="0022673F"/>
    <w:rsid w:val="0022677E"/>
    <w:rsid w:val="002267AA"/>
    <w:rsid w:val="0022685E"/>
    <w:rsid w:val="00226E09"/>
    <w:rsid w:val="00226E2E"/>
    <w:rsid w:val="0022724D"/>
    <w:rsid w:val="00227296"/>
    <w:rsid w:val="002272E8"/>
    <w:rsid w:val="002272F8"/>
    <w:rsid w:val="0022751E"/>
    <w:rsid w:val="002275D0"/>
    <w:rsid w:val="00227682"/>
    <w:rsid w:val="002276E3"/>
    <w:rsid w:val="00227722"/>
    <w:rsid w:val="00227783"/>
    <w:rsid w:val="002277CF"/>
    <w:rsid w:val="002278CD"/>
    <w:rsid w:val="002278E9"/>
    <w:rsid w:val="002278F2"/>
    <w:rsid w:val="002279C4"/>
    <w:rsid w:val="00227A46"/>
    <w:rsid w:val="00227AB7"/>
    <w:rsid w:val="00227ADF"/>
    <w:rsid w:val="00227CBB"/>
    <w:rsid w:val="00227CDC"/>
    <w:rsid w:val="00227CDD"/>
    <w:rsid w:val="00227D01"/>
    <w:rsid w:val="00227D2C"/>
    <w:rsid w:val="00227E2A"/>
    <w:rsid w:val="00227EF2"/>
    <w:rsid w:val="00227F11"/>
    <w:rsid w:val="00227FFB"/>
    <w:rsid w:val="002300B3"/>
    <w:rsid w:val="00230124"/>
    <w:rsid w:val="00230168"/>
    <w:rsid w:val="00230282"/>
    <w:rsid w:val="002306BD"/>
    <w:rsid w:val="0023076B"/>
    <w:rsid w:val="002308B1"/>
    <w:rsid w:val="00230910"/>
    <w:rsid w:val="002309EE"/>
    <w:rsid w:val="00230ACB"/>
    <w:rsid w:val="00230C13"/>
    <w:rsid w:val="00230D3A"/>
    <w:rsid w:val="00230DDD"/>
    <w:rsid w:val="00230EF7"/>
    <w:rsid w:val="00230FCC"/>
    <w:rsid w:val="00231074"/>
    <w:rsid w:val="0023108B"/>
    <w:rsid w:val="002312C5"/>
    <w:rsid w:val="0023140E"/>
    <w:rsid w:val="002314D3"/>
    <w:rsid w:val="0023168E"/>
    <w:rsid w:val="00231811"/>
    <w:rsid w:val="00231A3B"/>
    <w:rsid w:val="00231A92"/>
    <w:rsid w:val="00231A95"/>
    <w:rsid w:val="00231BD3"/>
    <w:rsid w:val="00231C0A"/>
    <w:rsid w:val="00231CA0"/>
    <w:rsid w:val="00231CE3"/>
    <w:rsid w:val="00231D66"/>
    <w:rsid w:val="00231F78"/>
    <w:rsid w:val="00231FF0"/>
    <w:rsid w:val="002323DB"/>
    <w:rsid w:val="00232436"/>
    <w:rsid w:val="002324EE"/>
    <w:rsid w:val="00232556"/>
    <w:rsid w:val="00232746"/>
    <w:rsid w:val="00232765"/>
    <w:rsid w:val="002327D3"/>
    <w:rsid w:val="00232885"/>
    <w:rsid w:val="002328C0"/>
    <w:rsid w:val="00232924"/>
    <w:rsid w:val="0023292C"/>
    <w:rsid w:val="00232972"/>
    <w:rsid w:val="00232A5D"/>
    <w:rsid w:val="00232AC2"/>
    <w:rsid w:val="00232E50"/>
    <w:rsid w:val="002330AB"/>
    <w:rsid w:val="002331DF"/>
    <w:rsid w:val="00233243"/>
    <w:rsid w:val="002332B0"/>
    <w:rsid w:val="00233360"/>
    <w:rsid w:val="002333DC"/>
    <w:rsid w:val="00233662"/>
    <w:rsid w:val="00233684"/>
    <w:rsid w:val="00233938"/>
    <w:rsid w:val="002339E9"/>
    <w:rsid w:val="00233B53"/>
    <w:rsid w:val="00233B6D"/>
    <w:rsid w:val="00233B95"/>
    <w:rsid w:val="00233BEA"/>
    <w:rsid w:val="00233C1F"/>
    <w:rsid w:val="00233CCE"/>
    <w:rsid w:val="00233D2A"/>
    <w:rsid w:val="00233D3D"/>
    <w:rsid w:val="00233EB3"/>
    <w:rsid w:val="00233F07"/>
    <w:rsid w:val="002340E0"/>
    <w:rsid w:val="00234110"/>
    <w:rsid w:val="002344D0"/>
    <w:rsid w:val="002344D8"/>
    <w:rsid w:val="0023456C"/>
    <w:rsid w:val="00234735"/>
    <w:rsid w:val="002348FE"/>
    <w:rsid w:val="00234922"/>
    <w:rsid w:val="00234924"/>
    <w:rsid w:val="002349DF"/>
    <w:rsid w:val="00234AFB"/>
    <w:rsid w:val="00234CAD"/>
    <w:rsid w:val="00234D46"/>
    <w:rsid w:val="00234DAD"/>
    <w:rsid w:val="00234F48"/>
    <w:rsid w:val="0023504A"/>
    <w:rsid w:val="00235116"/>
    <w:rsid w:val="002351EB"/>
    <w:rsid w:val="0023565B"/>
    <w:rsid w:val="0023571A"/>
    <w:rsid w:val="002357C7"/>
    <w:rsid w:val="0023596A"/>
    <w:rsid w:val="002359F9"/>
    <w:rsid w:val="00235A5E"/>
    <w:rsid w:val="00235B81"/>
    <w:rsid w:val="00235B91"/>
    <w:rsid w:val="00235C26"/>
    <w:rsid w:val="00235D93"/>
    <w:rsid w:val="00235EB9"/>
    <w:rsid w:val="00236068"/>
    <w:rsid w:val="002363FD"/>
    <w:rsid w:val="00236458"/>
    <w:rsid w:val="002364BC"/>
    <w:rsid w:val="00236672"/>
    <w:rsid w:val="00236723"/>
    <w:rsid w:val="002367FB"/>
    <w:rsid w:val="0023688A"/>
    <w:rsid w:val="00236910"/>
    <w:rsid w:val="00236A77"/>
    <w:rsid w:val="00236B41"/>
    <w:rsid w:val="00236BDB"/>
    <w:rsid w:val="00236C25"/>
    <w:rsid w:val="00236CF8"/>
    <w:rsid w:val="00236E2E"/>
    <w:rsid w:val="00236E67"/>
    <w:rsid w:val="00236FD3"/>
    <w:rsid w:val="002370DB"/>
    <w:rsid w:val="002370E1"/>
    <w:rsid w:val="002370F2"/>
    <w:rsid w:val="00237300"/>
    <w:rsid w:val="0023734D"/>
    <w:rsid w:val="002374D9"/>
    <w:rsid w:val="002375CF"/>
    <w:rsid w:val="0023768D"/>
    <w:rsid w:val="002376D0"/>
    <w:rsid w:val="002377F3"/>
    <w:rsid w:val="00237A9D"/>
    <w:rsid w:val="00237B42"/>
    <w:rsid w:val="00237BEE"/>
    <w:rsid w:val="00237C15"/>
    <w:rsid w:val="00237CE2"/>
    <w:rsid w:val="00237D1A"/>
    <w:rsid w:val="00237DDF"/>
    <w:rsid w:val="00240009"/>
    <w:rsid w:val="0024029B"/>
    <w:rsid w:val="00240361"/>
    <w:rsid w:val="0024036B"/>
    <w:rsid w:val="0024036F"/>
    <w:rsid w:val="002403F9"/>
    <w:rsid w:val="00240444"/>
    <w:rsid w:val="00240514"/>
    <w:rsid w:val="00240545"/>
    <w:rsid w:val="00240704"/>
    <w:rsid w:val="002407D5"/>
    <w:rsid w:val="00240BA0"/>
    <w:rsid w:val="00240BA6"/>
    <w:rsid w:val="00240BC4"/>
    <w:rsid w:val="00240C07"/>
    <w:rsid w:val="00240C93"/>
    <w:rsid w:val="00240CD4"/>
    <w:rsid w:val="00240F50"/>
    <w:rsid w:val="00241075"/>
    <w:rsid w:val="00241080"/>
    <w:rsid w:val="00241086"/>
    <w:rsid w:val="002411F7"/>
    <w:rsid w:val="00241217"/>
    <w:rsid w:val="002412DA"/>
    <w:rsid w:val="00241336"/>
    <w:rsid w:val="0024135D"/>
    <w:rsid w:val="00241361"/>
    <w:rsid w:val="002414D7"/>
    <w:rsid w:val="00241501"/>
    <w:rsid w:val="002415A9"/>
    <w:rsid w:val="0024195E"/>
    <w:rsid w:val="002419BD"/>
    <w:rsid w:val="002419E3"/>
    <w:rsid w:val="00241A2B"/>
    <w:rsid w:val="00241A55"/>
    <w:rsid w:val="00241BB1"/>
    <w:rsid w:val="00241BD4"/>
    <w:rsid w:val="00241BFA"/>
    <w:rsid w:val="00241CCD"/>
    <w:rsid w:val="00241F9C"/>
    <w:rsid w:val="00241FE0"/>
    <w:rsid w:val="00242141"/>
    <w:rsid w:val="002421AE"/>
    <w:rsid w:val="00242224"/>
    <w:rsid w:val="00242265"/>
    <w:rsid w:val="0024230A"/>
    <w:rsid w:val="0024230E"/>
    <w:rsid w:val="002423B1"/>
    <w:rsid w:val="002423B7"/>
    <w:rsid w:val="002423E4"/>
    <w:rsid w:val="0024250B"/>
    <w:rsid w:val="00242524"/>
    <w:rsid w:val="00242676"/>
    <w:rsid w:val="00242950"/>
    <w:rsid w:val="002429A2"/>
    <w:rsid w:val="002429A7"/>
    <w:rsid w:val="002429B6"/>
    <w:rsid w:val="00242AD7"/>
    <w:rsid w:val="00242BB3"/>
    <w:rsid w:val="00242C4B"/>
    <w:rsid w:val="00242CB7"/>
    <w:rsid w:val="00242D09"/>
    <w:rsid w:val="00242D81"/>
    <w:rsid w:val="00242DAD"/>
    <w:rsid w:val="00242EE1"/>
    <w:rsid w:val="00242EE3"/>
    <w:rsid w:val="00242F3A"/>
    <w:rsid w:val="0024315C"/>
    <w:rsid w:val="002432DE"/>
    <w:rsid w:val="0024333E"/>
    <w:rsid w:val="00243370"/>
    <w:rsid w:val="002433D5"/>
    <w:rsid w:val="0024343C"/>
    <w:rsid w:val="00243494"/>
    <w:rsid w:val="002435D4"/>
    <w:rsid w:val="00243713"/>
    <w:rsid w:val="0024381C"/>
    <w:rsid w:val="00243852"/>
    <w:rsid w:val="00243855"/>
    <w:rsid w:val="00243883"/>
    <w:rsid w:val="00243913"/>
    <w:rsid w:val="0024398D"/>
    <w:rsid w:val="00243A2E"/>
    <w:rsid w:val="00243A4B"/>
    <w:rsid w:val="00243AE5"/>
    <w:rsid w:val="00243C53"/>
    <w:rsid w:val="00243CE0"/>
    <w:rsid w:val="00243DAD"/>
    <w:rsid w:val="00243DDC"/>
    <w:rsid w:val="00243DF8"/>
    <w:rsid w:val="00243F7A"/>
    <w:rsid w:val="0024406F"/>
    <w:rsid w:val="0024432C"/>
    <w:rsid w:val="002443DB"/>
    <w:rsid w:val="00244503"/>
    <w:rsid w:val="00244568"/>
    <w:rsid w:val="002446A8"/>
    <w:rsid w:val="0024476C"/>
    <w:rsid w:val="002448AA"/>
    <w:rsid w:val="00244B9F"/>
    <w:rsid w:val="00244C7F"/>
    <w:rsid w:val="00244F4F"/>
    <w:rsid w:val="00244FEB"/>
    <w:rsid w:val="00244FF8"/>
    <w:rsid w:val="0024509E"/>
    <w:rsid w:val="002450D6"/>
    <w:rsid w:val="002450EC"/>
    <w:rsid w:val="00245392"/>
    <w:rsid w:val="00245494"/>
    <w:rsid w:val="0024559A"/>
    <w:rsid w:val="002455EC"/>
    <w:rsid w:val="0024561B"/>
    <w:rsid w:val="002456D6"/>
    <w:rsid w:val="00245711"/>
    <w:rsid w:val="00245742"/>
    <w:rsid w:val="002459F4"/>
    <w:rsid w:val="00245BBC"/>
    <w:rsid w:val="00245BC7"/>
    <w:rsid w:val="00245BFB"/>
    <w:rsid w:val="00245C4C"/>
    <w:rsid w:val="00245DA7"/>
    <w:rsid w:val="00245E25"/>
    <w:rsid w:val="00245E9B"/>
    <w:rsid w:val="00245F61"/>
    <w:rsid w:val="00245FA6"/>
    <w:rsid w:val="00246201"/>
    <w:rsid w:val="002463E1"/>
    <w:rsid w:val="00246557"/>
    <w:rsid w:val="00246614"/>
    <w:rsid w:val="002466E3"/>
    <w:rsid w:val="002468B3"/>
    <w:rsid w:val="002468C2"/>
    <w:rsid w:val="002469B3"/>
    <w:rsid w:val="00246A1C"/>
    <w:rsid w:val="00246C5A"/>
    <w:rsid w:val="00246CAF"/>
    <w:rsid w:val="00246DE2"/>
    <w:rsid w:val="00246FBA"/>
    <w:rsid w:val="0024705E"/>
    <w:rsid w:val="00247156"/>
    <w:rsid w:val="0024717A"/>
    <w:rsid w:val="00247355"/>
    <w:rsid w:val="00247359"/>
    <w:rsid w:val="0024743F"/>
    <w:rsid w:val="00247471"/>
    <w:rsid w:val="00247515"/>
    <w:rsid w:val="00247705"/>
    <w:rsid w:val="002477A0"/>
    <w:rsid w:val="0024780F"/>
    <w:rsid w:val="0024786F"/>
    <w:rsid w:val="002479AC"/>
    <w:rsid w:val="00247B2B"/>
    <w:rsid w:val="00247B3A"/>
    <w:rsid w:val="00247B6E"/>
    <w:rsid w:val="00247CA2"/>
    <w:rsid w:val="00247CAB"/>
    <w:rsid w:val="00247CC8"/>
    <w:rsid w:val="00247D91"/>
    <w:rsid w:val="00247E63"/>
    <w:rsid w:val="00247E7D"/>
    <w:rsid w:val="00247F9F"/>
    <w:rsid w:val="00250042"/>
    <w:rsid w:val="00250073"/>
    <w:rsid w:val="002500A1"/>
    <w:rsid w:val="00250182"/>
    <w:rsid w:val="00250202"/>
    <w:rsid w:val="0025020A"/>
    <w:rsid w:val="002502BB"/>
    <w:rsid w:val="0025048E"/>
    <w:rsid w:val="002505C1"/>
    <w:rsid w:val="002506A4"/>
    <w:rsid w:val="002507BD"/>
    <w:rsid w:val="002507BF"/>
    <w:rsid w:val="002508EE"/>
    <w:rsid w:val="00250A0A"/>
    <w:rsid w:val="00250A30"/>
    <w:rsid w:val="00250A73"/>
    <w:rsid w:val="00250B9C"/>
    <w:rsid w:val="00250BCD"/>
    <w:rsid w:val="00250D3F"/>
    <w:rsid w:val="00250E0B"/>
    <w:rsid w:val="00250E1F"/>
    <w:rsid w:val="00250EDA"/>
    <w:rsid w:val="00250FAF"/>
    <w:rsid w:val="00250FF8"/>
    <w:rsid w:val="00251004"/>
    <w:rsid w:val="0025111B"/>
    <w:rsid w:val="00251148"/>
    <w:rsid w:val="0025118A"/>
    <w:rsid w:val="002511BE"/>
    <w:rsid w:val="0025128E"/>
    <w:rsid w:val="00251359"/>
    <w:rsid w:val="00251527"/>
    <w:rsid w:val="0025154D"/>
    <w:rsid w:val="00251559"/>
    <w:rsid w:val="00251568"/>
    <w:rsid w:val="00251574"/>
    <w:rsid w:val="0025158D"/>
    <w:rsid w:val="0025159B"/>
    <w:rsid w:val="0025171F"/>
    <w:rsid w:val="0025173A"/>
    <w:rsid w:val="00251855"/>
    <w:rsid w:val="002519C7"/>
    <w:rsid w:val="002519FB"/>
    <w:rsid w:val="00251A62"/>
    <w:rsid w:val="00251F5F"/>
    <w:rsid w:val="00252203"/>
    <w:rsid w:val="00252269"/>
    <w:rsid w:val="00252288"/>
    <w:rsid w:val="002523A6"/>
    <w:rsid w:val="00252504"/>
    <w:rsid w:val="002525EC"/>
    <w:rsid w:val="0025264F"/>
    <w:rsid w:val="0025284B"/>
    <w:rsid w:val="00252858"/>
    <w:rsid w:val="002528D3"/>
    <w:rsid w:val="00252912"/>
    <w:rsid w:val="00252B24"/>
    <w:rsid w:val="00252B5B"/>
    <w:rsid w:val="00252BE6"/>
    <w:rsid w:val="00252D2A"/>
    <w:rsid w:val="00252DAE"/>
    <w:rsid w:val="00252DE7"/>
    <w:rsid w:val="00252F1A"/>
    <w:rsid w:val="00253055"/>
    <w:rsid w:val="002532C5"/>
    <w:rsid w:val="002532DB"/>
    <w:rsid w:val="002534DA"/>
    <w:rsid w:val="00253525"/>
    <w:rsid w:val="002535E6"/>
    <w:rsid w:val="002535FC"/>
    <w:rsid w:val="00253607"/>
    <w:rsid w:val="00253618"/>
    <w:rsid w:val="002537BB"/>
    <w:rsid w:val="002537F9"/>
    <w:rsid w:val="0025392E"/>
    <w:rsid w:val="002539D0"/>
    <w:rsid w:val="00253A11"/>
    <w:rsid w:val="00253A7D"/>
    <w:rsid w:val="00253A8A"/>
    <w:rsid w:val="00253ABF"/>
    <w:rsid w:val="00253BA3"/>
    <w:rsid w:val="00253C59"/>
    <w:rsid w:val="00253CBC"/>
    <w:rsid w:val="00253D51"/>
    <w:rsid w:val="00253E6D"/>
    <w:rsid w:val="00253F0D"/>
    <w:rsid w:val="00253F4C"/>
    <w:rsid w:val="002540AD"/>
    <w:rsid w:val="002540E7"/>
    <w:rsid w:val="00254124"/>
    <w:rsid w:val="002541E0"/>
    <w:rsid w:val="0025423D"/>
    <w:rsid w:val="00254247"/>
    <w:rsid w:val="00254298"/>
    <w:rsid w:val="002542D1"/>
    <w:rsid w:val="002542EB"/>
    <w:rsid w:val="00254395"/>
    <w:rsid w:val="002543B6"/>
    <w:rsid w:val="002543C2"/>
    <w:rsid w:val="00254468"/>
    <w:rsid w:val="00254747"/>
    <w:rsid w:val="00254799"/>
    <w:rsid w:val="002547A6"/>
    <w:rsid w:val="002547AD"/>
    <w:rsid w:val="00254827"/>
    <w:rsid w:val="002548E5"/>
    <w:rsid w:val="002549D6"/>
    <w:rsid w:val="002549F4"/>
    <w:rsid w:val="00254AA4"/>
    <w:rsid w:val="00254CA4"/>
    <w:rsid w:val="00254D54"/>
    <w:rsid w:val="00254EA8"/>
    <w:rsid w:val="00254F06"/>
    <w:rsid w:val="00255031"/>
    <w:rsid w:val="002550C4"/>
    <w:rsid w:val="0025522C"/>
    <w:rsid w:val="002552A0"/>
    <w:rsid w:val="00255379"/>
    <w:rsid w:val="002554E4"/>
    <w:rsid w:val="002554EB"/>
    <w:rsid w:val="0025559C"/>
    <w:rsid w:val="002555B7"/>
    <w:rsid w:val="00255744"/>
    <w:rsid w:val="00255872"/>
    <w:rsid w:val="0025589E"/>
    <w:rsid w:val="002558A2"/>
    <w:rsid w:val="00255A6A"/>
    <w:rsid w:val="00255AA0"/>
    <w:rsid w:val="00255B78"/>
    <w:rsid w:val="00255BF1"/>
    <w:rsid w:val="00255F96"/>
    <w:rsid w:val="00256258"/>
    <w:rsid w:val="002562DF"/>
    <w:rsid w:val="002562F4"/>
    <w:rsid w:val="00256314"/>
    <w:rsid w:val="0025635A"/>
    <w:rsid w:val="002566FE"/>
    <w:rsid w:val="002568D2"/>
    <w:rsid w:val="00256ABE"/>
    <w:rsid w:val="00256BE7"/>
    <w:rsid w:val="00256C0D"/>
    <w:rsid w:val="00256CE8"/>
    <w:rsid w:val="00256FCF"/>
    <w:rsid w:val="00257279"/>
    <w:rsid w:val="0025739F"/>
    <w:rsid w:val="0025745B"/>
    <w:rsid w:val="002574B8"/>
    <w:rsid w:val="002576C9"/>
    <w:rsid w:val="0025786D"/>
    <w:rsid w:val="00257895"/>
    <w:rsid w:val="002578A8"/>
    <w:rsid w:val="0025793B"/>
    <w:rsid w:val="002579E3"/>
    <w:rsid w:val="00257B26"/>
    <w:rsid w:val="00257B5C"/>
    <w:rsid w:val="00257BC0"/>
    <w:rsid w:val="00257C46"/>
    <w:rsid w:val="00257D63"/>
    <w:rsid w:val="00257FA9"/>
    <w:rsid w:val="00257FD8"/>
    <w:rsid w:val="00257FFC"/>
    <w:rsid w:val="0026003F"/>
    <w:rsid w:val="00260088"/>
    <w:rsid w:val="002600BE"/>
    <w:rsid w:val="002600F2"/>
    <w:rsid w:val="00260159"/>
    <w:rsid w:val="002603DE"/>
    <w:rsid w:val="0026047E"/>
    <w:rsid w:val="00260586"/>
    <w:rsid w:val="00260630"/>
    <w:rsid w:val="00260697"/>
    <w:rsid w:val="0026086B"/>
    <w:rsid w:val="00260B0E"/>
    <w:rsid w:val="00260C3D"/>
    <w:rsid w:val="00260DB4"/>
    <w:rsid w:val="00260DFF"/>
    <w:rsid w:val="00260F20"/>
    <w:rsid w:val="0026103F"/>
    <w:rsid w:val="00261040"/>
    <w:rsid w:val="002610E2"/>
    <w:rsid w:val="0026114A"/>
    <w:rsid w:val="0026121E"/>
    <w:rsid w:val="00261443"/>
    <w:rsid w:val="00261613"/>
    <w:rsid w:val="0026166B"/>
    <w:rsid w:val="00261833"/>
    <w:rsid w:val="002618E9"/>
    <w:rsid w:val="0026193C"/>
    <w:rsid w:val="0026199B"/>
    <w:rsid w:val="00261DDE"/>
    <w:rsid w:val="00261E60"/>
    <w:rsid w:val="00261F00"/>
    <w:rsid w:val="00262216"/>
    <w:rsid w:val="002622A5"/>
    <w:rsid w:val="00262300"/>
    <w:rsid w:val="00262314"/>
    <w:rsid w:val="00262585"/>
    <w:rsid w:val="00262720"/>
    <w:rsid w:val="00262837"/>
    <w:rsid w:val="0026298E"/>
    <w:rsid w:val="00262A2A"/>
    <w:rsid w:val="00262C1F"/>
    <w:rsid w:val="00262C8D"/>
    <w:rsid w:val="00262CF6"/>
    <w:rsid w:val="00262D47"/>
    <w:rsid w:val="00262F07"/>
    <w:rsid w:val="00263006"/>
    <w:rsid w:val="002632B3"/>
    <w:rsid w:val="002633A6"/>
    <w:rsid w:val="0026344B"/>
    <w:rsid w:val="002634F6"/>
    <w:rsid w:val="002636EE"/>
    <w:rsid w:val="002637C6"/>
    <w:rsid w:val="00263814"/>
    <w:rsid w:val="0026382E"/>
    <w:rsid w:val="002639B4"/>
    <w:rsid w:val="00263A0A"/>
    <w:rsid w:val="00263A68"/>
    <w:rsid w:val="00263C34"/>
    <w:rsid w:val="00263C57"/>
    <w:rsid w:val="00263D89"/>
    <w:rsid w:val="00263EF4"/>
    <w:rsid w:val="00263FDC"/>
    <w:rsid w:val="002640AD"/>
    <w:rsid w:val="002640D3"/>
    <w:rsid w:val="002641BB"/>
    <w:rsid w:val="00264242"/>
    <w:rsid w:val="002645CA"/>
    <w:rsid w:val="00264676"/>
    <w:rsid w:val="002646CE"/>
    <w:rsid w:val="00264760"/>
    <w:rsid w:val="002647A0"/>
    <w:rsid w:val="002649A9"/>
    <w:rsid w:val="002649C3"/>
    <w:rsid w:val="00264C01"/>
    <w:rsid w:val="00264C71"/>
    <w:rsid w:val="00264CDD"/>
    <w:rsid w:val="00264D3C"/>
    <w:rsid w:val="00264E1A"/>
    <w:rsid w:val="00264F22"/>
    <w:rsid w:val="00265039"/>
    <w:rsid w:val="002651C0"/>
    <w:rsid w:val="002651E7"/>
    <w:rsid w:val="00265230"/>
    <w:rsid w:val="002653EE"/>
    <w:rsid w:val="0026561F"/>
    <w:rsid w:val="00265648"/>
    <w:rsid w:val="0026578B"/>
    <w:rsid w:val="002657B9"/>
    <w:rsid w:val="00265813"/>
    <w:rsid w:val="00265839"/>
    <w:rsid w:val="00265953"/>
    <w:rsid w:val="00265A94"/>
    <w:rsid w:val="00265A9C"/>
    <w:rsid w:val="00265C6B"/>
    <w:rsid w:val="00265CC3"/>
    <w:rsid w:val="00265E84"/>
    <w:rsid w:val="00265F30"/>
    <w:rsid w:val="00266091"/>
    <w:rsid w:val="00266178"/>
    <w:rsid w:val="00266207"/>
    <w:rsid w:val="0026634A"/>
    <w:rsid w:val="002663FC"/>
    <w:rsid w:val="00266463"/>
    <w:rsid w:val="002664E5"/>
    <w:rsid w:val="00266587"/>
    <w:rsid w:val="00266589"/>
    <w:rsid w:val="0026659A"/>
    <w:rsid w:val="0026681D"/>
    <w:rsid w:val="0026683D"/>
    <w:rsid w:val="00266ABB"/>
    <w:rsid w:val="00266BA8"/>
    <w:rsid w:val="00266BDD"/>
    <w:rsid w:val="00266BFD"/>
    <w:rsid w:val="00266C85"/>
    <w:rsid w:val="00266DC2"/>
    <w:rsid w:val="00266DF8"/>
    <w:rsid w:val="00266E09"/>
    <w:rsid w:val="00266E4A"/>
    <w:rsid w:val="00266E9F"/>
    <w:rsid w:val="00266F59"/>
    <w:rsid w:val="00267064"/>
    <w:rsid w:val="00267076"/>
    <w:rsid w:val="0026713F"/>
    <w:rsid w:val="00267299"/>
    <w:rsid w:val="002672EB"/>
    <w:rsid w:val="002673EC"/>
    <w:rsid w:val="0026747B"/>
    <w:rsid w:val="0026769C"/>
    <w:rsid w:val="002677D1"/>
    <w:rsid w:val="00267924"/>
    <w:rsid w:val="002679A5"/>
    <w:rsid w:val="00267A03"/>
    <w:rsid w:val="00267B7E"/>
    <w:rsid w:val="00267B8D"/>
    <w:rsid w:val="00267D5B"/>
    <w:rsid w:val="00267EBA"/>
    <w:rsid w:val="00267EE0"/>
    <w:rsid w:val="00267FEA"/>
    <w:rsid w:val="0027021D"/>
    <w:rsid w:val="0027023D"/>
    <w:rsid w:val="002704A1"/>
    <w:rsid w:val="0027065F"/>
    <w:rsid w:val="002706D4"/>
    <w:rsid w:val="002709FB"/>
    <w:rsid w:val="00270A14"/>
    <w:rsid w:val="00270A79"/>
    <w:rsid w:val="00270B5A"/>
    <w:rsid w:val="00270C6C"/>
    <w:rsid w:val="00270DC6"/>
    <w:rsid w:val="00270F74"/>
    <w:rsid w:val="0027100A"/>
    <w:rsid w:val="0027102B"/>
    <w:rsid w:val="0027121E"/>
    <w:rsid w:val="0027122E"/>
    <w:rsid w:val="002712D2"/>
    <w:rsid w:val="002712F1"/>
    <w:rsid w:val="002713F3"/>
    <w:rsid w:val="00271488"/>
    <w:rsid w:val="00271512"/>
    <w:rsid w:val="00271588"/>
    <w:rsid w:val="002715D4"/>
    <w:rsid w:val="00271678"/>
    <w:rsid w:val="00271688"/>
    <w:rsid w:val="00271690"/>
    <w:rsid w:val="0027172B"/>
    <w:rsid w:val="002717EF"/>
    <w:rsid w:val="002717F9"/>
    <w:rsid w:val="00271851"/>
    <w:rsid w:val="002719BE"/>
    <w:rsid w:val="00271B01"/>
    <w:rsid w:val="00271B0A"/>
    <w:rsid w:val="00271C0D"/>
    <w:rsid w:val="00271C28"/>
    <w:rsid w:val="00271D33"/>
    <w:rsid w:val="00271EFF"/>
    <w:rsid w:val="0027201A"/>
    <w:rsid w:val="002721D8"/>
    <w:rsid w:val="0027265D"/>
    <w:rsid w:val="0027269E"/>
    <w:rsid w:val="0027270A"/>
    <w:rsid w:val="0027277B"/>
    <w:rsid w:val="002727A7"/>
    <w:rsid w:val="002727DD"/>
    <w:rsid w:val="00272873"/>
    <w:rsid w:val="00272980"/>
    <w:rsid w:val="00272982"/>
    <w:rsid w:val="002729B3"/>
    <w:rsid w:val="00272A6E"/>
    <w:rsid w:val="00272C20"/>
    <w:rsid w:val="00272C62"/>
    <w:rsid w:val="00272C75"/>
    <w:rsid w:val="00272C92"/>
    <w:rsid w:val="00272CA0"/>
    <w:rsid w:val="00272CCC"/>
    <w:rsid w:val="00272ED7"/>
    <w:rsid w:val="002731F9"/>
    <w:rsid w:val="00273213"/>
    <w:rsid w:val="0027322A"/>
    <w:rsid w:val="00273248"/>
    <w:rsid w:val="002732B4"/>
    <w:rsid w:val="0027330F"/>
    <w:rsid w:val="002735B0"/>
    <w:rsid w:val="0027388B"/>
    <w:rsid w:val="00273AB6"/>
    <w:rsid w:val="00273AC0"/>
    <w:rsid w:val="00273BF4"/>
    <w:rsid w:val="00273CA4"/>
    <w:rsid w:val="00273E52"/>
    <w:rsid w:val="00274198"/>
    <w:rsid w:val="0027427D"/>
    <w:rsid w:val="00274323"/>
    <w:rsid w:val="002743EA"/>
    <w:rsid w:val="00274449"/>
    <w:rsid w:val="00274590"/>
    <w:rsid w:val="002745D1"/>
    <w:rsid w:val="00274707"/>
    <w:rsid w:val="002749B8"/>
    <w:rsid w:val="00274B96"/>
    <w:rsid w:val="00274BEF"/>
    <w:rsid w:val="00274CD5"/>
    <w:rsid w:val="00274CDC"/>
    <w:rsid w:val="00274E35"/>
    <w:rsid w:val="00274E8D"/>
    <w:rsid w:val="00274EBA"/>
    <w:rsid w:val="00274FA6"/>
    <w:rsid w:val="00275088"/>
    <w:rsid w:val="002750AD"/>
    <w:rsid w:val="002750B9"/>
    <w:rsid w:val="00275109"/>
    <w:rsid w:val="002751F6"/>
    <w:rsid w:val="002752AB"/>
    <w:rsid w:val="002752EE"/>
    <w:rsid w:val="00275383"/>
    <w:rsid w:val="0027553E"/>
    <w:rsid w:val="00275994"/>
    <w:rsid w:val="00275A9E"/>
    <w:rsid w:val="00275AA6"/>
    <w:rsid w:val="00275B40"/>
    <w:rsid w:val="00275B93"/>
    <w:rsid w:val="00275D5B"/>
    <w:rsid w:val="00275F2A"/>
    <w:rsid w:val="00275F5E"/>
    <w:rsid w:val="00276002"/>
    <w:rsid w:val="002760E8"/>
    <w:rsid w:val="00276138"/>
    <w:rsid w:val="00276181"/>
    <w:rsid w:val="00276198"/>
    <w:rsid w:val="00276257"/>
    <w:rsid w:val="002764F8"/>
    <w:rsid w:val="00276524"/>
    <w:rsid w:val="00276568"/>
    <w:rsid w:val="002766DD"/>
    <w:rsid w:val="002766F1"/>
    <w:rsid w:val="002767BD"/>
    <w:rsid w:val="002767E2"/>
    <w:rsid w:val="0027680F"/>
    <w:rsid w:val="0027688D"/>
    <w:rsid w:val="002771C6"/>
    <w:rsid w:val="0027727A"/>
    <w:rsid w:val="002773BC"/>
    <w:rsid w:val="002774C7"/>
    <w:rsid w:val="00277554"/>
    <w:rsid w:val="00277607"/>
    <w:rsid w:val="0027780C"/>
    <w:rsid w:val="002778FE"/>
    <w:rsid w:val="00277A8D"/>
    <w:rsid w:val="00277AEE"/>
    <w:rsid w:val="00277C5F"/>
    <w:rsid w:val="00277D6E"/>
    <w:rsid w:val="00277DCB"/>
    <w:rsid w:val="00277E9C"/>
    <w:rsid w:val="00280032"/>
    <w:rsid w:val="002803BB"/>
    <w:rsid w:val="002804C3"/>
    <w:rsid w:val="0028051C"/>
    <w:rsid w:val="002805EF"/>
    <w:rsid w:val="0028062F"/>
    <w:rsid w:val="00280670"/>
    <w:rsid w:val="002807C3"/>
    <w:rsid w:val="00280809"/>
    <w:rsid w:val="00280833"/>
    <w:rsid w:val="00280AD8"/>
    <w:rsid w:val="00280D58"/>
    <w:rsid w:val="0028102C"/>
    <w:rsid w:val="002810CB"/>
    <w:rsid w:val="002810D6"/>
    <w:rsid w:val="0028119A"/>
    <w:rsid w:val="00281277"/>
    <w:rsid w:val="002812F8"/>
    <w:rsid w:val="00281535"/>
    <w:rsid w:val="002816E0"/>
    <w:rsid w:val="002816EA"/>
    <w:rsid w:val="002817DA"/>
    <w:rsid w:val="00281819"/>
    <w:rsid w:val="002819F6"/>
    <w:rsid w:val="00281A51"/>
    <w:rsid w:val="00281AFB"/>
    <w:rsid w:val="00281BD7"/>
    <w:rsid w:val="00281C92"/>
    <w:rsid w:val="00281E91"/>
    <w:rsid w:val="00281F0A"/>
    <w:rsid w:val="00281FAA"/>
    <w:rsid w:val="0028208D"/>
    <w:rsid w:val="002820A1"/>
    <w:rsid w:val="00282175"/>
    <w:rsid w:val="00282198"/>
    <w:rsid w:val="002823C6"/>
    <w:rsid w:val="00282430"/>
    <w:rsid w:val="002824E0"/>
    <w:rsid w:val="00282513"/>
    <w:rsid w:val="0028259A"/>
    <w:rsid w:val="002825FE"/>
    <w:rsid w:val="00282661"/>
    <w:rsid w:val="00282664"/>
    <w:rsid w:val="00282987"/>
    <w:rsid w:val="00282999"/>
    <w:rsid w:val="002829AF"/>
    <w:rsid w:val="002829DE"/>
    <w:rsid w:val="00282A3C"/>
    <w:rsid w:val="00282AF8"/>
    <w:rsid w:val="00282B13"/>
    <w:rsid w:val="00282B76"/>
    <w:rsid w:val="00282BB8"/>
    <w:rsid w:val="00282D7E"/>
    <w:rsid w:val="00282FF3"/>
    <w:rsid w:val="00282FF9"/>
    <w:rsid w:val="00283137"/>
    <w:rsid w:val="00283372"/>
    <w:rsid w:val="002833A7"/>
    <w:rsid w:val="002835D2"/>
    <w:rsid w:val="00283677"/>
    <w:rsid w:val="002837F9"/>
    <w:rsid w:val="00283828"/>
    <w:rsid w:val="002838E8"/>
    <w:rsid w:val="00283973"/>
    <w:rsid w:val="00283CC2"/>
    <w:rsid w:val="00283DFE"/>
    <w:rsid w:val="00283EA4"/>
    <w:rsid w:val="00283F59"/>
    <w:rsid w:val="0028408C"/>
    <w:rsid w:val="002840E8"/>
    <w:rsid w:val="00284203"/>
    <w:rsid w:val="002842D2"/>
    <w:rsid w:val="002842E2"/>
    <w:rsid w:val="002842F5"/>
    <w:rsid w:val="00284337"/>
    <w:rsid w:val="0028434F"/>
    <w:rsid w:val="00284521"/>
    <w:rsid w:val="0028465E"/>
    <w:rsid w:val="00284717"/>
    <w:rsid w:val="00284856"/>
    <w:rsid w:val="00284997"/>
    <w:rsid w:val="00284A42"/>
    <w:rsid w:val="00284B11"/>
    <w:rsid w:val="00284C4C"/>
    <w:rsid w:val="00284D2D"/>
    <w:rsid w:val="00284ECB"/>
    <w:rsid w:val="00284F64"/>
    <w:rsid w:val="0028503F"/>
    <w:rsid w:val="00285066"/>
    <w:rsid w:val="002851AB"/>
    <w:rsid w:val="00285210"/>
    <w:rsid w:val="0028528D"/>
    <w:rsid w:val="00285329"/>
    <w:rsid w:val="002853C1"/>
    <w:rsid w:val="002853EE"/>
    <w:rsid w:val="002853F6"/>
    <w:rsid w:val="0028542B"/>
    <w:rsid w:val="0028543E"/>
    <w:rsid w:val="002854D3"/>
    <w:rsid w:val="00285506"/>
    <w:rsid w:val="002855DE"/>
    <w:rsid w:val="00285654"/>
    <w:rsid w:val="00285754"/>
    <w:rsid w:val="00285799"/>
    <w:rsid w:val="002857EB"/>
    <w:rsid w:val="00285AD4"/>
    <w:rsid w:val="00285DBF"/>
    <w:rsid w:val="00285F98"/>
    <w:rsid w:val="00285FEF"/>
    <w:rsid w:val="002860AB"/>
    <w:rsid w:val="002860EF"/>
    <w:rsid w:val="002862DC"/>
    <w:rsid w:val="00286393"/>
    <w:rsid w:val="00286434"/>
    <w:rsid w:val="002864C4"/>
    <w:rsid w:val="002864C9"/>
    <w:rsid w:val="002864F9"/>
    <w:rsid w:val="00286533"/>
    <w:rsid w:val="0028653D"/>
    <w:rsid w:val="0028654C"/>
    <w:rsid w:val="002865D4"/>
    <w:rsid w:val="00286799"/>
    <w:rsid w:val="002867A5"/>
    <w:rsid w:val="002868A4"/>
    <w:rsid w:val="00286D00"/>
    <w:rsid w:val="00286D30"/>
    <w:rsid w:val="00286D61"/>
    <w:rsid w:val="00286E16"/>
    <w:rsid w:val="00286E29"/>
    <w:rsid w:val="00286E5A"/>
    <w:rsid w:val="00286E5D"/>
    <w:rsid w:val="00286E86"/>
    <w:rsid w:val="0028708A"/>
    <w:rsid w:val="0028708E"/>
    <w:rsid w:val="00287155"/>
    <w:rsid w:val="00287172"/>
    <w:rsid w:val="0028733A"/>
    <w:rsid w:val="0028739D"/>
    <w:rsid w:val="002873C2"/>
    <w:rsid w:val="00287538"/>
    <w:rsid w:val="002875BE"/>
    <w:rsid w:val="002875DD"/>
    <w:rsid w:val="00287663"/>
    <w:rsid w:val="002877CD"/>
    <w:rsid w:val="0028799B"/>
    <w:rsid w:val="00287C00"/>
    <w:rsid w:val="00287D17"/>
    <w:rsid w:val="00287E2C"/>
    <w:rsid w:val="00287EF0"/>
    <w:rsid w:val="00290001"/>
    <w:rsid w:val="00290162"/>
    <w:rsid w:val="0029027B"/>
    <w:rsid w:val="00290321"/>
    <w:rsid w:val="00290367"/>
    <w:rsid w:val="002904E5"/>
    <w:rsid w:val="00290534"/>
    <w:rsid w:val="002905E3"/>
    <w:rsid w:val="002906E4"/>
    <w:rsid w:val="0029091C"/>
    <w:rsid w:val="00290950"/>
    <w:rsid w:val="00290C6D"/>
    <w:rsid w:val="00290C70"/>
    <w:rsid w:val="00290DE3"/>
    <w:rsid w:val="00290E7B"/>
    <w:rsid w:val="00290F1A"/>
    <w:rsid w:val="00290F5B"/>
    <w:rsid w:val="00291006"/>
    <w:rsid w:val="00291024"/>
    <w:rsid w:val="00291113"/>
    <w:rsid w:val="0029132D"/>
    <w:rsid w:val="002913AE"/>
    <w:rsid w:val="002915F5"/>
    <w:rsid w:val="00291631"/>
    <w:rsid w:val="0029188E"/>
    <w:rsid w:val="002918B9"/>
    <w:rsid w:val="00291ADD"/>
    <w:rsid w:val="00291B0D"/>
    <w:rsid w:val="00291B8D"/>
    <w:rsid w:val="00291D26"/>
    <w:rsid w:val="00291DDF"/>
    <w:rsid w:val="00291E27"/>
    <w:rsid w:val="00291E78"/>
    <w:rsid w:val="00291EE9"/>
    <w:rsid w:val="00291F93"/>
    <w:rsid w:val="002921D3"/>
    <w:rsid w:val="00292251"/>
    <w:rsid w:val="00292298"/>
    <w:rsid w:val="0029234D"/>
    <w:rsid w:val="002923F9"/>
    <w:rsid w:val="0029248E"/>
    <w:rsid w:val="002924F9"/>
    <w:rsid w:val="002925BC"/>
    <w:rsid w:val="002925F8"/>
    <w:rsid w:val="002926B9"/>
    <w:rsid w:val="002929B4"/>
    <w:rsid w:val="00292A08"/>
    <w:rsid w:val="00292B09"/>
    <w:rsid w:val="00292B5A"/>
    <w:rsid w:val="00292D92"/>
    <w:rsid w:val="00292F94"/>
    <w:rsid w:val="00293148"/>
    <w:rsid w:val="002932DA"/>
    <w:rsid w:val="002933F8"/>
    <w:rsid w:val="00293435"/>
    <w:rsid w:val="0029357E"/>
    <w:rsid w:val="00293769"/>
    <w:rsid w:val="002937CC"/>
    <w:rsid w:val="00293902"/>
    <w:rsid w:val="002939F4"/>
    <w:rsid w:val="00293B32"/>
    <w:rsid w:val="00293B54"/>
    <w:rsid w:val="00293D40"/>
    <w:rsid w:val="00293D94"/>
    <w:rsid w:val="00293DFD"/>
    <w:rsid w:val="00293E64"/>
    <w:rsid w:val="00294073"/>
    <w:rsid w:val="0029408E"/>
    <w:rsid w:val="00294152"/>
    <w:rsid w:val="0029415C"/>
    <w:rsid w:val="002942DB"/>
    <w:rsid w:val="00294365"/>
    <w:rsid w:val="002943D1"/>
    <w:rsid w:val="00294754"/>
    <w:rsid w:val="002947E5"/>
    <w:rsid w:val="0029497D"/>
    <w:rsid w:val="002949A4"/>
    <w:rsid w:val="00294AFD"/>
    <w:rsid w:val="00294CF1"/>
    <w:rsid w:val="00294D7F"/>
    <w:rsid w:val="00294D8A"/>
    <w:rsid w:val="00294E6C"/>
    <w:rsid w:val="00294F11"/>
    <w:rsid w:val="00294F29"/>
    <w:rsid w:val="00294FF8"/>
    <w:rsid w:val="002950B6"/>
    <w:rsid w:val="00295181"/>
    <w:rsid w:val="00295193"/>
    <w:rsid w:val="002951A7"/>
    <w:rsid w:val="0029522E"/>
    <w:rsid w:val="002953BA"/>
    <w:rsid w:val="002953D4"/>
    <w:rsid w:val="002956C9"/>
    <w:rsid w:val="002956F2"/>
    <w:rsid w:val="00295763"/>
    <w:rsid w:val="00295778"/>
    <w:rsid w:val="00295826"/>
    <w:rsid w:val="002958D2"/>
    <w:rsid w:val="0029599A"/>
    <w:rsid w:val="00295A35"/>
    <w:rsid w:val="00295B08"/>
    <w:rsid w:val="00295B10"/>
    <w:rsid w:val="00295B4C"/>
    <w:rsid w:val="00295BDD"/>
    <w:rsid w:val="00295C13"/>
    <w:rsid w:val="00295C38"/>
    <w:rsid w:val="00295EA4"/>
    <w:rsid w:val="00295EFC"/>
    <w:rsid w:val="00295F30"/>
    <w:rsid w:val="002960DC"/>
    <w:rsid w:val="002960E1"/>
    <w:rsid w:val="002962F9"/>
    <w:rsid w:val="002963AF"/>
    <w:rsid w:val="002963C4"/>
    <w:rsid w:val="00296446"/>
    <w:rsid w:val="0029657A"/>
    <w:rsid w:val="0029664E"/>
    <w:rsid w:val="0029668E"/>
    <w:rsid w:val="0029675D"/>
    <w:rsid w:val="00296A13"/>
    <w:rsid w:val="00296CF2"/>
    <w:rsid w:val="00296D53"/>
    <w:rsid w:val="00296E26"/>
    <w:rsid w:val="00296E45"/>
    <w:rsid w:val="0029702B"/>
    <w:rsid w:val="00297295"/>
    <w:rsid w:val="002972AE"/>
    <w:rsid w:val="0029734A"/>
    <w:rsid w:val="002973A8"/>
    <w:rsid w:val="00297443"/>
    <w:rsid w:val="00297539"/>
    <w:rsid w:val="00297588"/>
    <w:rsid w:val="002975AE"/>
    <w:rsid w:val="002975D2"/>
    <w:rsid w:val="0029764D"/>
    <w:rsid w:val="00297919"/>
    <w:rsid w:val="0029799C"/>
    <w:rsid w:val="00297B65"/>
    <w:rsid w:val="00297B76"/>
    <w:rsid w:val="00297DF1"/>
    <w:rsid w:val="00297F31"/>
    <w:rsid w:val="00297FAA"/>
    <w:rsid w:val="002A00AA"/>
    <w:rsid w:val="002A00CC"/>
    <w:rsid w:val="002A0231"/>
    <w:rsid w:val="002A02D2"/>
    <w:rsid w:val="002A03E2"/>
    <w:rsid w:val="002A041F"/>
    <w:rsid w:val="002A0433"/>
    <w:rsid w:val="002A047C"/>
    <w:rsid w:val="002A0501"/>
    <w:rsid w:val="002A0519"/>
    <w:rsid w:val="002A0775"/>
    <w:rsid w:val="002A0824"/>
    <w:rsid w:val="002A0952"/>
    <w:rsid w:val="002A095A"/>
    <w:rsid w:val="002A0C7C"/>
    <w:rsid w:val="002A0CE4"/>
    <w:rsid w:val="002A0E00"/>
    <w:rsid w:val="002A1002"/>
    <w:rsid w:val="002A10DD"/>
    <w:rsid w:val="002A111B"/>
    <w:rsid w:val="002A12FD"/>
    <w:rsid w:val="002A133C"/>
    <w:rsid w:val="002A142B"/>
    <w:rsid w:val="002A14AE"/>
    <w:rsid w:val="002A166E"/>
    <w:rsid w:val="002A16B6"/>
    <w:rsid w:val="002A1E10"/>
    <w:rsid w:val="002A1E2A"/>
    <w:rsid w:val="002A2013"/>
    <w:rsid w:val="002A21E5"/>
    <w:rsid w:val="002A23C0"/>
    <w:rsid w:val="002A25AD"/>
    <w:rsid w:val="002A2605"/>
    <w:rsid w:val="002A2655"/>
    <w:rsid w:val="002A26AB"/>
    <w:rsid w:val="002A282D"/>
    <w:rsid w:val="002A285D"/>
    <w:rsid w:val="002A2863"/>
    <w:rsid w:val="002A28A4"/>
    <w:rsid w:val="002A28D3"/>
    <w:rsid w:val="002A2A4C"/>
    <w:rsid w:val="002A2A91"/>
    <w:rsid w:val="002A2ABB"/>
    <w:rsid w:val="002A2AF1"/>
    <w:rsid w:val="002A2B23"/>
    <w:rsid w:val="002A2C1A"/>
    <w:rsid w:val="002A2C83"/>
    <w:rsid w:val="002A2CA2"/>
    <w:rsid w:val="002A2DF8"/>
    <w:rsid w:val="002A3038"/>
    <w:rsid w:val="002A30A9"/>
    <w:rsid w:val="002A30CA"/>
    <w:rsid w:val="002A334E"/>
    <w:rsid w:val="002A3440"/>
    <w:rsid w:val="002A3587"/>
    <w:rsid w:val="002A35F1"/>
    <w:rsid w:val="002A381D"/>
    <w:rsid w:val="002A3828"/>
    <w:rsid w:val="002A397A"/>
    <w:rsid w:val="002A3ABE"/>
    <w:rsid w:val="002A3B2E"/>
    <w:rsid w:val="002A3CA0"/>
    <w:rsid w:val="002A3E49"/>
    <w:rsid w:val="002A3F94"/>
    <w:rsid w:val="002A40E1"/>
    <w:rsid w:val="002A40EE"/>
    <w:rsid w:val="002A4142"/>
    <w:rsid w:val="002A4285"/>
    <w:rsid w:val="002A42F4"/>
    <w:rsid w:val="002A4696"/>
    <w:rsid w:val="002A481D"/>
    <w:rsid w:val="002A48F0"/>
    <w:rsid w:val="002A48F1"/>
    <w:rsid w:val="002A4A34"/>
    <w:rsid w:val="002A4A3D"/>
    <w:rsid w:val="002A4B31"/>
    <w:rsid w:val="002A4CF5"/>
    <w:rsid w:val="002A4EB0"/>
    <w:rsid w:val="002A4F05"/>
    <w:rsid w:val="002A521F"/>
    <w:rsid w:val="002A524B"/>
    <w:rsid w:val="002A530D"/>
    <w:rsid w:val="002A54DC"/>
    <w:rsid w:val="002A55B8"/>
    <w:rsid w:val="002A5786"/>
    <w:rsid w:val="002A5793"/>
    <w:rsid w:val="002A5911"/>
    <w:rsid w:val="002A5990"/>
    <w:rsid w:val="002A59D2"/>
    <w:rsid w:val="002A5B0C"/>
    <w:rsid w:val="002A5D28"/>
    <w:rsid w:val="002A60D0"/>
    <w:rsid w:val="002A610F"/>
    <w:rsid w:val="002A627F"/>
    <w:rsid w:val="002A6380"/>
    <w:rsid w:val="002A64B5"/>
    <w:rsid w:val="002A6529"/>
    <w:rsid w:val="002A6675"/>
    <w:rsid w:val="002A6695"/>
    <w:rsid w:val="002A66F5"/>
    <w:rsid w:val="002A6992"/>
    <w:rsid w:val="002A6A4B"/>
    <w:rsid w:val="002A6B21"/>
    <w:rsid w:val="002A6B44"/>
    <w:rsid w:val="002A6DF8"/>
    <w:rsid w:val="002A6E08"/>
    <w:rsid w:val="002A6ED4"/>
    <w:rsid w:val="002A6F2C"/>
    <w:rsid w:val="002A7078"/>
    <w:rsid w:val="002A7153"/>
    <w:rsid w:val="002A7221"/>
    <w:rsid w:val="002A72CD"/>
    <w:rsid w:val="002A72CE"/>
    <w:rsid w:val="002A7366"/>
    <w:rsid w:val="002A737E"/>
    <w:rsid w:val="002A7442"/>
    <w:rsid w:val="002A74B2"/>
    <w:rsid w:val="002A74D2"/>
    <w:rsid w:val="002A7633"/>
    <w:rsid w:val="002A7672"/>
    <w:rsid w:val="002A7800"/>
    <w:rsid w:val="002A7AEA"/>
    <w:rsid w:val="002A7CBC"/>
    <w:rsid w:val="002A7CC9"/>
    <w:rsid w:val="002A7D00"/>
    <w:rsid w:val="002A7DFC"/>
    <w:rsid w:val="002B03E0"/>
    <w:rsid w:val="002B0470"/>
    <w:rsid w:val="002B0656"/>
    <w:rsid w:val="002B0669"/>
    <w:rsid w:val="002B09D2"/>
    <w:rsid w:val="002B0A09"/>
    <w:rsid w:val="002B0AF2"/>
    <w:rsid w:val="002B0BB5"/>
    <w:rsid w:val="002B0C20"/>
    <w:rsid w:val="002B0D51"/>
    <w:rsid w:val="002B0D6B"/>
    <w:rsid w:val="002B0D89"/>
    <w:rsid w:val="002B0E4E"/>
    <w:rsid w:val="002B0E5C"/>
    <w:rsid w:val="002B0EFF"/>
    <w:rsid w:val="002B0FE7"/>
    <w:rsid w:val="002B0FF1"/>
    <w:rsid w:val="002B1028"/>
    <w:rsid w:val="002B1030"/>
    <w:rsid w:val="002B109A"/>
    <w:rsid w:val="002B12F9"/>
    <w:rsid w:val="002B13C7"/>
    <w:rsid w:val="002B14F9"/>
    <w:rsid w:val="002B165A"/>
    <w:rsid w:val="002B1683"/>
    <w:rsid w:val="002B175B"/>
    <w:rsid w:val="002B18E2"/>
    <w:rsid w:val="002B197C"/>
    <w:rsid w:val="002B1996"/>
    <w:rsid w:val="002B1A18"/>
    <w:rsid w:val="002B1AE9"/>
    <w:rsid w:val="002B1B8C"/>
    <w:rsid w:val="002B1BE3"/>
    <w:rsid w:val="002B1C7B"/>
    <w:rsid w:val="002B1F60"/>
    <w:rsid w:val="002B216D"/>
    <w:rsid w:val="002B21A9"/>
    <w:rsid w:val="002B2509"/>
    <w:rsid w:val="002B26B8"/>
    <w:rsid w:val="002B2819"/>
    <w:rsid w:val="002B28EE"/>
    <w:rsid w:val="002B2911"/>
    <w:rsid w:val="002B2A66"/>
    <w:rsid w:val="002B2B6B"/>
    <w:rsid w:val="002B2BC9"/>
    <w:rsid w:val="002B2BD9"/>
    <w:rsid w:val="002B2F6E"/>
    <w:rsid w:val="002B2FE2"/>
    <w:rsid w:val="002B3129"/>
    <w:rsid w:val="002B31DF"/>
    <w:rsid w:val="002B3293"/>
    <w:rsid w:val="002B32C3"/>
    <w:rsid w:val="002B3310"/>
    <w:rsid w:val="002B344C"/>
    <w:rsid w:val="002B3453"/>
    <w:rsid w:val="002B3628"/>
    <w:rsid w:val="002B3700"/>
    <w:rsid w:val="002B393E"/>
    <w:rsid w:val="002B3B65"/>
    <w:rsid w:val="002B3BFD"/>
    <w:rsid w:val="002B3D45"/>
    <w:rsid w:val="002B3EC9"/>
    <w:rsid w:val="002B4088"/>
    <w:rsid w:val="002B41CC"/>
    <w:rsid w:val="002B423A"/>
    <w:rsid w:val="002B4357"/>
    <w:rsid w:val="002B43F9"/>
    <w:rsid w:val="002B4521"/>
    <w:rsid w:val="002B4585"/>
    <w:rsid w:val="002B45A0"/>
    <w:rsid w:val="002B46C4"/>
    <w:rsid w:val="002B46E4"/>
    <w:rsid w:val="002B471E"/>
    <w:rsid w:val="002B4B1D"/>
    <w:rsid w:val="002B4B2C"/>
    <w:rsid w:val="002B4B2D"/>
    <w:rsid w:val="002B4C44"/>
    <w:rsid w:val="002B4D34"/>
    <w:rsid w:val="002B4EEB"/>
    <w:rsid w:val="002B503D"/>
    <w:rsid w:val="002B5058"/>
    <w:rsid w:val="002B5114"/>
    <w:rsid w:val="002B51B4"/>
    <w:rsid w:val="002B51ED"/>
    <w:rsid w:val="002B52CB"/>
    <w:rsid w:val="002B52E2"/>
    <w:rsid w:val="002B540A"/>
    <w:rsid w:val="002B557A"/>
    <w:rsid w:val="002B5634"/>
    <w:rsid w:val="002B5792"/>
    <w:rsid w:val="002B589C"/>
    <w:rsid w:val="002B58EE"/>
    <w:rsid w:val="002B5936"/>
    <w:rsid w:val="002B5A74"/>
    <w:rsid w:val="002B5C01"/>
    <w:rsid w:val="002B5C21"/>
    <w:rsid w:val="002B5C24"/>
    <w:rsid w:val="002B5DA9"/>
    <w:rsid w:val="002B5FD4"/>
    <w:rsid w:val="002B612C"/>
    <w:rsid w:val="002B61B6"/>
    <w:rsid w:val="002B62BD"/>
    <w:rsid w:val="002B642C"/>
    <w:rsid w:val="002B6458"/>
    <w:rsid w:val="002B6618"/>
    <w:rsid w:val="002B6693"/>
    <w:rsid w:val="002B68EC"/>
    <w:rsid w:val="002B695C"/>
    <w:rsid w:val="002B6966"/>
    <w:rsid w:val="002B6A1B"/>
    <w:rsid w:val="002B6B3C"/>
    <w:rsid w:val="002B6B90"/>
    <w:rsid w:val="002B6BBF"/>
    <w:rsid w:val="002B6D40"/>
    <w:rsid w:val="002B6DC1"/>
    <w:rsid w:val="002B6E57"/>
    <w:rsid w:val="002B6E5B"/>
    <w:rsid w:val="002B707D"/>
    <w:rsid w:val="002B74D2"/>
    <w:rsid w:val="002B7517"/>
    <w:rsid w:val="002B7549"/>
    <w:rsid w:val="002B7722"/>
    <w:rsid w:val="002B7751"/>
    <w:rsid w:val="002B779D"/>
    <w:rsid w:val="002B787A"/>
    <w:rsid w:val="002B788E"/>
    <w:rsid w:val="002B78F7"/>
    <w:rsid w:val="002B7A0B"/>
    <w:rsid w:val="002B7D92"/>
    <w:rsid w:val="002B7E1E"/>
    <w:rsid w:val="002B7E4D"/>
    <w:rsid w:val="002B7E8B"/>
    <w:rsid w:val="002B7F4D"/>
    <w:rsid w:val="002B7FAF"/>
    <w:rsid w:val="002C0075"/>
    <w:rsid w:val="002C0096"/>
    <w:rsid w:val="002C011F"/>
    <w:rsid w:val="002C026A"/>
    <w:rsid w:val="002C02A6"/>
    <w:rsid w:val="002C02B6"/>
    <w:rsid w:val="002C0386"/>
    <w:rsid w:val="002C05D8"/>
    <w:rsid w:val="002C05E9"/>
    <w:rsid w:val="002C07F0"/>
    <w:rsid w:val="002C0922"/>
    <w:rsid w:val="002C0990"/>
    <w:rsid w:val="002C09AD"/>
    <w:rsid w:val="002C0A51"/>
    <w:rsid w:val="002C0AFF"/>
    <w:rsid w:val="002C0B0B"/>
    <w:rsid w:val="002C0B41"/>
    <w:rsid w:val="002C0B87"/>
    <w:rsid w:val="002C0C6E"/>
    <w:rsid w:val="002C0CE2"/>
    <w:rsid w:val="002C0D02"/>
    <w:rsid w:val="002C0DF7"/>
    <w:rsid w:val="002C0E33"/>
    <w:rsid w:val="002C0E4A"/>
    <w:rsid w:val="002C10C6"/>
    <w:rsid w:val="002C10D9"/>
    <w:rsid w:val="002C10DE"/>
    <w:rsid w:val="002C1166"/>
    <w:rsid w:val="002C1274"/>
    <w:rsid w:val="002C1470"/>
    <w:rsid w:val="002C1574"/>
    <w:rsid w:val="002C1579"/>
    <w:rsid w:val="002C1690"/>
    <w:rsid w:val="002C16C4"/>
    <w:rsid w:val="002C1727"/>
    <w:rsid w:val="002C1770"/>
    <w:rsid w:val="002C19D8"/>
    <w:rsid w:val="002C1E99"/>
    <w:rsid w:val="002C1FBF"/>
    <w:rsid w:val="002C1FE8"/>
    <w:rsid w:val="002C208A"/>
    <w:rsid w:val="002C219F"/>
    <w:rsid w:val="002C21F0"/>
    <w:rsid w:val="002C2224"/>
    <w:rsid w:val="002C2237"/>
    <w:rsid w:val="002C231E"/>
    <w:rsid w:val="002C2381"/>
    <w:rsid w:val="002C238B"/>
    <w:rsid w:val="002C239C"/>
    <w:rsid w:val="002C23E4"/>
    <w:rsid w:val="002C2409"/>
    <w:rsid w:val="002C242F"/>
    <w:rsid w:val="002C2479"/>
    <w:rsid w:val="002C24CF"/>
    <w:rsid w:val="002C2562"/>
    <w:rsid w:val="002C25FE"/>
    <w:rsid w:val="002C2658"/>
    <w:rsid w:val="002C26D1"/>
    <w:rsid w:val="002C2749"/>
    <w:rsid w:val="002C27AA"/>
    <w:rsid w:val="002C27E7"/>
    <w:rsid w:val="002C2853"/>
    <w:rsid w:val="002C28A2"/>
    <w:rsid w:val="002C28D5"/>
    <w:rsid w:val="002C28E8"/>
    <w:rsid w:val="002C2ACC"/>
    <w:rsid w:val="002C2B0A"/>
    <w:rsid w:val="002C2BE9"/>
    <w:rsid w:val="002C2EFC"/>
    <w:rsid w:val="002C31C8"/>
    <w:rsid w:val="002C32DE"/>
    <w:rsid w:val="002C354A"/>
    <w:rsid w:val="002C36AB"/>
    <w:rsid w:val="002C36BC"/>
    <w:rsid w:val="002C36C4"/>
    <w:rsid w:val="002C3729"/>
    <w:rsid w:val="002C3A9C"/>
    <w:rsid w:val="002C3B33"/>
    <w:rsid w:val="002C3B60"/>
    <w:rsid w:val="002C3BB4"/>
    <w:rsid w:val="002C3D2B"/>
    <w:rsid w:val="002C4222"/>
    <w:rsid w:val="002C42C0"/>
    <w:rsid w:val="002C431D"/>
    <w:rsid w:val="002C43F5"/>
    <w:rsid w:val="002C4465"/>
    <w:rsid w:val="002C458F"/>
    <w:rsid w:val="002C461F"/>
    <w:rsid w:val="002C46DE"/>
    <w:rsid w:val="002C46FB"/>
    <w:rsid w:val="002C4727"/>
    <w:rsid w:val="002C47B0"/>
    <w:rsid w:val="002C49DF"/>
    <w:rsid w:val="002C4A1C"/>
    <w:rsid w:val="002C4ABB"/>
    <w:rsid w:val="002C4BA3"/>
    <w:rsid w:val="002C4BF2"/>
    <w:rsid w:val="002C4EF5"/>
    <w:rsid w:val="002C4F4D"/>
    <w:rsid w:val="002C4FA3"/>
    <w:rsid w:val="002C4FCC"/>
    <w:rsid w:val="002C5086"/>
    <w:rsid w:val="002C520C"/>
    <w:rsid w:val="002C53E4"/>
    <w:rsid w:val="002C5429"/>
    <w:rsid w:val="002C544F"/>
    <w:rsid w:val="002C55F9"/>
    <w:rsid w:val="002C57CC"/>
    <w:rsid w:val="002C57E9"/>
    <w:rsid w:val="002C5847"/>
    <w:rsid w:val="002C588B"/>
    <w:rsid w:val="002C5906"/>
    <w:rsid w:val="002C593E"/>
    <w:rsid w:val="002C5A55"/>
    <w:rsid w:val="002C5A7C"/>
    <w:rsid w:val="002C5C61"/>
    <w:rsid w:val="002C5CE0"/>
    <w:rsid w:val="002C5D0F"/>
    <w:rsid w:val="002C5FC8"/>
    <w:rsid w:val="002C604A"/>
    <w:rsid w:val="002C6087"/>
    <w:rsid w:val="002C6198"/>
    <w:rsid w:val="002C62FC"/>
    <w:rsid w:val="002C66FA"/>
    <w:rsid w:val="002C6726"/>
    <w:rsid w:val="002C6756"/>
    <w:rsid w:val="002C679C"/>
    <w:rsid w:val="002C67F8"/>
    <w:rsid w:val="002C699B"/>
    <w:rsid w:val="002C69BA"/>
    <w:rsid w:val="002C6AE3"/>
    <w:rsid w:val="002C6C54"/>
    <w:rsid w:val="002C6C96"/>
    <w:rsid w:val="002C6CDC"/>
    <w:rsid w:val="002C6D8E"/>
    <w:rsid w:val="002C6E0C"/>
    <w:rsid w:val="002C6E4D"/>
    <w:rsid w:val="002C7339"/>
    <w:rsid w:val="002C7435"/>
    <w:rsid w:val="002C7659"/>
    <w:rsid w:val="002C7754"/>
    <w:rsid w:val="002C7874"/>
    <w:rsid w:val="002C7A90"/>
    <w:rsid w:val="002C7BCF"/>
    <w:rsid w:val="002C7D2B"/>
    <w:rsid w:val="002C7F95"/>
    <w:rsid w:val="002D00CE"/>
    <w:rsid w:val="002D0192"/>
    <w:rsid w:val="002D032F"/>
    <w:rsid w:val="002D0436"/>
    <w:rsid w:val="002D06E5"/>
    <w:rsid w:val="002D07DB"/>
    <w:rsid w:val="002D0886"/>
    <w:rsid w:val="002D08E6"/>
    <w:rsid w:val="002D09D5"/>
    <w:rsid w:val="002D09F0"/>
    <w:rsid w:val="002D0D21"/>
    <w:rsid w:val="002D0D8B"/>
    <w:rsid w:val="002D0EAE"/>
    <w:rsid w:val="002D0FC3"/>
    <w:rsid w:val="002D103D"/>
    <w:rsid w:val="002D115E"/>
    <w:rsid w:val="002D12E4"/>
    <w:rsid w:val="002D130D"/>
    <w:rsid w:val="002D1316"/>
    <w:rsid w:val="002D1390"/>
    <w:rsid w:val="002D14B6"/>
    <w:rsid w:val="002D14E5"/>
    <w:rsid w:val="002D1551"/>
    <w:rsid w:val="002D15EC"/>
    <w:rsid w:val="002D15F6"/>
    <w:rsid w:val="002D1605"/>
    <w:rsid w:val="002D16CC"/>
    <w:rsid w:val="002D17FA"/>
    <w:rsid w:val="002D18F0"/>
    <w:rsid w:val="002D1925"/>
    <w:rsid w:val="002D1A6A"/>
    <w:rsid w:val="002D1ABC"/>
    <w:rsid w:val="002D1B8B"/>
    <w:rsid w:val="002D1FAE"/>
    <w:rsid w:val="002D1FB3"/>
    <w:rsid w:val="002D1FB6"/>
    <w:rsid w:val="002D217A"/>
    <w:rsid w:val="002D221F"/>
    <w:rsid w:val="002D2228"/>
    <w:rsid w:val="002D2277"/>
    <w:rsid w:val="002D2397"/>
    <w:rsid w:val="002D2470"/>
    <w:rsid w:val="002D25A1"/>
    <w:rsid w:val="002D274F"/>
    <w:rsid w:val="002D2873"/>
    <w:rsid w:val="002D2881"/>
    <w:rsid w:val="002D288D"/>
    <w:rsid w:val="002D288F"/>
    <w:rsid w:val="002D2896"/>
    <w:rsid w:val="002D2965"/>
    <w:rsid w:val="002D29CD"/>
    <w:rsid w:val="002D2ACB"/>
    <w:rsid w:val="002D2AD5"/>
    <w:rsid w:val="002D2B6D"/>
    <w:rsid w:val="002D2F3B"/>
    <w:rsid w:val="002D302C"/>
    <w:rsid w:val="002D304D"/>
    <w:rsid w:val="002D3255"/>
    <w:rsid w:val="002D3364"/>
    <w:rsid w:val="002D3392"/>
    <w:rsid w:val="002D33C5"/>
    <w:rsid w:val="002D342D"/>
    <w:rsid w:val="002D3471"/>
    <w:rsid w:val="002D348E"/>
    <w:rsid w:val="002D3554"/>
    <w:rsid w:val="002D35E9"/>
    <w:rsid w:val="002D38C4"/>
    <w:rsid w:val="002D39D3"/>
    <w:rsid w:val="002D39D6"/>
    <w:rsid w:val="002D3AC4"/>
    <w:rsid w:val="002D3BB0"/>
    <w:rsid w:val="002D3D35"/>
    <w:rsid w:val="002D3DA8"/>
    <w:rsid w:val="002D3DF0"/>
    <w:rsid w:val="002D3E6C"/>
    <w:rsid w:val="002D3F47"/>
    <w:rsid w:val="002D3FF2"/>
    <w:rsid w:val="002D4198"/>
    <w:rsid w:val="002D41F8"/>
    <w:rsid w:val="002D425B"/>
    <w:rsid w:val="002D42A6"/>
    <w:rsid w:val="002D438E"/>
    <w:rsid w:val="002D43E9"/>
    <w:rsid w:val="002D4435"/>
    <w:rsid w:val="002D451A"/>
    <w:rsid w:val="002D4525"/>
    <w:rsid w:val="002D45D9"/>
    <w:rsid w:val="002D4617"/>
    <w:rsid w:val="002D4652"/>
    <w:rsid w:val="002D47BD"/>
    <w:rsid w:val="002D4820"/>
    <w:rsid w:val="002D48EB"/>
    <w:rsid w:val="002D4AF3"/>
    <w:rsid w:val="002D4B68"/>
    <w:rsid w:val="002D4D5E"/>
    <w:rsid w:val="002D5053"/>
    <w:rsid w:val="002D506F"/>
    <w:rsid w:val="002D510E"/>
    <w:rsid w:val="002D515A"/>
    <w:rsid w:val="002D5227"/>
    <w:rsid w:val="002D52BC"/>
    <w:rsid w:val="002D52D7"/>
    <w:rsid w:val="002D52FC"/>
    <w:rsid w:val="002D5425"/>
    <w:rsid w:val="002D5539"/>
    <w:rsid w:val="002D597E"/>
    <w:rsid w:val="002D59A1"/>
    <w:rsid w:val="002D5DDF"/>
    <w:rsid w:val="002D5E99"/>
    <w:rsid w:val="002D5EA9"/>
    <w:rsid w:val="002D5F37"/>
    <w:rsid w:val="002D6050"/>
    <w:rsid w:val="002D607C"/>
    <w:rsid w:val="002D60F5"/>
    <w:rsid w:val="002D672D"/>
    <w:rsid w:val="002D6863"/>
    <w:rsid w:val="002D6943"/>
    <w:rsid w:val="002D6A38"/>
    <w:rsid w:val="002D6B4F"/>
    <w:rsid w:val="002D6BE0"/>
    <w:rsid w:val="002D6C14"/>
    <w:rsid w:val="002D6C7E"/>
    <w:rsid w:val="002D6F8A"/>
    <w:rsid w:val="002D7001"/>
    <w:rsid w:val="002D7180"/>
    <w:rsid w:val="002D718C"/>
    <w:rsid w:val="002D71DE"/>
    <w:rsid w:val="002D720E"/>
    <w:rsid w:val="002D7392"/>
    <w:rsid w:val="002D74DE"/>
    <w:rsid w:val="002D7531"/>
    <w:rsid w:val="002D754B"/>
    <w:rsid w:val="002D75DD"/>
    <w:rsid w:val="002D763F"/>
    <w:rsid w:val="002D764A"/>
    <w:rsid w:val="002D76C0"/>
    <w:rsid w:val="002D7736"/>
    <w:rsid w:val="002D78E5"/>
    <w:rsid w:val="002D790D"/>
    <w:rsid w:val="002D79E3"/>
    <w:rsid w:val="002D7B4F"/>
    <w:rsid w:val="002D7B71"/>
    <w:rsid w:val="002D7D65"/>
    <w:rsid w:val="002D7D89"/>
    <w:rsid w:val="002D7EBE"/>
    <w:rsid w:val="002D7FB2"/>
    <w:rsid w:val="002D7FF2"/>
    <w:rsid w:val="002E0032"/>
    <w:rsid w:val="002E00C8"/>
    <w:rsid w:val="002E00E3"/>
    <w:rsid w:val="002E0188"/>
    <w:rsid w:val="002E019B"/>
    <w:rsid w:val="002E01B8"/>
    <w:rsid w:val="002E0218"/>
    <w:rsid w:val="002E025C"/>
    <w:rsid w:val="002E02C5"/>
    <w:rsid w:val="002E041E"/>
    <w:rsid w:val="002E04FB"/>
    <w:rsid w:val="002E05C0"/>
    <w:rsid w:val="002E05EB"/>
    <w:rsid w:val="002E0867"/>
    <w:rsid w:val="002E08F3"/>
    <w:rsid w:val="002E0DF7"/>
    <w:rsid w:val="002E0E82"/>
    <w:rsid w:val="002E10C1"/>
    <w:rsid w:val="002E10CC"/>
    <w:rsid w:val="002E10D4"/>
    <w:rsid w:val="002E1193"/>
    <w:rsid w:val="002E1245"/>
    <w:rsid w:val="002E1301"/>
    <w:rsid w:val="002E1497"/>
    <w:rsid w:val="002E14A8"/>
    <w:rsid w:val="002E16C9"/>
    <w:rsid w:val="002E16FA"/>
    <w:rsid w:val="002E1945"/>
    <w:rsid w:val="002E1A68"/>
    <w:rsid w:val="002E1C6F"/>
    <w:rsid w:val="002E1CBB"/>
    <w:rsid w:val="002E1D28"/>
    <w:rsid w:val="002E1D50"/>
    <w:rsid w:val="002E1D80"/>
    <w:rsid w:val="002E2065"/>
    <w:rsid w:val="002E20EF"/>
    <w:rsid w:val="002E2207"/>
    <w:rsid w:val="002E22D5"/>
    <w:rsid w:val="002E2486"/>
    <w:rsid w:val="002E276D"/>
    <w:rsid w:val="002E284C"/>
    <w:rsid w:val="002E287F"/>
    <w:rsid w:val="002E29B4"/>
    <w:rsid w:val="002E2B28"/>
    <w:rsid w:val="002E2C02"/>
    <w:rsid w:val="002E2D1A"/>
    <w:rsid w:val="002E2D68"/>
    <w:rsid w:val="002E2DA2"/>
    <w:rsid w:val="002E2E41"/>
    <w:rsid w:val="002E2E4B"/>
    <w:rsid w:val="002E2EDF"/>
    <w:rsid w:val="002E2F7B"/>
    <w:rsid w:val="002E2F80"/>
    <w:rsid w:val="002E306A"/>
    <w:rsid w:val="002E3084"/>
    <w:rsid w:val="002E3146"/>
    <w:rsid w:val="002E31BF"/>
    <w:rsid w:val="002E321D"/>
    <w:rsid w:val="002E33FA"/>
    <w:rsid w:val="002E3462"/>
    <w:rsid w:val="002E3546"/>
    <w:rsid w:val="002E3614"/>
    <w:rsid w:val="002E3763"/>
    <w:rsid w:val="002E3770"/>
    <w:rsid w:val="002E386E"/>
    <w:rsid w:val="002E38C6"/>
    <w:rsid w:val="002E38ED"/>
    <w:rsid w:val="002E392A"/>
    <w:rsid w:val="002E3A91"/>
    <w:rsid w:val="002E3BE4"/>
    <w:rsid w:val="002E3C9C"/>
    <w:rsid w:val="002E3CAE"/>
    <w:rsid w:val="002E3D98"/>
    <w:rsid w:val="002E3DEE"/>
    <w:rsid w:val="002E3E88"/>
    <w:rsid w:val="002E3F8E"/>
    <w:rsid w:val="002E3F93"/>
    <w:rsid w:val="002E4038"/>
    <w:rsid w:val="002E43C1"/>
    <w:rsid w:val="002E43E1"/>
    <w:rsid w:val="002E4587"/>
    <w:rsid w:val="002E46AC"/>
    <w:rsid w:val="002E47CB"/>
    <w:rsid w:val="002E486E"/>
    <w:rsid w:val="002E48BC"/>
    <w:rsid w:val="002E4943"/>
    <w:rsid w:val="002E4C1E"/>
    <w:rsid w:val="002E4E18"/>
    <w:rsid w:val="002E4F1A"/>
    <w:rsid w:val="002E4F44"/>
    <w:rsid w:val="002E5229"/>
    <w:rsid w:val="002E5297"/>
    <w:rsid w:val="002E5360"/>
    <w:rsid w:val="002E546B"/>
    <w:rsid w:val="002E555B"/>
    <w:rsid w:val="002E5605"/>
    <w:rsid w:val="002E5606"/>
    <w:rsid w:val="002E5880"/>
    <w:rsid w:val="002E5918"/>
    <w:rsid w:val="002E592B"/>
    <w:rsid w:val="002E5A34"/>
    <w:rsid w:val="002E5ADA"/>
    <w:rsid w:val="002E5AE6"/>
    <w:rsid w:val="002E5B12"/>
    <w:rsid w:val="002E5C1A"/>
    <w:rsid w:val="002E5C24"/>
    <w:rsid w:val="002E5E99"/>
    <w:rsid w:val="002E6054"/>
    <w:rsid w:val="002E6130"/>
    <w:rsid w:val="002E6138"/>
    <w:rsid w:val="002E61AE"/>
    <w:rsid w:val="002E62C0"/>
    <w:rsid w:val="002E6428"/>
    <w:rsid w:val="002E6577"/>
    <w:rsid w:val="002E669C"/>
    <w:rsid w:val="002E6746"/>
    <w:rsid w:val="002E6769"/>
    <w:rsid w:val="002E67BE"/>
    <w:rsid w:val="002E6B55"/>
    <w:rsid w:val="002E6BBF"/>
    <w:rsid w:val="002E6C32"/>
    <w:rsid w:val="002E6DB4"/>
    <w:rsid w:val="002E6DE0"/>
    <w:rsid w:val="002E6DEF"/>
    <w:rsid w:val="002E6F85"/>
    <w:rsid w:val="002E7000"/>
    <w:rsid w:val="002E719A"/>
    <w:rsid w:val="002E71DD"/>
    <w:rsid w:val="002E72D1"/>
    <w:rsid w:val="002E72D6"/>
    <w:rsid w:val="002E73A3"/>
    <w:rsid w:val="002E7414"/>
    <w:rsid w:val="002E7463"/>
    <w:rsid w:val="002E7644"/>
    <w:rsid w:val="002E76A3"/>
    <w:rsid w:val="002E77DF"/>
    <w:rsid w:val="002E7842"/>
    <w:rsid w:val="002E7D01"/>
    <w:rsid w:val="002E7EDF"/>
    <w:rsid w:val="002F02F1"/>
    <w:rsid w:val="002F032C"/>
    <w:rsid w:val="002F0398"/>
    <w:rsid w:val="002F045D"/>
    <w:rsid w:val="002F05CB"/>
    <w:rsid w:val="002F06D2"/>
    <w:rsid w:val="002F0816"/>
    <w:rsid w:val="002F0985"/>
    <w:rsid w:val="002F0BA2"/>
    <w:rsid w:val="002F0BBB"/>
    <w:rsid w:val="002F0E63"/>
    <w:rsid w:val="002F0E87"/>
    <w:rsid w:val="002F0FE9"/>
    <w:rsid w:val="002F10DE"/>
    <w:rsid w:val="002F1310"/>
    <w:rsid w:val="002F15B9"/>
    <w:rsid w:val="002F16E8"/>
    <w:rsid w:val="002F1737"/>
    <w:rsid w:val="002F17C1"/>
    <w:rsid w:val="002F18F2"/>
    <w:rsid w:val="002F1A2F"/>
    <w:rsid w:val="002F1B2C"/>
    <w:rsid w:val="002F1BF6"/>
    <w:rsid w:val="002F1D02"/>
    <w:rsid w:val="002F1D6F"/>
    <w:rsid w:val="002F1DF6"/>
    <w:rsid w:val="002F1ED6"/>
    <w:rsid w:val="002F1FA0"/>
    <w:rsid w:val="002F1FD8"/>
    <w:rsid w:val="002F21F0"/>
    <w:rsid w:val="002F23BC"/>
    <w:rsid w:val="002F23D8"/>
    <w:rsid w:val="002F2422"/>
    <w:rsid w:val="002F246C"/>
    <w:rsid w:val="002F274A"/>
    <w:rsid w:val="002F276B"/>
    <w:rsid w:val="002F2810"/>
    <w:rsid w:val="002F2962"/>
    <w:rsid w:val="002F2A8D"/>
    <w:rsid w:val="002F2B77"/>
    <w:rsid w:val="002F2C75"/>
    <w:rsid w:val="002F2DAB"/>
    <w:rsid w:val="002F2DC2"/>
    <w:rsid w:val="002F2FB1"/>
    <w:rsid w:val="002F30EA"/>
    <w:rsid w:val="002F3157"/>
    <w:rsid w:val="002F3229"/>
    <w:rsid w:val="002F325E"/>
    <w:rsid w:val="002F32BB"/>
    <w:rsid w:val="002F32F2"/>
    <w:rsid w:val="002F34A1"/>
    <w:rsid w:val="002F35EA"/>
    <w:rsid w:val="002F3763"/>
    <w:rsid w:val="002F3792"/>
    <w:rsid w:val="002F3979"/>
    <w:rsid w:val="002F3A3B"/>
    <w:rsid w:val="002F3B63"/>
    <w:rsid w:val="002F3D33"/>
    <w:rsid w:val="002F3D61"/>
    <w:rsid w:val="002F3EE5"/>
    <w:rsid w:val="002F3F3B"/>
    <w:rsid w:val="002F3FE3"/>
    <w:rsid w:val="002F404B"/>
    <w:rsid w:val="002F409A"/>
    <w:rsid w:val="002F4101"/>
    <w:rsid w:val="002F41D5"/>
    <w:rsid w:val="002F4216"/>
    <w:rsid w:val="002F429C"/>
    <w:rsid w:val="002F4448"/>
    <w:rsid w:val="002F4475"/>
    <w:rsid w:val="002F454C"/>
    <w:rsid w:val="002F4598"/>
    <w:rsid w:val="002F4680"/>
    <w:rsid w:val="002F4860"/>
    <w:rsid w:val="002F49DA"/>
    <w:rsid w:val="002F4A07"/>
    <w:rsid w:val="002F4A98"/>
    <w:rsid w:val="002F4C36"/>
    <w:rsid w:val="002F4C8D"/>
    <w:rsid w:val="002F4D0A"/>
    <w:rsid w:val="002F4D94"/>
    <w:rsid w:val="002F4DF9"/>
    <w:rsid w:val="002F4E66"/>
    <w:rsid w:val="002F4FB0"/>
    <w:rsid w:val="002F516D"/>
    <w:rsid w:val="002F51AB"/>
    <w:rsid w:val="002F51FD"/>
    <w:rsid w:val="002F52D6"/>
    <w:rsid w:val="002F5331"/>
    <w:rsid w:val="002F536F"/>
    <w:rsid w:val="002F563A"/>
    <w:rsid w:val="002F56AE"/>
    <w:rsid w:val="002F57FB"/>
    <w:rsid w:val="002F5AB3"/>
    <w:rsid w:val="002F5AB6"/>
    <w:rsid w:val="002F5B81"/>
    <w:rsid w:val="002F5C29"/>
    <w:rsid w:val="002F5E0C"/>
    <w:rsid w:val="002F5EE2"/>
    <w:rsid w:val="002F5EF6"/>
    <w:rsid w:val="002F6073"/>
    <w:rsid w:val="002F60B2"/>
    <w:rsid w:val="002F6203"/>
    <w:rsid w:val="002F624E"/>
    <w:rsid w:val="002F624F"/>
    <w:rsid w:val="002F6257"/>
    <w:rsid w:val="002F65B1"/>
    <w:rsid w:val="002F65F0"/>
    <w:rsid w:val="002F6817"/>
    <w:rsid w:val="002F6A2B"/>
    <w:rsid w:val="002F6A75"/>
    <w:rsid w:val="002F6AA9"/>
    <w:rsid w:val="002F6B73"/>
    <w:rsid w:val="002F6BA6"/>
    <w:rsid w:val="002F6D0D"/>
    <w:rsid w:val="002F6D50"/>
    <w:rsid w:val="002F6EC6"/>
    <w:rsid w:val="002F6F54"/>
    <w:rsid w:val="002F6FCD"/>
    <w:rsid w:val="002F723D"/>
    <w:rsid w:val="002F72B3"/>
    <w:rsid w:val="002F7308"/>
    <w:rsid w:val="002F733B"/>
    <w:rsid w:val="002F73C1"/>
    <w:rsid w:val="002F7432"/>
    <w:rsid w:val="002F7438"/>
    <w:rsid w:val="002F7493"/>
    <w:rsid w:val="002F760C"/>
    <w:rsid w:val="002F76AD"/>
    <w:rsid w:val="002F794D"/>
    <w:rsid w:val="002F7A3F"/>
    <w:rsid w:val="002F7B75"/>
    <w:rsid w:val="002F7BE0"/>
    <w:rsid w:val="002F7C2D"/>
    <w:rsid w:val="002F7D63"/>
    <w:rsid w:val="003000A7"/>
    <w:rsid w:val="003002B2"/>
    <w:rsid w:val="003002B5"/>
    <w:rsid w:val="0030030F"/>
    <w:rsid w:val="00300568"/>
    <w:rsid w:val="0030071C"/>
    <w:rsid w:val="003007B5"/>
    <w:rsid w:val="003007C6"/>
    <w:rsid w:val="003007E8"/>
    <w:rsid w:val="0030081F"/>
    <w:rsid w:val="003008D6"/>
    <w:rsid w:val="0030091A"/>
    <w:rsid w:val="0030094C"/>
    <w:rsid w:val="00300B0E"/>
    <w:rsid w:val="00300DD6"/>
    <w:rsid w:val="00300ECB"/>
    <w:rsid w:val="00301309"/>
    <w:rsid w:val="0030139B"/>
    <w:rsid w:val="003013A1"/>
    <w:rsid w:val="003013EF"/>
    <w:rsid w:val="00301417"/>
    <w:rsid w:val="0030177C"/>
    <w:rsid w:val="00301864"/>
    <w:rsid w:val="003018EE"/>
    <w:rsid w:val="0030191E"/>
    <w:rsid w:val="003019A2"/>
    <w:rsid w:val="003019CB"/>
    <w:rsid w:val="00301A6F"/>
    <w:rsid w:val="00301A8C"/>
    <w:rsid w:val="00301B02"/>
    <w:rsid w:val="00301B0F"/>
    <w:rsid w:val="00301BB2"/>
    <w:rsid w:val="00301D8A"/>
    <w:rsid w:val="00301E2D"/>
    <w:rsid w:val="00301F5B"/>
    <w:rsid w:val="00301F79"/>
    <w:rsid w:val="0030209F"/>
    <w:rsid w:val="00302150"/>
    <w:rsid w:val="003022E1"/>
    <w:rsid w:val="0030230A"/>
    <w:rsid w:val="0030242D"/>
    <w:rsid w:val="00302481"/>
    <w:rsid w:val="003024D9"/>
    <w:rsid w:val="003026A8"/>
    <w:rsid w:val="00302825"/>
    <w:rsid w:val="003029B8"/>
    <w:rsid w:val="00302A3B"/>
    <w:rsid w:val="00302B67"/>
    <w:rsid w:val="00302C16"/>
    <w:rsid w:val="00302CBB"/>
    <w:rsid w:val="00302DE9"/>
    <w:rsid w:val="00302E0F"/>
    <w:rsid w:val="00302F05"/>
    <w:rsid w:val="00303020"/>
    <w:rsid w:val="0030309A"/>
    <w:rsid w:val="00303117"/>
    <w:rsid w:val="00303181"/>
    <w:rsid w:val="0030329D"/>
    <w:rsid w:val="003032E9"/>
    <w:rsid w:val="0030337F"/>
    <w:rsid w:val="00303507"/>
    <w:rsid w:val="00303607"/>
    <w:rsid w:val="00303694"/>
    <w:rsid w:val="003038E0"/>
    <w:rsid w:val="00303C3F"/>
    <w:rsid w:val="00303C94"/>
    <w:rsid w:val="00303DAD"/>
    <w:rsid w:val="00303E73"/>
    <w:rsid w:val="00303EAE"/>
    <w:rsid w:val="00303ECE"/>
    <w:rsid w:val="0030408A"/>
    <w:rsid w:val="0030428E"/>
    <w:rsid w:val="00304364"/>
    <w:rsid w:val="00304387"/>
    <w:rsid w:val="0030450D"/>
    <w:rsid w:val="00304581"/>
    <w:rsid w:val="00304635"/>
    <w:rsid w:val="00304737"/>
    <w:rsid w:val="0030481E"/>
    <w:rsid w:val="00304962"/>
    <w:rsid w:val="00304C2C"/>
    <w:rsid w:val="00304C55"/>
    <w:rsid w:val="00305093"/>
    <w:rsid w:val="0030509F"/>
    <w:rsid w:val="0030515B"/>
    <w:rsid w:val="00305228"/>
    <w:rsid w:val="0030522A"/>
    <w:rsid w:val="003052A8"/>
    <w:rsid w:val="003052E8"/>
    <w:rsid w:val="00305375"/>
    <w:rsid w:val="00305604"/>
    <w:rsid w:val="0030569A"/>
    <w:rsid w:val="00305997"/>
    <w:rsid w:val="003059B5"/>
    <w:rsid w:val="00305A60"/>
    <w:rsid w:val="00305A67"/>
    <w:rsid w:val="00305AF2"/>
    <w:rsid w:val="00305B4C"/>
    <w:rsid w:val="00305C34"/>
    <w:rsid w:val="00305D90"/>
    <w:rsid w:val="00305DA5"/>
    <w:rsid w:val="003060A9"/>
    <w:rsid w:val="0030613B"/>
    <w:rsid w:val="00306310"/>
    <w:rsid w:val="00306388"/>
    <w:rsid w:val="003063FD"/>
    <w:rsid w:val="00306741"/>
    <w:rsid w:val="0030689F"/>
    <w:rsid w:val="003068D0"/>
    <w:rsid w:val="00306BA6"/>
    <w:rsid w:val="00306BFD"/>
    <w:rsid w:val="00306C61"/>
    <w:rsid w:val="00306D2D"/>
    <w:rsid w:val="00306D35"/>
    <w:rsid w:val="00306DCB"/>
    <w:rsid w:val="00307092"/>
    <w:rsid w:val="00307098"/>
    <w:rsid w:val="003071F1"/>
    <w:rsid w:val="003071F3"/>
    <w:rsid w:val="0030732F"/>
    <w:rsid w:val="00307347"/>
    <w:rsid w:val="0030735E"/>
    <w:rsid w:val="00307372"/>
    <w:rsid w:val="0030738B"/>
    <w:rsid w:val="003073FA"/>
    <w:rsid w:val="00307523"/>
    <w:rsid w:val="0030761E"/>
    <w:rsid w:val="00307963"/>
    <w:rsid w:val="00307A40"/>
    <w:rsid w:val="00307AFE"/>
    <w:rsid w:val="00307BDD"/>
    <w:rsid w:val="00307ECB"/>
    <w:rsid w:val="00307FDF"/>
    <w:rsid w:val="00310098"/>
    <w:rsid w:val="003100D3"/>
    <w:rsid w:val="00310557"/>
    <w:rsid w:val="003105C0"/>
    <w:rsid w:val="0031066D"/>
    <w:rsid w:val="00310719"/>
    <w:rsid w:val="00310800"/>
    <w:rsid w:val="00310865"/>
    <w:rsid w:val="00310894"/>
    <w:rsid w:val="0031089B"/>
    <w:rsid w:val="00310A87"/>
    <w:rsid w:val="00310B44"/>
    <w:rsid w:val="00310E95"/>
    <w:rsid w:val="00310F47"/>
    <w:rsid w:val="00311051"/>
    <w:rsid w:val="0031108B"/>
    <w:rsid w:val="0031109C"/>
    <w:rsid w:val="00311353"/>
    <w:rsid w:val="00311477"/>
    <w:rsid w:val="003115DA"/>
    <w:rsid w:val="00311665"/>
    <w:rsid w:val="0031166F"/>
    <w:rsid w:val="0031184B"/>
    <w:rsid w:val="003118BA"/>
    <w:rsid w:val="00311B2B"/>
    <w:rsid w:val="00311C99"/>
    <w:rsid w:val="00311F44"/>
    <w:rsid w:val="00311FC6"/>
    <w:rsid w:val="00311FDB"/>
    <w:rsid w:val="00312029"/>
    <w:rsid w:val="003120C4"/>
    <w:rsid w:val="003121E9"/>
    <w:rsid w:val="003122F5"/>
    <w:rsid w:val="0031251A"/>
    <w:rsid w:val="0031253A"/>
    <w:rsid w:val="003128B2"/>
    <w:rsid w:val="0031293B"/>
    <w:rsid w:val="00312948"/>
    <w:rsid w:val="0031295E"/>
    <w:rsid w:val="003129B3"/>
    <w:rsid w:val="00312B18"/>
    <w:rsid w:val="00312C1A"/>
    <w:rsid w:val="00312CC0"/>
    <w:rsid w:val="00312D6D"/>
    <w:rsid w:val="00312F14"/>
    <w:rsid w:val="00312F42"/>
    <w:rsid w:val="00313078"/>
    <w:rsid w:val="0031311C"/>
    <w:rsid w:val="00313181"/>
    <w:rsid w:val="003131EB"/>
    <w:rsid w:val="003132B8"/>
    <w:rsid w:val="00313348"/>
    <w:rsid w:val="00313358"/>
    <w:rsid w:val="003133C2"/>
    <w:rsid w:val="00313530"/>
    <w:rsid w:val="00313561"/>
    <w:rsid w:val="003136CE"/>
    <w:rsid w:val="00313762"/>
    <w:rsid w:val="0031377B"/>
    <w:rsid w:val="00313876"/>
    <w:rsid w:val="003138A9"/>
    <w:rsid w:val="00313922"/>
    <w:rsid w:val="00313961"/>
    <w:rsid w:val="00313AA6"/>
    <w:rsid w:val="00313BF4"/>
    <w:rsid w:val="00313C15"/>
    <w:rsid w:val="00313C23"/>
    <w:rsid w:val="00313C26"/>
    <w:rsid w:val="00313C95"/>
    <w:rsid w:val="00313CC6"/>
    <w:rsid w:val="00313CEA"/>
    <w:rsid w:val="00313D4E"/>
    <w:rsid w:val="00313E5D"/>
    <w:rsid w:val="00313F04"/>
    <w:rsid w:val="00313FBA"/>
    <w:rsid w:val="00314165"/>
    <w:rsid w:val="00314385"/>
    <w:rsid w:val="003143A3"/>
    <w:rsid w:val="00314524"/>
    <w:rsid w:val="00314559"/>
    <w:rsid w:val="003146D9"/>
    <w:rsid w:val="003147F2"/>
    <w:rsid w:val="0031484C"/>
    <w:rsid w:val="00314895"/>
    <w:rsid w:val="003148C5"/>
    <w:rsid w:val="003148D7"/>
    <w:rsid w:val="00314981"/>
    <w:rsid w:val="003149FA"/>
    <w:rsid w:val="00314A96"/>
    <w:rsid w:val="00314C63"/>
    <w:rsid w:val="0031503B"/>
    <w:rsid w:val="003151F2"/>
    <w:rsid w:val="00315311"/>
    <w:rsid w:val="0031538E"/>
    <w:rsid w:val="003153A2"/>
    <w:rsid w:val="00315537"/>
    <w:rsid w:val="00315549"/>
    <w:rsid w:val="0031565F"/>
    <w:rsid w:val="00315741"/>
    <w:rsid w:val="0031590E"/>
    <w:rsid w:val="0031596F"/>
    <w:rsid w:val="00315A73"/>
    <w:rsid w:val="00315B34"/>
    <w:rsid w:val="00315C28"/>
    <w:rsid w:val="00315F29"/>
    <w:rsid w:val="0031603F"/>
    <w:rsid w:val="00316190"/>
    <w:rsid w:val="003161BB"/>
    <w:rsid w:val="00316221"/>
    <w:rsid w:val="00316245"/>
    <w:rsid w:val="0031632C"/>
    <w:rsid w:val="0031634E"/>
    <w:rsid w:val="003164DA"/>
    <w:rsid w:val="00316636"/>
    <w:rsid w:val="003168CA"/>
    <w:rsid w:val="003168CC"/>
    <w:rsid w:val="0031693B"/>
    <w:rsid w:val="00316D46"/>
    <w:rsid w:val="00316E4C"/>
    <w:rsid w:val="0031707C"/>
    <w:rsid w:val="003171F2"/>
    <w:rsid w:val="00317295"/>
    <w:rsid w:val="00317318"/>
    <w:rsid w:val="00317397"/>
    <w:rsid w:val="0031751A"/>
    <w:rsid w:val="00317645"/>
    <w:rsid w:val="003176BF"/>
    <w:rsid w:val="00317830"/>
    <w:rsid w:val="00317859"/>
    <w:rsid w:val="00317B50"/>
    <w:rsid w:val="00317D45"/>
    <w:rsid w:val="00317DCF"/>
    <w:rsid w:val="00317F2F"/>
    <w:rsid w:val="0032006E"/>
    <w:rsid w:val="00320098"/>
    <w:rsid w:val="003201C6"/>
    <w:rsid w:val="003202B4"/>
    <w:rsid w:val="0032038F"/>
    <w:rsid w:val="003203B9"/>
    <w:rsid w:val="00320428"/>
    <w:rsid w:val="0032042F"/>
    <w:rsid w:val="003204BE"/>
    <w:rsid w:val="003204E3"/>
    <w:rsid w:val="003204E8"/>
    <w:rsid w:val="00320548"/>
    <w:rsid w:val="003205DF"/>
    <w:rsid w:val="0032069E"/>
    <w:rsid w:val="00320807"/>
    <w:rsid w:val="003208CE"/>
    <w:rsid w:val="0032095D"/>
    <w:rsid w:val="00320A56"/>
    <w:rsid w:val="00320A90"/>
    <w:rsid w:val="00320ADE"/>
    <w:rsid w:val="00320B28"/>
    <w:rsid w:val="00320B34"/>
    <w:rsid w:val="00320C13"/>
    <w:rsid w:val="00320E4D"/>
    <w:rsid w:val="00320EB6"/>
    <w:rsid w:val="00320EB9"/>
    <w:rsid w:val="00320FFE"/>
    <w:rsid w:val="0032168C"/>
    <w:rsid w:val="003216E9"/>
    <w:rsid w:val="0032173E"/>
    <w:rsid w:val="00321AD5"/>
    <w:rsid w:val="00321AED"/>
    <w:rsid w:val="00321B28"/>
    <w:rsid w:val="00321B4F"/>
    <w:rsid w:val="00321B53"/>
    <w:rsid w:val="00321BC6"/>
    <w:rsid w:val="00321BDF"/>
    <w:rsid w:val="00321BE0"/>
    <w:rsid w:val="00321CF2"/>
    <w:rsid w:val="00322138"/>
    <w:rsid w:val="00322524"/>
    <w:rsid w:val="00322569"/>
    <w:rsid w:val="003225C7"/>
    <w:rsid w:val="00322709"/>
    <w:rsid w:val="00322735"/>
    <w:rsid w:val="0032276D"/>
    <w:rsid w:val="003227F6"/>
    <w:rsid w:val="0032282A"/>
    <w:rsid w:val="0032289A"/>
    <w:rsid w:val="00322951"/>
    <w:rsid w:val="00322BC3"/>
    <w:rsid w:val="00322BC6"/>
    <w:rsid w:val="00322BFF"/>
    <w:rsid w:val="00322C0C"/>
    <w:rsid w:val="00322C84"/>
    <w:rsid w:val="00322EDF"/>
    <w:rsid w:val="00322F44"/>
    <w:rsid w:val="00323111"/>
    <w:rsid w:val="00323113"/>
    <w:rsid w:val="0032328B"/>
    <w:rsid w:val="003233EB"/>
    <w:rsid w:val="00323477"/>
    <w:rsid w:val="00323523"/>
    <w:rsid w:val="00323542"/>
    <w:rsid w:val="0032388B"/>
    <w:rsid w:val="0032392C"/>
    <w:rsid w:val="00323A28"/>
    <w:rsid w:val="00323A83"/>
    <w:rsid w:val="00323ADB"/>
    <w:rsid w:val="00323C05"/>
    <w:rsid w:val="00323F6D"/>
    <w:rsid w:val="00323FF8"/>
    <w:rsid w:val="00324030"/>
    <w:rsid w:val="003241AE"/>
    <w:rsid w:val="003241F7"/>
    <w:rsid w:val="0032434F"/>
    <w:rsid w:val="0032436C"/>
    <w:rsid w:val="00324486"/>
    <w:rsid w:val="0032452E"/>
    <w:rsid w:val="003245FB"/>
    <w:rsid w:val="003245FE"/>
    <w:rsid w:val="0032468A"/>
    <w:rsid w:val="0032493A"/>
    <w:rsid w:val="00324973"/>
    <w:rsid w:val="003249C6"/>
    <w:rsid w:val="00324A2C"/>
    <w:rsid w:val="00324C91"/>
    <w:rsid w:val="00324D5C"/>
    <w:rsid w:val="00324F36"/>
    <w:rsid w:val="00325165"/>
    <w:rsid w:val="003252DF"/>
    <w:rsid w:val="00325305"/>
    <w:rsid w:val="003254E0"/>
    <w:rsid w:val="0032561D"/>
    <w:rsid w:val="00325661"/>
    <w:rsid w:val="00325946"/>
    <w:rsid w:val="00325979"/>
    <w:rsid w:val="003259F6"/>
    <w:rsid w:val="00325ABD"/>
    <w:rsid w:val="00325B12"/>
    <w:rsid w:val="00325BC2"/>
    <w:rsid w:val="00325EF8"/>
    <w:rsid w:val="00325FC1"/>
    <w:rsid w:val="003260F6"/>
    <w:rsid w:val="00326182"/>
    <w:rsid w:val="0032629A"/>
    <w:rsid w:val="00326352"/>
    <w:rsid w:val="00326760"/>
    <w:rsid w:val="003267A1"/>
    <w:rsid w:val="0032690E"/>
    <w:rsid w:val="00326CF9"/>
    <w:rsid w:val="00326DDA"/>
    <w:rsid w:val="00326E74"/>
    <w:rsid w:val="00326F13"/>
    <w:rsid w:val="00326F9E"/>
    <w:rsid w:val="00327068"/>
    <w:rsid w:val="0032729B"/>
    <w:rsid w:val="00327322"/>
    <w:rsid w:val="0032739C"/>
    <w:rsid w:val="003273DD"/>
    <w:rsid w:val="0032742A"/>
    <w:rsid w:val="003274F3"/>
    <w:rsid w:val="003275F3"/>
    <w:rsid w:val="003276C0"/>
    <w:rsid w:val="00327722"/>
    <w:rsid w:val="0032772A"/>
    <w:rsid w:val="00327737"/>
    <w:rsid w:val="0032773F"/>
    <w:rsid w:val="003277F0"/>
    <w:rsid w:val="00327809"/>
    <w:rsid w:val="0032780A"/>
    <w:rsid w:val="003278A8"/>
    <w:rsid w:val="00327964"/>
    <w:rsid w:val="00327B92"/>
    <w:rsid w:val="00327B9D"/>
    <w:rsid w:val="00327BDF"/>
    <w:rsid w:val="00327C58"/>
    <w:rsid w:val="00327C5B"/>
    <w:rsid w:val="00327E87"/>
    <w:rsid w:val="00327F3F"/>
    <w:rsid w:val="00327F81"/>
    <w:rsid w:val="00327FAB"/>
    <w:rsid w:val="00327FB0"/>
    <w:rsid w:val="0033006F"/>
    <w:rsid w:val="003300BF"/>
    <w:rsid w:val="003301B1"/>
    <w:rsid w:val="003301BC"/>
    <w:rsid w:val="00330285"/>
    <w:rsid w:val="003303D6"/>
    <w:rsid w:val="003304A1"/>
    <w:rsid w:val="003304A8"/>
    <w:rsid w:val="003304F7"/>
    <w:rsid w:val="0033052F"/>
    <w:rsid w:val="00330665"/>
    <w:rsid w:val="003306B9"/>
    <w:rsid w:val="00330770"/>
    <w:rsid w:val="00330A7C"/>
    <w:rsid w:val="00330F8B"/>
    <w:rsid w:val="00331065"/>
    <w:rsid w:val="0033122D"/>
    <w:rsid w:val="00331479"/>
    <w:rsid w:val="003314A6"/>
    <w:rsid w:val="003315A0"/>
    <w:rsid w:val="003316DB"/>
    <w:rsid w:val="003318F9"/>
    <w:rsid w:val="0033195D"/>
    <w:rsid w:val="003319B1"/>
    <w:rsid w:val="00331B88"/>
    <w:rsid w:val="00331BCE"/>
    <w:rsid w:val="00331C1A"/>
    <w:rsid w:val="00331CD3"/>
    <w:rsid w:val="00331CDB"/>
    <w:rsid w:val="00331D06"/>
    <w:rsid w:val="00331FD4"/>
    <w:rsid w:val="003320FE"/>
    <w:rsid w:val="0033222C"/>
    <w:rsid w:val="0033234E"/>
    <w:rsid w:val="003326AB"/>
    <w:rsid w:val="0033273A"/>
    <w:rsid w:val="003327E0"/>
    <w:rsid w:val="00332842"/>
    <w:rsid w:val="003328F1"/>
    <w:rsid w:val="00332988"/>
    <w:rsid w:val="003329C2"/>
    <w:rsid w:val="00332A54"/>
    <w:rsid w:val="00332BE8"/>
    <w:rsid w:val="00332D4D"/>
    <w:rsid w:val="00332DA0"/>
    <w:rsid w:val="00332EC6"/>
    <w:rsid w:val="00332F80"/>
    <w:rsid w:val="003330E3"/>
    <w:rsid w:val="003331B7"/>
    <w:rsid w:val="00333378"/>
    <w:rsid w:val="003333C6"/>
    <w:rsid w:val="00333426"/>
    <w:rsid w:val="00333483"/>
    <w:rsid w:val="003334D3"/>
    <w:rsid w:val="0033373D"/>
    <w:rsid w:val="003337A2"/>
    <w:rsid w:val="00333816"/>
    <w:rsid w:val="00333857"/>
    <w:rsid w:val="00333898"/>
    <w:rsid w:val="0033391A"/>
    <w:rsid w:val="00333B21"/>
    <w:rsid w:val="00333B83"/>
    <w:rsid w:val="00333C31"/>
    <w:rsid w:val="00333CAF"/>
    <w:rsid w:val="00333DEA"/>
    <w:rsid w:val="00333E70"/>
    <w:rsid w:val="00333E8E"/>
    <w:rsid w:val="00333EB7"/>
    <w:rsid w:val="00334076"/>
    <w:rsid w:val="003340AE"/>
    <w:rsid w:val="00334105"/>
    <w:rsid w:val="00334170"/>
    <w:rsid w:val="00334264"/>
    <w:rsid w:val="003342A0"/>
    <w:rsid w:val="003342D3"/>
    <w:rsid w:val="00334545"/>
    <w:rsid w:val="00334623"/>
    <w:rsid w:val="0033482F"/>
    <w:rsid w:val="0033495E"/>
    <w:rsid w:val="00334C76"/>
    <w:rsid w:val="00334CF0"/>
    <w:rsid w:val="00334D5B"/>
    <w:rsid w:val="00334F73"/>
    <w:rsid w:val="003350B4"/>
    <w:rsid w:val="003350E3"/>
    <w:rsid w:val="00335120"/>
    <w:rsid w:val="00335167"/>
    <w:rsid w:val="003351AC"/>
    <w:rsid w:val="00335374"/>
    <w:rsid w:val="0033544A"/>
    <w:rsid w:val="00335497"/>
    <w:rsid w:val="00335781"/>
    <w:rsid w:val="003357D9"/>
    <w:rsid w:val="00335871"/>
    <w:rsid w:val="0033587E"/>
    <w:rsid w:val="003358C8"/>
    <w:rsid w:val="00335991"/>
    <w:rsid w:val="003359B4"/>
    <w:rsid w:val="00335A94"/>
    <w:rsid w:val="00335BDD"/>
    <w:rsid w:val="00335EE4"/>
    <w:rsid w:val="0033600F"/>
    <w:rsid w:val="00336058"/>
    <w:rsid w:val="0033612F"/>
    <w:rsid w:val="00336202"/>
    <w:rsid w:val="0033624F"/>
    <w:rsid w:val="00336417"/>
    <w:rsid w:val="003364AA"/>
    <w:rsid w:val="00336722"/>
    <w:rsid w:val="003368F6"/>
    <w:rsid w:val="00336938"/>
    <w:rsid w:val="00336AF4"/>
    <w:rsid w:val="00336C48"/>
    <w:rsid w:val="00336CFC"/>
    <w:rsid w:val="00336E16"/>
    <w:rsid w:val="00336F0A"/>
    <w:rsid w:val="00336F4A"/>
    <w:rsid w:val="00336F5C"/>
    <w:rsid w:val="003371A0"/>
    <w:rsid w:val="003371CE"/>
    <w:rsid w:val="003371D6"/>
    <w:rsid w:val="00337292"/>
    <w:rsid w:val="003372BC"/>
    <w:rsid w:val="003373A9"/>
    <w:rsid w:val="00337434"/>
    <w:rsid w:val="003376B7"/>
    <w:rsid w:val="00337905"/>
    <w:rsid w:val="00337911"/>
    <w:rsid w:val="00337DD1"/>
    <w:rsid w:val="00337EEF"/>
    <w:rsid w:val="00337FB2"/>
    <w:rsid w:val="00340133"/>
    <w:rsid w:val="0034024D"/>
    <w:rsid w:val="003403A7"/>
    <w:rsid w:val="00340454"/>
    <w:rsid w:val="003404BC"/>
    <w:rsid w:val="00340745"/>
    <w:rsid w:val="003407B5"/>
    <w:rsid w:val="003408D7"/>
    <w:rsid w:val="00340A90"/>
    <w:rsid w:val="00340A9C"/>
    <w:rsid w:val="00340B71"/>
    <w:rsid w:val="00340C6D"/>
    <w:rsid w:val="00340D93"/>
    <w:rsid w:val="00340DB3"/>
    <w:rsid w:val="00340DDF"/>
    <w:rsid w:val="00340E02"/>
    <w:rsid w:val="00340E9D"/>
    <w:rsid w:val="00340EFD"/>
    <w:rsid w:val="00340F98"/>
    <w:rsid w:val="003412EA"/>
    <w:rsid w:val="0034136F"/>
    <w:rsid w:val="0034141D"/>
    <w:rsid w:val="00341464"/>
    <w:rsid w:val="00341559"/>
    <w:rsid w:val="00341566"/>
    <w:rsid w:val="003415D3"/>
    <w:rsid w:val="00341624"/>
    <w:rsid w:val="00341674"/>
    <w:rsid w:val="00341702"/>
    <w:rsid w:val="0034176D"/>
    <w:rsid w:val="00341943"/>
    <w:rsid w:val="003419EF"/>
    <w:rsid w:val="00341A63"/>
    <w:rsid w:val="00341BB6"/>
    <w:rsid w:val="00341C78"/>
    <w:rsid w:val="00341C91"/>
    <w:rsid w:val="00341CE8"/>
    <w:rsid w:val="00341CF8"/>
    <w:rsid w:val="00341E09"/>
    <w:rsid w:val="00341E53"/>
    <w:rsid w:val="003420D3"/>
    <w:rsid w:val="003420DE"/>
    <w:rsid w:val="00342380"/>
    <w:rsid w:val="0034286E"/>
    <w:rsid w:val="00342A0C"/>
    <w:rsid w:val="00343088"/>
    <w:rsid w:val="0034308C"/>
    <w:rsid w:val="00343138"/>
    <w:rsid w:val="00343143"/>
    <w:rsid w:val="003431DE"/>
    <w:rsid w:val="00343246"/>
    <w:rsid w:val="00343323"/>
    <w:rsid w:val="0034332E"/>
    <w:rsid w:val="003434B5"/>
    <w:rsid w:val="00343679"/>
    <w:rsid w:val="00343749"/>
    <w:rsid w:val="003439A9"/>
    <w:rsid w:val="00343AF5"/>
    <w:rsid w:val="00343CE3"/>
    <w:rsid w:val="00343CE6"/>
    <w:rsid w:val="00343E83"/>
    <w:rsid w:val="00343EDE"/>
    <w:rsid w:val="00343F5C"/>
    <w:rsid w:val="003440F4"/>
    <w:rsid w:val="00344419"/>
    <w:rsid w:val="0034487F"/>
    <w:rsid w:val="00344890"/>
    <w:rsid w:val="003448F6"/>
    <w:rsid w:val="003449E9"/>
    <w:rsid w:val="00344AB4"/>
    <w:rsid w:val="00344BE6"/>
    <w:rsid w:val="00344D5E"/>
    <w:rsid w:val="00344E01"/>
    <w:rsid w:val="00344E34"/>
    <w:rsid w:val="00344E56"/>
    <w:rsid w:val="00344F76"/>
    <w:rsid w:val="00344FCF"/>
    <w:rsid w:val="00345110"/>
    <w:rsid w:val="0034511E"/>
    <w:rsid w:val="0034517D"/>
    <w:rsid w:val="003451B8"/>
    <w:rsid w:val="0034553B"/>
    <w:rsid w:val="00345558"/>
    <w:rsid w:val="00345678"/>
    <w:rsid w:val="003456A8"/>
    <w:rsid w:val="003459DF"/>
    <w:rsid w:val="00345A73"/>
    <w:rsid w:val="00345B8A"/>
    <w:rsid w:val="00345BD4"/>
    <w:rsid w:val="00345C7D"/>
    <w:rsid w:val="00345C80"/>
    <w:rsid w:val="00345D71"/>
    <w:rsid w:val="00345DEF"/>
    <w:rsid w:val="00345F4D"/>
    <w:rsid w:val="00346074"/>
    <w:rsid w:val="003460A8"/>
    <w:rsid w:val="00346114"/>
    <w:rsid w:val="0034613C"/>
    <w:rsid w:val="00346148"/>
    <w:rsid w:val="00346188"/>
    <w:rsid w:val="003463B2"/>
    <w:rsid w:val="00346486"/>
    <w:rsid w:val="003466AE"/>
    <w:rsid w:val="0034691F"/>
    <w:rsid w:val="00346990"/>
    <w:rsid w:val="00346A73"/>
    <w:rsid w:val="00346B34"/>
    <w:rsid w:val="00346B8A"/>
    <w:rsid w:val="00346C1B"/>
    <w:rsid w:val="00346C31"/>
    <w:rsid w:val="00346D5B"/>
    <w:rsid w:val="00346DE7"/>
    <w:rsid w:val="00346EB6"/>
    <w:rsid w:val="0034717C"/>
    <w:rsid w:val="0034721A"/>
    <w:rsid w:val="00347257"/>
    <w:rsid w:val="00347352"/>
    <w:rsid w:val="003474B9"/>
    <w:rsid w:val="003474CA"/>
    <w:rsid w:val="00347583"/>
    <w:rsid w:val="003475EF"/>
    <w:rsid w:val="0034770A"/>
    <w:rsid w:val="00347751"/>
    <w:rsid w:val="0034775D"/>
    <w:rsid w:val="0034785A"/>
    <w:rsid w:val="003479C4"/>
    <w:rsid w:val="003479CF"/>
    <w:rsid w:val="00347A06"/>
    <w:rsid w:val="00347B9C"/>
    <w:rsid w:val="00347C7E"/>
    <w:rsid w:val="00347E76"/>
    <w:rsid w:val="00350038"/>
    <w:rsid w:val="003501B5"/>
    <w:rsid w:val="00350282"/>
    <w:rsid w:val="00350366"/>
    <w:rsid w:val="0035053E"/>
    <w:rsid w:val="003505EA"/>
    <w:rsid w:val="003507B1"/>
    <w:rsid w:val="0035086E"/>
    <w:rsid w:val="003508A2"/>
    <w:rsid w:val="003508D6"/>
    <w:rsid w:val="00350A01"/>
    <w:rsid w:val="00350A1E"/>
    <w:rsid w:val="00350A22"/>
    <w:rsid w:val="00350A29"/>
    <w:rsid w:val="00350A48"/>
    <w:rsid w:val="00350AB7"/>
    <w:rsid w:val="00350AD3"/>
    <w:rsid w:val="00350B4C"/>
    <w:rsid w:val="00350CFB"/>
    <w:rsid w:val="00350E3B"/>
    <w:rsid w:val="00350E8D"/>
    <w:rsid w:val="00350FD1"/>
    <w:rsid w:val="00351152"/>
    <w:rsid w:val="0035115C"/>
    <w:rsid w:val="003511B2"/>
    <w:rsid w:val="003511E3"/>
    <w:rsid w:val="00351374"/>
    <w:rsid w:val="003513FA"/>
    <w:rsid w:val="00351714"/>
    <w:rsid w:val="00351808"/>
    <w:rsid w:val="003519CB"/>
    <w:rsid w:val="00351A05"/>
    <w:rsid w:val="00351B45"/>
    <w:rsid w:val="00351B92"/>
    <w:rsid w:val="00351B95"/>
    <w:rsid w:val="00351BF6"/>
    <w:rsid w:val="00351CC7"/>
    <w:rsid w:val="00351DE0"/>
    <w:rsid w:val="00351F6B"/>
    <w:rsid w:val="003522C9"/>
    <w:rsid w:val="0035235D"/>
    <w:rsid w:val="003524B9"/>
    <w:rsid w:val="00352548"/>
    <w:rsid w:val="00352588"/>
    <w:rsid w:val="00352845"/>
    <w:rsid w:val="00352922"/>
    <w:rsid w:val="00352AD2"/>
    <w:rsid w:val="00352B00"/>
    <w:rsid w:val="00352BF2"/>
    <w:rsid w:val="00352BF6"/>
    <w:rsid w:val="00352C93"/>
    <w:rsid w:val="00352CA4"/>
    <w:rsid w:val="00352DF2"/>
    <w:rsid w:val="00352EC6"/>
    <w:rsid w:val="00352EEA"/>
    <w:rsid w:val="00352EEB"/>
    <w:rsid w:val="00352F70"/>
    <w:rsid w:val="00353176"/>
    <w:rsid w:val="00353281"/>
    <w:rsid w:val="0035334F"/>
    <w:rsid w:val="00353547"/>
    <w:rsid w:val="0035354F"/>
    <w:rsid w:val="00353578"/>
    <w:rsid w:val="00353675"/>
    <w:rsid w:val="00353927"/>
    <w:rsid w:val="003539F5"/>
    <w:rsid w:val="00353ABF"/>
    <w:rsid w:val="00353B6C"/>
    <w:rsid w:val="00353B85"/>
    <w:rsid w:val="00353DCE"/>
    <w:rsid w:val="00353DD4"/>
    <w:rsid w:val="00353E32"/>
    <w:rsid w:val="00353E5E"/>
    <w:rsid w:val="00353F0A"/>
    <w:rsid w:val="00353F39"/>
    <w:rsid w:val="00353FCD"/>
    <w:rsid w:val="0035402C"/>
    <w:rsid w:val="003540DD"/>
    <w:rsid w:val="003540EA"/>
    <w:rsid w:val="00354101"/>
    <w:rsid w:val="0035422E"/>
    <w:rsid w:val="0035429A"/>
    <w:rsid w:val="003542DD"/>
    <w:rsid w:val="00354434"/>
    <w:rsid w:val="003544C3"/>
    <w:rsid w:val="0035465B"/>
    <w:rsid w:val="00354720"/>
    <w:rsid w:val="00354752"/>
    <w:rsid w:val="003547C8"/>
    <w:rsid w:val="00354935"/>
    <w:rsid w:val="00354981"/>
    <w:rsid w:val="00354BB0"/>
    <w:rsid w:val="00354BD4"/>
    <w:rsid w:val="00354BF4"/>
    <w:rsid w:val="00354C10"/>
    <w:rsid w:val="00354D8C"/>
    <w:rsid w:val="00354EAD"/>
    <w:rsid w:val="00354F7C"/>
    <w:rsid w:val="00354FC1"/>
    <w:rsid w:val="00354FD0"/>
    <w:rsid w:val="00355032"/>
    <w:rsid w:val="003550FD"/>
    <w:rsid w:val="0035514D"/>
    <w:rsid w:val="003551AF"/>
    <w:rsid w:val="003552A0"/>
    <w:rsid w:val="003552A7"/>
    <w:rsid w:val="0035538C"/>
    <w:rsid w:val="00355624"/>
    <w:rsid w:val="003556C4"/>
    <w:rsid w:val="003556E3"/>
    <w:rsid w:val="0035581F"/>
    <w:rsid w:val="00355882"/>
    <w:rsid w:val="00355893"/>
    <w:rsid w:val="0035594F"/>
    <w:rsid w:val="00355C9B"/>
    <w:rsid w:val="00355D27"/>
    <w:rsid w:val="00355E0E"/>
    <w:rsid w:val="00355F12"/>
    <w:rsid w:val="00355F86"/>
    <w:rsid w:val="00355FC1"/>
    <w:rsid w:val="0035621C"/>
    <w:rsid w:val="00356261"/>
    <w:rsid w:val="003563CC"/>
    <w:rsid w:val="0035642F"/>
    <w:rsid w:val="00356517"/>
    <w:rsid w:val="00356560"/>
    <w:rsid w:val="0035658A"/>
    <w:rsid w:val="0035665A"/>
    <w:rsid w:val="003566B3"/>
    <w:rsid w:val="003567E1"/>
    <w:rsid w:val="003568B3"/>
    <w:rsid w:val="00356A5D"/>
    <w:rsid w:val="00356A9C"/>
    <w:rsid w:val="00356E96"/>
    <w:rsid w:val="00356E97"/>
    <w:rsid w:val="00356ECC"/>
    <w:rsid w:val="00356FAC"/>
    <w:rsid w:val="00356FC4"/>
    <w:rsid w:val="00357062"/>
    <w:rsid w:val="00357100"/>
    <w:rsid w:val="00357172"/>
    <w:rsid w:val="00357253"/>
    <w:rsid w:val="00357273"/>
    <w:rsid w:val="00357584"/>
    <w:rsid w:val="0035762B"/>
    <w:rsid w:val="00357639"/>
    <w:rsid w:val="003576E6"/>
    <w:rsid w:val="00357741"/>
    <w:rsid w:val="00357763"/>
    <w:rsid w:val="00357764"/>
    <w:rsid w:val="0035780D"/>
    <w:rsid w:val="003578D3"/>
    <w:rsid w:val="00357B3D"/>
    <w:rsid w:val="00357C58"/>
    <w:rsid w:val="00357CE2"/>
    <w:rsid w:val="00357D14"/>
    <w:rsid w:val="00357D29"/>
    <w:rsid w:val="00357D43"/>
    <w:rsid w:val="00357DB9"/>
    <w:rsid w:val="00357DFB"/>
    <w:rsid w:val="00357E3A"/>
    <w:rsid w:val="00357E69"/>
    <w:rsid w:val="00357FC7"/>
    <w:rsid w:val="0036000C"/>
    <w:rsid w:val="0036012F"/>
    <w:rsid w:val="00360222"/>
    <w:rsid w:val="00360413"/>
    <w:rsid w:val="00360642"/>
    <w:rsid w:val="0036099F"/>
    <w:rsid w:val="00360B7F"/>
    <w:rsid w:val="00360C76"/>
    <w:rsid w:val="00360CC7"/>
    <w:rsid w:val="00360E9F"/>
    <w:rsid w:val="0036114A"/>
    <w:rsid w:val="003612F6"/>
    <w:rsid w:val="00361340"/>
    <w:rsid w:val="0036154D"/>
    <w:rsid w:val="003615B9"/>
    <w:rsid w:val="003615DB"/>
    <w:rsid w:val="00361707"/>
    <w:rsid w:val="00361A47"/>
    <w:rsid w:val="00361B2F"/>
    <w:rsid w:val="00361DC4"/>
    <w:rsid w:val="00361E35"/>
    <w:rsid w:val="003620EC"/>
    <w:rsid w:val="0036210D"/>
    <w:rsid w:val="0036213F"/>
    <w:rsid w:val="00362243"/>
    <w:rsid w:val="00362322"/>
    <w:rsid w:val="00362334"/>
    <w:rsid w:val="003623AE"/>
    <w:rsid w:val="003623CE"/>
    <w:rsid w:val="00362748"/>
    <w:rsid w:val="003628B7"/>
    <w:rsid w:val="003628ED"/>
    <w:rsid w:val="00362906"/>
    <w:rsid w:val="003629D3"/>
    <w:rsid w:val="00362A59"/>
    <w:rsid w:val="00362A8C"/>
    <w:rsid w:val="00362AE1"/>
    <w:rsid w:val="00362AFC"/>
    <w:rsid w:val="00362CDA"/>
    <w:rsid w:val="00362D45"/>
    <w:rsid w:val="00362E3C"/>
    <w:rsid w:val="00362EA3"/>
    <w:rsid w:val="00362EF4"/>
    <w:rsid w:val="003631D3"/>
    <w:rsid w:val="003633A4"/>
    <w:rsid w:val="00363548"/>
    <w:rsid w:val="003635CE"/>
    <w:rsid w:val="00363638"/>
    <w:rsid w:val="003636C2"/>
    <w:rsid w:val="0036383C"/>
    <w:rsid w:val="00363855"/>
    <w:rsid w:val="003638F4"/>
    <w:rsid w:val="00363916"/>
    <w:rsid w:val="00363939"/>
    <w:rsid w:val="0036399B"/>
    <w:rsid w:val="00363B74"/>
    <w:rsid w:val="00363BB1"/>
    <w:rsid w:val="00363C4D"/>
    <w:rsid w:val="00363D61"/>
    <w:rsid w:val="00363E29"/>
    <w:rsid w:val="00363EAD"/>
    <w:rsid w:val="00363EE3"/>
    <w:rsid w:val="0036433B"/>
    <w:rsid w:val="0036438C"/>
    <w:rsid w:val="00364443"/>
    <w:rsid w:val="00364480"/>
    <w:rsid w:val="00364599"/>
    <w:rsid w:val="00364630"/>
    <w:rsid w:val="0036478D"/>
    <w:rsid w:val="00364917"/>
    <w:rsid w:val="003649A2"/>
    <w:rsid w:val="00364AAF"/>
    <w:rsid w:val="00364BC4"/>
    <w:rsid w:val="00364C0A"/>
    <w:rsid w:val="00364CC3"/>
    <w:rsid w:val="00364D94"/>
    <w:rsid w:val="00364E1E"/>
    <w:rsid w:val="00364EBA"/>
    <w:rsid w:val="00365157"/>
    <w:rsid w:val="00365258"/>
    <w:rsid w:val="0036525F"/>
    <w:rsid w:val="0036566D"/>
    <w:rsid w:val="00365697"/>
    <w:rsid w:val="00365793"/>
    <w:rsid w:val="003657D5"/>
    <w:rsid w:val="003658E9"/>
    <w:rsid w:val="00365918"/>
    <w:rsid w:val="00365932"/>
    <w:rsid w:val="00365958"/>
    <w:rsid w:val="00365975"/>
    <w:rsid w:val="00365B7A"/>
    <w:rsid w:val="00365BCE"/>
    <w:rsid w:val="00365C07"/>
    <w:rsid w:val="00365CC5"/>
    <w:rsid w:val="00365DCA"/>
    <w:rsid w:val="00365E90"/>
    <w:rsid w:val="00365EB8"/>
    <w:rsid w:val="00365F30"/>
    <w:rsid w:val="003661A8"/>
    <w:rsid w:val="00366412"/>
    <w:rsid w:val="0036646E"/>
    <w:rsid w:val="00366493"/>
    <w:rsid w:val="00366509"/>
    <w:rsid w:val="00366588"/>
    <w:rsid w:val="003665BA"/>
    <w:rsid w:val="003665CF"/>
    <w:rsid w:val="00366699"/>
    <w:rsid w:val="00366707"/>
    <w:rsid w:val="0036675F"/>
    <w:rsid w:val="00366771"/>
    <w:rsid w:val="003668DA"/>
    <w:rsid w:val="00366911"/>
    <w:rsid w:val="0036696F"/>
    <w:rsid w:val="003669A9"/>
    <w:rsid w:val="003669D5"/>
    <w:rsid w:val="00366B55"/>
    <w:rsid w:val="00366BBA"/>
    <w:rsid w:val="00366C74"/>
    <w:rsid w:val="00366DDA"/>
    <w:rsid w:val="00366DDD"/>
    <w:rsid w:val="00366E78"/>
    <w:rsid w:val="00366F27"/>
    <w:rsid w:val="00366F3D"/>
    <w:rsid w:val="00366F60"/>
    <w:rsid w:val="00367435"/>
    <w:rsid w:val="0036754F"/>
    <w:rsid w:val="003675EC"/>
    <w:rsid w:val="0036781A"/>
    <w:rsid w:val="00367829"/>
    <w:rsid w:val="003678E5"/>
    <w:rsid w:val="00367C30"/>
    <w:rsid w:val="00367C44"/>
    <w:rsid w:val="00367D50"/>
    <w:rsid w:val="00367DA6"/>
    <w:rsid w:val="00367E5C"/>
    <w:rsid w:val="00367F61"/>
    <w:rsid w:val="00367FCF"/>
    <w:rsid w:val="00370043"/>
    <w:rsid w:val="003700D6"/>
    <w:rsid w:val="00370274"/>
    <w:rsid w:val="0037030E"/>
    <w:rsid w:val="00370347"/>
    <w:rsid w:val="00370382"/>
    <w:rsid w:val="00370464"/>
    <w:rsid w:val="00370467"/>
    <w:rsid w:val="003706AC"/>
    <w:rsid w:val="0037070E"/>
    <w:rsid w:val="003708C8"/>
    <w:rsid w:val="00370A50"/>
    <w:rsid w:val="00370AB5"/>
    <w:rsid w:val="00370AB7"/>
    <w:rsid w:val="00370B30"/>
    <w:rsid w:val="00370B3C"/>
    <w:rsid w:val="00370BA2"/>
    <w:rsid w:val="00370C27"/>
    <w:rsid w:val="00370D35"/>
    <w:rsid w:val="00370D3A"/>
    <w:rsid w:val="00370E7A"/>
    <w:rsid w:val="00370F7A"/>
    <w:rsid w:val="00370F98"/>
    <w:rsid w:val="00371028"/>
    <w:rsid w:val="00371434"/>
    <w:rsid w:val="00371898"/>
    <w:rsid w:val="00371B40"/>
    <w:rsid w:val="00371B8D"/>
    <w:rsid w:val="00371C92"/>
    <w:rsid w:val="00371DEA"/>
    <w:rsid w:val="00372030"/>
    <w:rsid w:val="003720A3"/>
    <w:rsid w:val="0037210F"/>
    <w:rsid w:val="00372254"/>
    <w:rsid w:val="00372300"/>
    <w:rsid w:val="003723C8"/>
    <w:rsid w:val="003724AA"/>
    <w:rsid w:val="0037260A"/>
    <w:rsid w:val="00372699"/>
    <w:rsid w:val="003727DF"/>
    <w:rsid w:val="003727F1"/>
    <w:rsid w:val="00372805"/>
    <w:rsid w:val="00372BBF"/>
    <w:rsid w:val="00372C58"/>
    <w:rsid w:val="00372E0E"/>
    <w:rsid w:val="00372EFE"/>
    <w:rsid w:val="00372F07"/>
    <w:rsid w:val="003730A2"/>
    <w:rsid w:val="003730E6"/>
    <w:rsid w:val="003731C2"/>
    <w:rsid w:val="003732A5"/>
    <w:rsid w:val="00373331"/>
    <w:rsid w:val="003735F9"/>
    <w:rsid w:val="0037368A"/>
    <w:rsid w:val="003737B1"/>
    <w:rsid w:val="0037389F"/>
    <w:rsid w:val="003739B1"/>
    <w:rsid w:val="003739FC"/>
    <w:rsid w:val="00373A56"/>
    <w:rsid w:val="00373AAD"/>
    <w:rsid w:val="00373B9C"/>
    <w:rsid w:val="00373C04"/>
    <w:rsid w:val="00373C18"/>
    <w:rsid w:val="00373C5B"/>
    <w:rsid w:val="00373D5E"/>
    <w:rsid w:val="00373DEE"/>
    <w:rsid w:val="00373DFA"/>
    <w:rsid w:val="0037415E"/>
    <w:rsid w:val="003742A5"/>
    <w:rsid w:val="003742D7"/>
    <w:rsid w:val="0037431A"/>
    <w:rsid w:val="00374389"/>
    <w:rsid w:val="00374634"/>
    <w:rsid w:val="00374661"/>
    <w:rsid w:val="00374688"/>
    <w:rsid w:val="003746A2"/>
    <w:rsid w:val="0037489F"/>
    <w:rsid w:val="0037490D"/>
    <w:rsid w:val="00374997"/>
    <w:rsid w:val="003749EB"/>
    <w:rsid w:val="00374A1C"/>
    <w:rsid w:val="00374AD2"/>
    <w:rsid w:val="00374BCB"/>
    <w:rsid w:val="00375036"/>
    <w:rsid w:val="00375054"/>
    <w:rsid w:val="003750A7"/>
    <w:rsid w:val="00375185"/>
    <w:rsid w:val="003755B3"/>
    <w:rsid w:val="00375630"/>
    <w:rsid w:val="003756BF"/>
    <w:rsid w:val="003756EB"/>
    <w:rsid w:val="00375727"/>
    <w:rsid w:val="003757CE"/>
    <w:rsid w:val="00375838"/>
    <w:rsid w:val="0037589C"/>
    <w:rsid w:val="00375AB8"/>
    <w:rsid w:val="00375B36"/>
    <w:rsid w:val="00375BE6"/>
    <w:rsid w:val="00375C16"/>
    <w:rsid w:val="00375CFD"/>
    <w:rsid w:val="00376133"/>
    <w:rsid w:val="003761D3"/>
    <w:rsid w:val="00376227"/>
    <w:rsid w:val="003764DB"/>
    <w:rsid w:val="0037660E"/>
    <w:rsid w:val="003766EB"/>
    <w:rsid w:val="003768EB"/>
    <w:rsid w:val="003769E0"/>
    <w:rsid w:val="00376A20"/>
    <w:rsid w:val="00376AD4"/>
    <w:rsid w:val="00376CF8"/>
    <w:rsid w:val="00376D85"/>
    <w:rsid w:val="00376DA7"/>
    <w:rsid w:val="00376E8B"/>
    <w:rsid w:val="00376ED1"/>
    <w:rsid w:val="00376F40"/>
    <w:rsid w:val="00376FA9"/>
    <w:rsid w:val="00376FB8"/>
    <w:rsid w:val="00376FE6"/>
    <w:rsid w:val="003770CB"/>
    <w:rsid w:val="003771D4"/>
    <w:rsid w:val="00377396"/>
    <w:rsid w:val="003773BE"/>
    <w:rsid w:val="003773E0"/>
    <w:rsid w:val="00377427"/>
    <w:rsid w:val="00377448"/>
    <w:rsid w:val="0037774E"/>
    <w:rsid w:val="00377BB1"/>
    <w:rsid w:val="00377BFE"/>
    <w:rsid w:val="00377C48"/>
    <w:rsid w:val="00377D84"/>
    <w:rsid w:val="00377E27"/>
    <w:rsid w:val="00377EE9"/>
    <w:rsid w:val="00377F6B"/>
    <w:rsid w:val="00380010"/>
    <w:rsid w:val="0038025F"/>
    <w:rsid w:val="003802AF"/>
    <w:rsid w:val="00380358"/>
    <w:rsid w:val="00380393"/>
    <w:rsid w:val="003803BB"/>
    <w:rsid w:val="00380594"/>
    <w:rsid w:val="0038064F"/>
    <w:rsid w:val="0038077F"/>
    <w:rsid w:val="003807A8"/>
    <w:rsid w:val="003807B4"/>
    <w:rsid w:val="0038080B"/>
    <w:rsid w:val="003808FD"/>
    <w:rsid w:val="00380909"/>
    <w:rsid w:val="00380955"/>
    <w:rsid w:val="00380A0A"/>
    <w:rsid w:val="00380AC6"/>
    <w:rsid w:val="00380C8E"/>
    <w:rsid w:val="00380D0C"/>
    <w:rsid w:val="00380E09"/>
    <w:rsid w:val="00380EEA"/>
    <w:rsid w:val="00380F83"/>
    <w:rsid w:val="00380FCE"/>
    <w:rsid w:val="00380FEB"/>
    <w:rsid w:val="003810B0"/>
    <w:rsid w:val="00381128"/>
    <w:rsid w:val="0038115B"/>
    <w:rsid w:val="003811DA"/>
    <w:rsid w:val="00381228"/>
    <w:rsid w:val="00381310"/>
    <w:rsid w:val="00381378"/>
    <w:rsid w:val="00381405"/>
    <w:rsid w:val="003814D5"/>
    <w:rsid w:val="003815BF"/>
    <w:rsid w:val="00381647"/>
    <w:rsid w:val="003816E5"/>
    <w:rsid w:val="0038173C"/>
    <w:rsid w:val="00381768"/>
    <w:rsid w:val="003818BF"/>
    <w:rsid w:val="00381978"/>
    <w:rsid w:val="00381A93"/>
    <w:rsid w:val="00381D0E"/>
    <w:rsid w:val="00381E34"/>
    <w:rsid w:val="00381E43"/>
    <w:rsid w:val="00381FCF"/>
    <w:rsid w:val="0038203A"/>
    <w:rsid w:val="0038216E"/>
    <w:rsid w:val="003822FC"/>
    <w:rsid w:val="00382365"/>
    <w:rsid w:val="00382469"/>
    <w:rsid w:val="0038255B"/>
    <w:rsid w:val="003825DE"/>
    <w:rsid w:val="0038273A"/>
    <w:rsid w:val="0038276D"/>
    <w:rsid w:val="003827A2"/>
    <w:rsid w:val="003827B0"/>
    <w:rsid w:val="003828AD"/>
    <w:rsid w:val="0038295D"/>
    <w:rsid w:val="00382A04"/>
    <w:rsid w:val="00382AB2"/>
    <w:rsid w:val="00382AB6"/>
    <w:rsid w:val="00382D0B"/>
    <w:rsid w:val="00382DD6"/>
    <w:rsid w:val="00382F0D"/>
    <w:rsid w:val="00382FBA"/>
    <w:rsid w:val="0038301E"/>
    <w:rsid w:val="00383135"/>
    <w:rsid w:val="00383350"/>
    <w:rsid w:val="0038345A"/>
    <w:rsid w:val="0038364A"/>
    <w:rsid w:val="00383700"/>
    <w:rsid w:val="00383744"/>
    <w:rsid w:val="003837B6"/>
    <w:rsid w:val="003837F1"/>
    <w:rsid w:val="00383806"/>
    <w:rsid w:val="0038393F"/>
    <w:rsid w:val="00383D3A"/>
    <w:rsid w:val="00383F7C"/>
    <w:rsid w:val="00384003"/>
    <w:rsid w:val="00384182"/>
    <w:rsid w:val="003842E5"/>
    <w:rsid w:val="0038450F"/>
    <w:rsid w:val="003846FA"/>
    <w:rsid w:val="00384718"/>
    <w:rsid w:val="0038476F"/>
    <w:rsid w:val="00384774"/>
    <w:rsid w:val="00384A9F"/>
    <w:rsid w:val="00384AF3"/>
    <w:rsid w:val="00384B14"/>
    <w:rsid w:val="00384B63"/>
    <w:rsid w:val="00384B6B"/>
    <w:rsid w:val="00384B6C"/>
    <w:rsid w:val="00384CE6"/>
    <w:rsid w:val="00384D02"/>
    <w:rsid w:val="00384DA2"/>
    <w:rsid w:val="00384DBA"/>
    <w:rsid w:val="00384DD8"/>
    <w:rsid w:val="00384EAC"/>
    <w:rsid w:val="00385104"/>
    <w:rsid w:val="003851FB"/>
    <w:rsid w:val="00385300"/>
    <w:rsid w:val="003853DC"/>
    <w:rsid w:val="00385430"/>
    <w:rsid w:val="0038545F"/>
    <w:rsid w:val="003854C0"/>
    <w:rsid w:val="00385519"/>
    <w:rsid w:val="003855CA"/>
    <w:rsid w:val="003858E2"/>
    <w:rsid w:val="003858E6"/>
    <w:rsid w:val="00385B29"/>
    <w:rsid w:val="00385B8C"/>
    <w:rsid w:val="00385E28"/>
    <w:rsid w:val="00385FBF"/>
    <w:rsid w:val="00386066"/>
    <w:rsid w:val="003860BD"/>
    <w:rsid w:val="0038610C"/>
    <w:rsid w:val="0038613B"/>
    <w:rsid w:val="00386230"/>
    <w:rsid w:val="00386402"/>
    <w:rsid w:val="00386444"/>
    <w:rsid w:val="0038644E"/>
    <w:rsid w:val="00386532"/>
    <w:rsid w:val="003865C7"/>
    <w:rsid w:val="003865E3"/>
    <w:rsid w:val="00386609"/>
    <w:rsid w:val="0038661D"/>
    <w:rsid w:val="003867AB"/>
    <w:rsid w:val="0038684D"/>
    <w:rsid w:val="00386A02"/>
    <w:rsid w:val="00386B21"/>
    <w:rsid w:val="00386BDD"/>
    <w:rsid w:val="00386C34"/>
    <w:rsid w:val="00386D6F"/>
    <w:rsid w:val="00386E25"/>
    <w:rsid w:val="00386E2D"/>
    <w:rsid w:val="00386E45"/>
    <w:rsid w:val="00386E6C"/>
    <w:rsid w:val="00386E8C"/>
    <w:rsid w:val="00386E92"/>
    <w:rsid w:val="00386EC8"/>
    <w:rsid w:val="00386F10"/>
    <w:rsid w:val="00387067"/>
    <w:rsid w:val="003870D6"/>
    <w:rsid w:val="00387526"/>
    <w:rsid w:val="00387609"/>
    <w:rsid w:val="00387671"/>
    <w:rsid w:val="003876B8"/>
    <w:rsid w:val="0038771A"/>
    <w:rsid w:val="00387753"/>
    <w:rsid w:val="0038786B"/>
    <w:rsid w:val="00387923"/>
    <w:rsid w:val="0038798B"/>
    <w:rsid w:val="0038798D"/>
    <w:rsid w:val="00387DE3"/>
    <w:rsid w:val="00387E58"/>
    <w:rsid w:val="00387F1E"/>
    <w:rsid w:val="00387F77"/>
    <w:rsid w:val="003900E4"/>
    <w:rsid w:val="003903D6"/>
    <w:rsid w:val="0039040C"/>
    <w:rsid w:val="00390471"/>
    <w:rsid w:val="003904F1"/>
    <w:rsid w:val="003906EE"/>
    <w:rsid w:val="003906FD"/>
    <w:rsid w:val="00390752"/>
    <w:rsid w:val="00390761"/>
    <w:rsid w:val="0039091B"/>
    <w:rsid w:val="00390973"/>
    <w:rsid w:val="00390C3B"/>
    <w:rsid w:val="00390C59"/>
    <w:rsid w:val="00390F54"/>
    <w:rsid w:val="00391060"/>
    <w:rsid w:val="003910F1"/>
    <w:rsid w:val="003910FB"/>
    <w:rsid w:val="0039114D"/>
    <w:rsid w:val="00391184"/>
    <w:rsid w:val="003911DB"/>
    <w:rsid w:val="0039124D"/>
    <w:rsid w:val="0039127C"/>
    <w:rsid w:val="003912CA"/>
    <w:rsid w:val="0039130B"/>
    <w:rsid w:val="0039140F"/>
    <w:rsid w:val="00391526"/>
    <w:rsid w:val="0039157C"/>
    <w:rsid w:val="0039159B"/>
    <w:rsid w:val="0039164F"/>
    <w:rsid w:val="00391711"/>
    <w:rsid w:val="003917E2"/>
    <w:rsid w:val="0039189A"/>
    <w:rsid w:val="00391C15"/>
    <w:rsid w:val="00391CAC"/>
    <w:rsid w:val="00391CE5"/>
    <w:rsid w:val="00391D4A"/>
    <w:rsid w:val="00391D4D"/>
    <w:rsid w:val="00391D55"/>
    <w:rsid w:val="00391D9F"/>
    <w:rsid w:val="00391EAE"/>
    <w:rsid w:val="00391F86"/>
    <w:rsid w:val="00391FA6"/>
    <w:rsid w:val="00391FD1"/>
    <w:rsid w:val="00391FF8"/>
    <w:rsid w:val="0039207E"/>
    <w:rsid w:val="003920AD"/>
    <w:rsid w:val="003921C3"/>
    <w:rsid w:val="00392216"/>
    <w:rsid w:val="003922D5"/>
    <w:rsid w:val="0039233D"/>
    <w:rsid w:val="00392388"/>
    <w:rsid w:val="003923C6"/>
    <w:rsid w:val="003924AF"/>
    <w:rsid w:val="00392614"/>
    <w:rsid w:val="003928DC"/>
    <w:rsid w:val="00392961"/>
    <w:rsid w:val="003929DE"/>
    <w:rsid w:val="00392A5F"/>
    <w:rsid w:val="00392AC7"/>
    <w:rsid w:val="00392BCD"/>
    <w:rsid w:val="00392C7A"/>
    <w:rsid w:val="00392C8E"/>
    <w:rsid w:val="00392E8E"/>
    <w:rsid w:val="00392F4A"/>
    <w:rsid w:val="00392FF4"/>
    <w:rsid w:val="003930F3"/>
    <w:rsid w:val="0039317E"/>
    <w:rsid w:val="003932BB"/>
    <w:rsid w:val="0039338B"/>
    <w:rsid w:val="0039350A"/>
    <w:rsid w:val="0039352D"/>
    <w:rsid w:val="003935E4"/>
    <w:rsid w:val="0039365B"/>
    <w:rsid w:val="003936A1"/>
    <w:rsid w:val="003937A7"/>
    <w:rsid w:val="0039383E"/>
    <w:rsid w:val="00393842"/>
    <w:rsid w:val="00393893"/>
    <w:rsid w:val="003938C0"/>
    <w:rsid w:val="00393902"/>
    <w:rsid w:val="003939B4"/>
    <w:rsid w:val="00393AE6"/>
    <w:rsid w:val="00393B07"/>
    <w:rsid w:val="00393F47"/>
    <w:rsid w:val="00393FE8"/>
    <w:rsid w:val="00394060"/>
    <w:rsid w:val="0039406F"/>
    <w:rsid w:val="00394079"/>
    <w:rsid w:val="0039409B"/>
    <w:rsid w:val="003941C0"/>
    <w:rsid w:val="003941DF"/>
    <w:rsid w:val="00394390"/>
    <w:rsid w:val="00394414"/>
    <w:rsid w:val="00394444"/>
    <w:rsid w:val="003944EB"/>
    <w:rsid w:val="003945A9"/>
    <w:rsid w:val="003946CF"/>
    <w:rsid w:val="003946D1"/>
    <w:rsid w:val="00394883"/>
    <w:rsid w:val="0039499F"/>
    <w:rsid w:val="003949D3"/>
    <w:rsid w:val="00394A64"/>
    <w:rsid w:val="00394B81"/>
    <w:rsid w:val="00394C60"/>
    <w:rsid w:val="00394DBC"/>
    <w:rsid w:val="00394DF9"/>
    <w:rsid w:val="00394F14"/>
    <w:rsid w:val="00394F6F"/>
    <w:rsid w:val="0039500B"/>
    <w:rsid w:val="00395213"/>
    <w:rsid w:val="003953C5"/>
    <w:rsid w:val="00395538"/>
    <w:rsid w:val="003955A7"/>
    <w:rsid w:val="003955B6"/>
    <w:rsid w:val="003955F2"/>
    <w:rsid w:val="00395614"/>
    <w:rsid w:val="0039564F"/>
    <w:rsid w:val="00395818"/>
    <w:rsid w:val="00395833"/>
    <w:rsid w:val="00395895"/>
    <w:rsid w:val="003958C2"/>
    <w:rsid w:val="003958C3"/>
    <w:rsid w:val="0039595C"/>
    <w:rsid w:val="00395960"/>
    <w:rsid w:val="00395A24"/>
    <w:rsid w:val="00395AAF"/>
    <w:rsid w:val="00395D3B"/>
    <w:rsid w:val="00395DF7"/>
    <w:rsid w:val="00395FAE"/>
    <w:rsid w:val="00395FF7"/>
    <w:rsid w:val="0039621A"/>
    <w:rsid w:val="00396356"/>
    <w:rsid w:val="003965B5"/>
    <w:rsid w:val="0039662F"/>
    <w:rsid w:val="00396661"/>
    <w:rsid w:val="00396834"/>
    <w:rsid w:val="00396878"/>
    <w:rsid w:val="003968D4"/>
    <w:rsid w:val="00396A77"/>
    <w:rsid w:val="00396C77"/>
    <w:rsid w:val="00396CBB"/>
    <w:rsid w:val="00396CE4"/>
    <w:rsid w:val="00396D94"/>
    <w:rsid w:val="00396DE5"/>
    <w:rsid w:val="00396E8C"/>
    <w:rsid w:val="00396F9F"/>
    <w:rsid w:val="00396FFE"/>
    <w:rsid w:val="003970CE"/>
    <w:rsid w:val="00397288"/>
    <w:rsid w:val="00397301"/>
    <w:rsid w:val="0039733F"/>
    <w:rsid w:val="00397379"/>
    <w:rsid w:val="0039751B"/>
    <w:rsid w:val="00397535"/>
    <w:rsid w:val="00397548"/>
    <w:rsid w:val="0039763F"/>
    <w:rsid w:val="0039780C"/>
    <w:rsid w:val="003978ED"/>
    <w:rsid w:val="00397CF4"/>
    <w:rsid w:val="00397D42"/>
    <w:rsid w:val="00397D6A"/>
    <w:rsid w:val="00397D81"/>
    <w:rsid w:val="00397DD5"/>
    <w:rsid w:val="00397EF4"/>
    <w:rsid w:val="00397F6E"/>
    <w:rsid w:val="00397F77"/>
    <w:rsid w:val="003A00FC"/>
    <w:rsid w:val="003A0421"/>
    <w:rsid w:val="003A080A"/>
    <w:rsid w:val="003A087C"/>
    <w:rsid w:val="003A09DB"/>
    <w:rsid w:val="003A0D06"/>
    <w:rsid w:val="003A0D36"/>
    <w:rsid w:val="003A0D75"/>
    <w:rsid w:val="003A0FCE"/>
    <w:rsid w:val="003A11C0"/>
    <w:rsid w:val="003A1428"/>
    <w:rsid w:val="003A14BB"/>
    <w:rsid w:val="003A1590"/>
    <w:rsid w:val="003A167C"/>
    <w:rsid w:val="003A1901"/>
    <w:rsid w:val="003A1B8A"/>
    <w:rsid w:val="003A1D1C"/>
    <w:rsid w:val="003A1F5A"/>
    <w:rsid w:val="003A2010"/>
    <w:rsid w:val="003A2057"/>
    <w:rsid w:val="003A20EA"/>
    <w:rsid w:val="003A2139"/>
    <w:rsid w:val="003A2204"/>
    <w:rsid w:val="003A22A0"/>
    <w:rsid w:val="003A2354"/>
    <w:rsid w:val="003A2501"/>
    <w:rsid w:val="003A25C4"/>
    <w:rsid w:val="003A2604"/>
    <w:rsid w:val="003A2669"/>
    <w:rsid w:val="003A2690"/>
    <w:rsid w:val="003A2693"/>
    <w:rsid w:val="003A271A"/>
    <w:rsid w:val="003A286C"/>
    <w:rsid w:val="003A2B7B"/>
    <w:rsid w:val="003A2C50"/>
    <w:rsid w:val="003A2C5F"/>
    <w:rsid w:val="003A2E9C"/>
    <w:rsid w:val="003A2F24"/>
    <w:rsid w:val="003A2F76"/>
    <w:rsid w:val="003A3036"/>
    <w:rsid w:val="003A3038"/>
    <w:rsid w:val="003A30EA"/>
    <w:rsid w:val="003A32A3"/>
    <w:rsid w:val="003A3341"/>
    <w:rsid w:val="003A34CA"/>
    <w:rsid w:val="003A35AF"/>
    <w:rsid w:val="003A3694"/>
    <w:rsid w:val="003A3818"/>
    <w:rsid w:val="003A3A6B"/>
    <w:rsid w:val="003A3B58"/>
    <w:rsid w:val="003A3B74"/>
    <w:rsid w:val="003A3BE8"/>
    <w:rsid w:val="003A3E0F"/>
    <w:rsid w:val="003A3F2F"/>
    <w:rsid w:val="003A3F81"/>
    <w:rsid w:val="003A414C"/>
    <w:rsid w:val="003A417F"/>
    <w:rsid w:val="003A41C1"/>
    <w:rsid w:val="003A4276"/>
    <w:rsid w:val="003A433D"/>
    <w:rsid w:val="003A4410"/>
    <w:rsid w:val="003A4420"/>
    <w:rsid w:val="003A4502"/>
    <w:rsid w:val="003A46E7"/>
    <w:rsid w:val="003A46FD"/>
    <w:rsid w:val="003A4757"/>
    <w:rsid w:val="003A487E"/>
    <w:rsid w:val="003A4930"/>
    <w:rsid w:val="003A4C01"/>
    <w:rsid w:val="003A4C1B"/>
    <w:rsid w:val="003A4D7A"/>
    <w:rsid w:val="003A4DA0"/>
    <w:rsid w:val="003A4DA2"/>
    <w:rsid w:val="003A4F2E"/>
    <w:rsid w:val="003A4F4B"/>
    <w:rsid w:val="003A4FA1"/>
    <w:rsid w:val="003A5060"/>
    <w:rsid w:val="003A50B1"/>
    <w:rsid w:val="003A515E"/>
    <w:rsid w:val="003A545D"/>
    <w:rsid w:val="003A54A2"/>
    <w:rsid w:val="003A5924"/>
    <w:rsid w:val="003A592A"/>
    <w:rsid w:val="003A59BE"/>
    <w:rsid w:val="003A5A32"/>
    <w:rsid w:val="003A5AC0"/>
    <w:rsid w:val="003A5B53"/>
    <w:rsid w:val="003A5BA7"/>
    <w:rsid w:val="003A5BC3"/>
    <w:rsid w:val="003A5D4D"/>
    <w:rsid w:val="003A5DEE"/>
    <w:rsid w:val="003A5E25"/>
    <w:rsid w:val="003A5E46"/>
    <w:rsid w:val="003A5EAC"/>
    <w:rsid w:val="003A5EF4"/>
    <w:rsid w:val="003A5FAC"/>
    <w:rsid w:val="003A61F7"/>
    <w:rsid w:val="003A6287"/>
    <w:rsid w:val="003A63AC"/>
    <w:rsid w:val="003A63C1"/>
    <w:rsid w:val="003A64C1"/>
    <w:rsid w:val="003A6543"/>
    <w:rsid w:val="003A65CD"/>
    <w:rsid w:val="003A65EC"/>
    <w:rsid w:val="003A6626"/>
    <w:rsid w:val="003A6805"/>
    <w:rsid w:val="003A69DC"/>
    <w:rsid w:val="003A6A35"/>
    <w:rsid w:val="003A6A94"/>
    <w:rsid w:val="003A6AD3"/>
    <w:rsid w:val="003A6B25"/>
    <w:rsid w:val="003A6B99"/>
    <w:rsid w:val="003A6CA0"/>
    <w:rsid w:val="003A6F41"/>
    <w:rsid w:val="003A7005"/>
    <w:rsid w:val="003A71DF"/>
    <w:rsid w:val="003A71F7"/>
    <w:rsid w:val="003A7265"/>
    <w:rsid w:val="003A73F9"/>
    <w:rsid w:val="003A7452"/>
    <w:rsid w:val="003A75A3"/>
    <w:rsid w:val="003A7656"/>
    <w:rsid w:val="003A7795"/>
    <w:rsid w:val="003A7822"/>
    <w:rsid w:val="003A78F4"/>
    <w:rsid w:val="003A799C"/>
    <w:rsid w:val="003A7A2C"/>
    <w:rsid w:val="003A7AB3"/>
    <w:rsid w:val="003A7AD9"/>
    <w:rsid w:val="003A7AE8"/>
    <w:rsid w:val="003A7C68"/>
    <w:rsid w:val="003A7E17"/>
    <w:rsid w:val="003A7E69"/>
    <w:rsid w:val="003B0269"/>
    <w:rsid w:val="003B034B"/>
    <w:rsid w:val="003B03FA"/>
    <w:rsid w:val="003B06B2"/>
    <w:rsid w:val="003B06B3"/>
    <w:rsid w:val="003B06BD"/>
    <w:rsid w:val="003B0786"/>
    <w:rsid w:val="003B07CB"/>
    <w:rsid w:val="003B08DA"/>
    <w:rsid w:val="003B09E8"/>
    <w:rsid w:val="003B0AFE"/>
    <w:rsid w:val="003B0B98"/>
    <w:rsid w:val="003B0E1A"/>
    <w:rsid w:val="003B117B"/>
    <w:rsid w:val="003B11A2"/>
    <w:rsid w:val="003B1226"/>
    <w:rsid w:val="003B126A"/>
    <w:rsid w:val="003B1475"/>
    <w:rsid w:val="003B151E"/>
    <w:rsid w:val="003B158D"/>
    <w:rsid w:val="003B15BD"/>
    <w:rsid w:val="003B1770"/>
    <w:rsid w:val="003B178E"/>
    <w:rsid w:val="003B1866"/>
    <w:rsid w:val="003B1933"/>
    <w:rsid w:val="003B1941"/>
    <w:rsid w:val="003B1C87"/>
    <w:rsid w:val="003B1CF5"/>
    <w:rsid w:val="003B1DDE"/>
    <w:rsid w:val="003B1DFF"/>
    <w:rsid w:val="003B1F76"/>
    <w:rsid w:val="003B206F"/>
    <w:rsid w:val="003B21A6"/>
    <w:rsid w:val="003B21B3"/>
    <w:rsid w:val="003B21DA"/>
    <w:rsid w:val="003B2264"/>
    <w:rsid w:val="003B229F"/>
    <w:rsid w:val="003B234F"/>
    <w:rsid w:val="003B2387"/>
    <w:rsid w:val="003B23EB"/>
    <w:rsid w:val="003B2654"/>
    <w:rsid w:val="003B2827"/>
    <w:rsid w:val="003B290B"/>
    <w:rsid w:val="003B2947"/>
    <w:rsid w:val="003B29A7"/>
    <w:rsid w:val="003B2A18"/>
    <w:rsid w:val="003B2DC1"/>
    <w:rsid w:val="003B2E3C"/>
    <w:rsid w:val="003B2EC4"/>
    <w:rsid w:val="003B2F44"/>
    <w:rsid w:val="003B312B"/>
    <w:rsid w:val="003B316B"/>
    <w:rsid w:val="003B3191"/>
    <w:rsid w:val="003B31C2"/>
    <w:rsid w:val="003B3225"/>
    <w:rsid w:val="003B3358"/>
    <w:rsid w:val="003B33E4"/>
    <w:rsid w:val="003B353B"/>
    <w:rsid w:val="003B3540"/>
    <w:rsid w:val="003B38AF"/>
    <w:rsid w:val="003B3AC6"/>
    <w:rsid w:val="003B3B17"/>
    <w:rsid w:val="003B3C20"/>
    <w:rsid w:val="003B3CBB"/>
    <w:rsid w:val="003B3CFA"/>
    <w:rsid w:val="003B3D3C"/>
    <w:rsid w:val="003B3EA7"/>
    <w:rsid w:val="003B3EE4"/>
    <w:rsid w:val="003B4029"/>
    <w:rsid w:val="003B409D"/>
    <w:rsid w:val="003B41B6"/>
    <w:rsid w:val="003B4299"/>
    <w:rsid w:val="003B431B"/>
    <w:rsid w:val="003B440A"/>
    <w:rsid w:val="003B4432"/>
    <w:rsid w:val="003B460C"/>
    <w:rsid w:val="003B468F"/>
    <w:rsid w:val="003B4834"/>
    <w:rsid w:val="003B4B10"/>
    <w:rsid w:val="003B4B8C"/>
    <w:rsid w:val="003B4D19"/>
    <w:rsid w:val="003B4E41"/>
    <w:rsid w:val="003B4E55"/>
    <w:rsid w:val="003B4F1C"/>
    <w:rsid w:val="003B4FF6"/>
    <w:rsid w:val="003B5043"/>
    <w:rsid w:val="003B50B1"/>
    <w:rsid w:val="003B5169"/>
    <w:rsid w:val="003B516C"/>
    <w:rsid w:val="003B549E"/>
    <w:rsid w:val="003B54DB"/>
    <w:rsid w:val="003B550D"/>
    <w:rsid w:val="003B59CA"/>
    <w:rsid w:val="003B59E3"/>
    <w:rsid w:val="003B5C1D"/>
    <w:rsid w:val="003B5D35"/>
    <w:rsid w:val="003B5D4E"/>
    <w:rsid w:val="003B5DE0"/>
    <w:rsid w:val="003B5FBE"/>
    <w:rsid w:val="003B6009"/>
    <w:rsid w:val="003B6063"/>
    <w:rsid w:val="003B6256"/>
    <w:rsid w:val="003B6294"/>
    <w:rsid w:val="003B63C7"/>
    <w:rsid w:val="003B6445"/>
    <w:rsid w:val="003B6455"/>
    <w:rsid w:val="003B64AB"/>
    <w:rsid w:val="003B6692"/>
    <w:rsid w:val="003B66A9"/>
    <w:rsid w:val="003B66C4"/>
    <w:rsid w:val="003B6C8D"/>
    <w:rsid w:val="003B6E47"/>
    <w:rsid w:val="003B7101"/>
    <w:rsid w:val="003B7196"/>
    <w:rsid w:val="003B71BC"/>
    <w:rsid w:val="003B72F8"/>
    <w:rsid w:val="003B73AC"/>
    <w:rsid w:val="003B74E9"/>
    <w:rsid w:val="003B7542"/>
    <w:rsid w:val="003B757D"/>
    <w:rsid w:val="003B76FD"/>
    <w:rsid w:val="003B78AC"/>
    <w:rsid w:val="003B79A3"/>
    <w:rsid w:val="003B7B03"/>
    <w:rsid w:val="003B7B6B"/>
    <w:rsid w:val="003B7F3F"/>
    <w:rsid w:val="003C000E"/>
    <w:rsid w:val="003C004B"/>
    <w:rsid w:val="003C0114"/>
    <w:rsid w:val="003C028F"/>
    <w:rsid w:val="003C0348"/>
    <w:rsid w:val="003C0439"/>
    <w:rsid w:val="003C0443"/>
    <w:rsid w:val="003C0499"/>
    <w:rsid w:val="003C05A4"/>
    <w:rsid w:val="003C05B9"/>
    <w:rsid w:val="003C06F7"/>
    <w:rsid w:val="003C098D"/>
    <w:rsid w:val="003C0B1A"/>
    <w:rsid w:val="003C0C69"/>
    <w:rsid w:val="003C0C85"/>
    <w:rsid w:val="003C0C8B"/>
    <w:rsid w:val="003C0DBB"/>
    <w:rsid w:val="003C0E17"/>
    <w:rsid w:val="003C0ECD"/>
    <w:rsid w:val="003C0FC2"/>
    <w:rsid w:val="003C0FF4"/>
    <w:rsid w:val="003C1028"/>
    <w:rsid w:val="003C142F"/>
    <w:rsid w:val="003C16C6"/>
    <w:rsid w:val="003C1700"/>
    <w:rsid w:val="003C1747"/>
    <w:rsid w:val="003C1A1F"/>
    <w:rsid w:val="003C1A70"/>
    <w:rsid w:val="003C1B12"/>
    <w:rsid w:val="003C1CC4"/>
    <w:rsid w:val="003C1D1B"/>
    <w:rsid w:val="003C1DCA"/>
    <w:rsid w:val="003C1FC4"/>
    <w:rsid w:val="003C1FF7"/>
    <w:rsid w:val="003C2103"/>
    <w:rsid w:val="003C228B"/>
    <w:rsid w:val="003C24CC"/>
    <w:rsid w:val="003C25FA"/>
    <w:rsid w:val="003C26DE"/>
    <w:rsid w:val="003C2763"/>
    <w:rsid w:val="003C2901"/>
    <w:rsid w:val="003C2A3D"/>
    <w:rsid w:val="003C2B67"/>
    <w:rsid w:val="003C2BE3"/>
    <w:rsid w:val="003C2E00"/>
    <w:rsid w:val="003C2E0B"/>
    <w:rsid w:val="003C2F23"/>
    <w:rsid w:val="003C2F87"/>
    <w:rsid w:val="003C3167"/>
    <w:rsid w:val="003C3262"/>
    <w:rsid w:val="003C34B0"/>
    <w:rsid w:val="003C366D"/>
    <w:rsid w:val="003C3731"/>
    <w:rsid w:val="003C3927"/>
    <w:rsid w:val="003C3950"/>
    <w:rsid w:val="003C3AB7"/>
    <w:rsid w:val="003C3ABD"/>
    <w:rsid w:val="003C3B0E"/>
    <w:rsid w:val="003C3B18"/>
    <w:rsid w:val="003C3B64"/>
    <w:rsid w:val="003C3B6E"/>
    <w:rsid w:val="003C3BBC"/>
    <w:rsid w:val="003C3D80"/>
    <w:rsid w:val="003C3F7C"/>
    <w:rsid w:val="003C3F88"/>
    <w:rsid w:val="003C41D6"/>
    <w:rsid w:val="003C4281"/>
    <w:rsid w:val="003C45C7"/>
    <w:rsid w:val="003C461A"/>
    <w:rsid w:val="003C46AC"/>
    <w:rsid w:val="003C47A1"/>
    <w:rsid w:val="003C4A26"/>
    <w:rsid w:val="003C4AA0"/>
    <w:rsid w:val="003C4AA5"/>
    <w:rsid w:val="003C4AD8"/>
    <w:rsid w:val="003C4B27"/>
    <w:rsid w:val="003C4BFD"/>
    <w:rsid w:val="003C4C6E"/>
    <w:rsid w:val="003C4C90"/>
    <w:rsid w:val="003C4D7D"/>
    <w:rsid w:val="003C4E04"/>
    <w:rsid w:val="003C4F99"/>
    <w:rsid w:val="003C4FEE"/>
    <w:rsid w:val="003C5163"/>
    <w:rsid w:val="003C5283"/>
    <w:rsid w:val="003C547D"/>
    <w:rsid w:val="003C550D"/>
    <w:rsid w:val="003C553C"/>
    <w:rsid w:val="003C556A"/>
    <w:rsid w:val="003C5879"/>
    <w:rsid w:val="003C5919"/>
    <w:rsid w:val="003C5938"/>
    <w:rsid w:val="003C5949"/>
    <w:rsid w:val="003C59F0"/>
    <w:rsid w:val="003C5B5A"/>
    <w:rsid w:val="003C5C20"/>
    <w:rsid w:val="003C5E03"/>
    <w:rsid w:val="003C5ECC"/>
    <w:rsid w:val="003C5EFF"/>
    <w:rsid w:val="003C5F4F"/>
    <w:rsid w:val="003C6144"/>
    <w:rsid w:val="003C6153"/>
    <w:rsid w:val="003C6302"/>
    <w:rsid w:val="003C6315"/>
    <w:rsid w:val="003C6428"/>
    <w:rsid w:val="003C669B"/>
    <w:rsid w:val="003C680B"/>
    <w:rsid w:val="003C6817"/>
    <w:rsid w:val="003C6902"/>
    <w:rsid w:val="003C6927"/>
    <w:rsid w:val="003C6AD5"/>
    <w:rsid w:val="003C6AEA"/>
    <w:rsid w:val="003C6BCB"/>
    <w:rsid w:val="003C6C54"/>
    <w:rsid w:val="003C6D70"/>
    <w:rsid w:val="003C6DBA"/>
    <w:rsid w:val="003C6E60"/>
    <w:rsid w:val="003C6E7A"/>
    <w:rsid w:val="003C702B"/>
    <w:rsid w:val="003C7070"/>
    <w:rsid w:val="003C70AD"/>
    <w:rsid w:val="003C7103"/>
    <w:rsid w:val="003C71C1"/>
    <w:rsid w:val="003C71E8"/>
    <w:rsid w:val="003C73CE"/>
    <w:rsid w:val="003C74F7"/>
    <w:rsid w:val="003C7624"/>
    <w:rsid w:val="003C7783"/>
    <w:rsid w:val="003C7853"/>
    <w:rsid w:val="003C7866"/>
    <w:rsid w:val="003C78AB"/>
    <w:rsid w:val="003C78C8"/>
    <w:rsid w:val="003C791A"/>
    <w:rsid w:val="003C7955"/>
    <w:rsid w:val="003C79FA"/>
    <w:rsid w:val="003C7AD3"/>
    <w:rsid w:val="003C7B2B"/>
    <w:rsid w:val="003C7BAB"/>
    <w:rsid w:val="003C7C1E"/>
    <w:rsid w:val="003C7CDA"/>
    <w:rsid w:val="003C7E7A"/>
    <w:rsid w:val="003C7E81"/>
    <w:rsid w:val="003C7E9C"/>
    <w:rsid w:val="003D007D"/>
    <w:rsid w:val="003D01B5"/>
    <w:rsid w:val="003D01D7"/>
    <w:rsid w:val="003D0401"/>
    <w:rsid w:val="003D05EE"/>
    <w:rsid w:val="003D0767"/>
    <w:rsid w:val="003D081E"/>
    <w:rsid w:val="003D0908"/>
    <w:rsid w:val="003D0953"/>
    <w:rsid w:val="003D0CBC"/>
    <w:rsid w:val="003D0CE5"/>
    <w:rsid w:val="003D0D02"/>
    <w:rsid w:val="003D0EA2"/>
    <w:rsid w:val="003D0EB0"/>
    <w:rsid w:val="003D0F1A"/>
    <w:rsid w:val="003D100E"/>
    <w:rsid w:val="003D1099"/>
    <w:rsid w:val="003D1418"/>
    <w:rsid w:val="003D1439"/>
    <w:rsid w:val="003D1456"/>
    <w:rsid w:val="003D1472"/>
    <w:rsid w:val="003D1638"/>
    <w:rsid w:val="003D1662"/>
    <w:rsid w:val="003D184B"/>
    <w:rsid w:val="003D1861"/>
    <w:rsid w:val="003D18DE"/>
    <w:rsid w:val="003D1B12"/>
    <w:rsid w:val="003D1B5B"/>
    <w:rsid w:val="003D1BE0"/>
    <w:rsid w:val="003D1D17"/>
    <w:rsid w:val="003D1D33"/>
    <w:rsid w:val="003D1D71"/>
    <w:rsid w:val="003D1F68"/>
    <w:rsid w:val="003D1F71"/>
    <w:rsid w:val="003D20B2"/>
    <w:rsid w:val="003D20FC"/>
    <w:rsid w:val="003D2127"/>
    <w:rsid w:val="003D21CC"/>
    <w:rsid w:val="003D2238"/>
    <w:rsid w:val="003D2242"/>
    <w:rsid w:val="003D2284"/>
    <w:rsid w:val="003D22E1"/>
    <w:rsid w:val="003D2330"/>
    <w:rsid w:val="003D234C"/>
    <w:rsid w:val="003D245B"/>
    <w:rsid w:val="003D24DD"/>
    <w:rsid w:val="003D24E4"/>
    <w:rsid w:val="003D2504"/>
    <w:rsid w:val="003D27EB"/>
    <w:rsid w:val="003D295B"/>
    <w:rsid w:val="003D29D0"/>
    <w:rsid w:val="003D2A18"/>
    <w:rsid w:val="003D2A97"/>
    <w:rsid w:val="003D2AFA"/>
    <w:rsid w:val="003D2CDA"/>
    <w:rsid w:val="003D2E72"/>
    <w:rsid w:val="003D302C"/>
    <w:rsid w:val="003D3068"/>
    <w:rsid w:val="003D33DD"/>
    <w:rsid w:val="003D33F7"/>
    <w:rsid w:val="003D3518"/>
    <w:rsid w:val="003D3616"/>
    <w:rsid w:val="003D3643"/>
    <w:rsid w:val="003D36F1"/>
    <w:rsid w:val="003D3751"/>
    <w:rsid w:val="003D37B8"/>
    <w:rsid w:val="003D3941"/>
    <w:rsid w:val="003D394D"/>
    <w:rsid w:val="003D3998"/>
    <w:rsid w:val="003D3D17"/>
    <w:rsid w:val="003D3E09"/>
    <w:rsid w:val="003D3F25"/>
    <w:rsid w:val="003D3FD2"/>
    <w:rsid w:val="003D4042"/>
    <w:rsid w:val="003D42BF"/>
    <w:rsid w:val="003D4335"/>
    <w:rsid w:val="003D433E"/>
    <w:rsid w:val="003D4452"/>
    <w:rsid w:val="003D4506"/>
    <w:rsid w:val="003D456C"/>
    <w:rsid w:val="003D466C"/>
    <w:rsid w:val="003D4759"/>
    <w:rsid w:val="003D47ED"/>
    <w:rsid w:val="003D49D6"/>
    <w:rsid w:val="003D4E4F"/>
    <w:rsid w:val="003D4EAC"/>
    <w:rsid w:val="003D4FD5"/>
    <w:rsid w:val="003D4FEE"/>
    <w:rsid w:val="003D50A2"/>
    <w:rsid w:val="003D5141"/>
    <w:rsid w:val="003D5299"/>
    <w:rsid w:val="003D52ED"/>
    <w:rsid w:val="003D52FF"/>
    <w:rsid w:val="003D530E"/>
    <w:rsid w:val="003D53AF"/>
    <w:rsid w:val="003D53FE"/>
    <w:rsid w:val="003D54A7"/>
    <w:rsid w:val="003D5546"/>
    <w:rsid w:val="003D55EF"/>
    <w:rsid w:val="003D58AF"/>
    <w:rsid w:val="003D5AD9"/>
    <w:rsid w:val="003D5BF3"/>
    <w:rsid w:val="003D5BFE"/>
    <w:rsid w:val="003D5CD0"/>
    <w:rsid w:val="003D5E4A"/>
    <w:rsid w:val="003D5E60"/>
    <w:rsid w:val="003D5EAE"/>
    <w:rsid w:val="003D5F0B"/>
    <w:rsid w:val="003D601F"/>
    <w:rsid w:val="003D6089"/>
    <w:rsid w:val="003D614F"/>
    <w:rsid w:val="003D618E"/>
    <w:rsid w:val="003D61B3"/>
    <w:rsid w:val="003D629F"/>
    <w:rsid w:val="003D633D"/>
    <w:rsid w:val="003D65CC"/>
    <w:rsid w:val="003D66AD"/>
    <w:rsid w:val="003D69C8"/>
    <w:rsid w:val="003D69FB"/>
    <w:rsid w:val="003D6B84"/>
    <w:rsid w:val="003D6B92"/>
    <w:rsid w:val="003D6C4E"/>
    <w:rsid w:val="003D6C7D"/>
    <w:rsid w:val="003D6CAA"/>
    <w:rsid w:val="003D6D99"/>
    <w:rsid w:val="003D6DD2"/>
    <w:rsid w:val="003D72D5"/>
    <w:rsid w:val="003D74A3"/>
    <w:rsid w:val="003D75D7"/>
    <w:rsid w:val="003D75F9"/>
    <w:rsid w:val="003D7789"/>
    <w:rsid w:val="003D77C1"/>
    <w:rsid w:val="003D790A"/>
    <w:rsid w:val="003D797A"/>
    <w:rsid w:val="003D7A20"/>
    <w:rsid w:val="003D7B06"/>
    <w:rsid w:val="003D7D55"/>
    <w:rsid w:val="003D7D66"/>
    <w:rsid w:val="003D7DA3"/>
    <w:rsid w:val="003D7DBC"/>
    <w:rsid w:val="003D7F33"/>
    <w:rsid w:val="003E0041"/>
    <w:rsid w:val="003E00A3"/>
    <w:rsid w:val="003E00EA"/>
    <w:rsid w:val="003E024D"/>
    <w:rsid w:val="003E0504"/>
    <w:rsid w:val="003E05AC"/>
    <w:rsid w:val="003E0605"/>
    <w:rsid w:val="003E064B"/>
    <w:rsid w:val="003E0687"/>
    <w:rsid w:val="003E07F1"/>
    <w:rsid w:val="003E0906"/>
    <w:rsid w:val="003E0936"/>
    <w:rsid w:val="003E0A72"/>
    <w:rsid w:val="003E0B14"/>
    <w:rsid w:val="003E0B6D"/>
    <w:rsid w:val="003E0D70"/>
    <w:rsid w:val="003E0EAF"/>
    <w:rsid w:val="003E0F00"/>
    <w:rsid w:val="003E0F01"/>
    <w:rsid w:val="003E0F64"/>
    <w:rsid w:val="003E0FE7"/>
    <w:rsid w:val="003E10C2"/>
    <w:rsid w:val="003E11C4"/>
    <w:rsid w:val="003E121D"/>
    <w:rsid w:val="003E1332"/>
    <w:rsid w:val="003E1376"/>
    <w:rsid w:val="003E137A"/>
    <w:rsid w:val="003E140E"/>
    <w:rsid w:val="003E1424"/>
    <w:rsid w:val="003E15CD"/>
    <w:rsid w:val="003E1642"/>
    <w:rsid w:val="003E1750"/>
    <w:rsid w:val="003E176B"/>
    <w:rsid w:val="003E1855"/>
    <w:rsid w:val="003E1975"/>
    <w:rsid w:val="003E1A69"/>
    <w:rsid w:val="003E1ACB"/>
    <w:rsid w:val="003E1B77"/>
    <w:rsid w:val="003E1B8B"/>
    <w:rsid w:val="003E1CF7"/>
    <w:rsid w:val="003E1DB5"/>
    <w:rsid w:val="003E1ED3"/>
    <w:rsid w:val="003E215A"/>
    <w:rsid w:val="003E2218"/>
    <w:rsid w:val="003E237A"/>
    <w:rsid w:val="003E23C1"/>
    <w:rsid w:val="003E244E"/>
    <w:rsid w:val="003E2713"/>
    <w:rsid w:val="003E281D"/>
    <w:rsid w:val="003E28C3"/>
    <w:rsid w:val="003E2935"/>
    <w:rsid w:val="003E2BCB"/>
    <w:rsid w:val="003E2DDB"/>
    <w:rsid w:val="003E2E80"/>
    <w:rsid w:val="003E3080"/>
    <w:rsid w:val="003E30F0"/>
    <w:rsid w:val="003E31E4"/>
    <w:rsid w:val="003E3222"/>
    <w:rsid w:val="003E3233"/>
    <w:rsid w:val="003E3388"/>
    <w:rsid w:val="003E33CE"/>
    <w:rsid w:val="003E33F4"/>
    <w:rsid w:val="003E34F5"/>
    <w:rsid w:val="003E35AD"/>
    <w:rsid w:val="003E3608"/>
    <w:rsid w:val="003E38DA"/>
    <w:rsid w:val="003E394B"/>
    <w:rsid w:val="003E3A23"/>
    <w:rsid w:val="003E3B6D"/>
    <w:rsid w:val="003E3C3E"/>
    <w:rsid w:val="003E3C7B"/>
    <w:rsid w:val="003E3D25"/>
    <w:rsid w:val="003E3DB8"/>
    <w:rsid w:val="003E3FF4"/>
    <w:rsid w:val="003E3FF6"/>
    <w:rsid w:val="003E409B"/>
    <w:rsid w:val="003E4135"/>
    <w:rsid w:val="003E42BE"/>
    <w:rsid w:val="003E4377"/>
    <w:rsid w:val="003E439E"/>
    <w:rsid w:val="003E44B8"/>
    <w:rsid w:val="003E4551"/>
    <w:rsid w:val="003E459C"/>
    <w:rsid w:val="003E45A8"/>
    <w:rsid w:val="003E46D2"/>
    <w:rsid w:val="003E4734"/>
    <w:rsid w:val="003E4875"/>
    <w:rsid w:val="003E49EB"/>
    <w:rsid w:val="003E4AAA"/>
    <w:rsid w:val="003E4B14"/>
    <w:rsid w:val="003E4BA1"/>
    <w:rsid w:val="003E4C48"/>
    <w:rsid w:val="003E4C7B"/>
    <w:rsid w:val="003E4D35"/>
    <w:rsid w:val="003E4D80"/>
    <w:rsid w:val="003E4FBA"/>
    <w:rsid w:val="003E50C8"/>
    <w:rsid w:val="003E515C"/>
    <w:rsid w:val="003E51D7"/>
    <w:rsid w:val="003E53AD"/>
    <w:rsid w:val="003E53C7"/>
    <w:rsid w:val="003E560B"/>
    <w:rsid w:val="003E560E"/>
    <w:rsid w:val="003E566D"/>
    <w:rsid w:val="003E57BC"/>
    <w:rsid w:val="003E587D"/>
    <w:rsid w:val="003E59AC"/>
    <w:rsid w:val="003E5AC9"/>
    <w:rsid w:val="003E5B39"/>
    <w:rsid w:val="003E5D4F"/>
    <w:rsid w:val="003E5DF6"/>
    <w:rsid w:val="003E5EF2"/>
    <w:rsid w:val="003E600F"/>
    <w:rsid w:val="003E6049"/>
    <w:rsid w:val="003E6213"/>
    <w:rsid w:val="003E6248"/>
    <w:rsid w:val="003E6316"/>
    <w:rsid w:val="003E6408"/>
    <w:rsid w:val="003E6476"/>
    <w:rsid w:val="003E6483"/>
    <w:rsid w:val="003E64BD"/>
    <w:rsid w:val="003E64F1"/>
    <w:rsid w:val="003E6673"/>
    <w:rsid w:val="003E66F7"/>
    <w:rsid w:val="003E679E"/>
    <w:rsid w:val="003E6ABC"/>
    <w:rsid w:val="003E6AEB"/>
    <w:rsid w:val="003E6CA5"/>
    <w:rsid w:val="003E6F07"/>
    <w:rsid w:val="003E708E"/>
    <w:rsid w:val="003E70D0"/>
    <w:rsid w:val="003E727D"/>
    <w:rsid w:val="003E728C"/>
    <w:rsid w:val="003E7308"/>
    <w:rsid w:val="003E745A"/>
    <w:rsid w:val="003E756D"/>
    <w:rsid w:val="003E7586"/>
    <w:rsid w:val="003E75A5"/>
    <w:rsid w:val="003E766A"/>
    <w:rsid w:val="003E7757"/>
    <w:rsid w:val="003E78AB"/>
    <w:rsid w:val="003E79E0"/>
    <w:rsid w:val="003E7A20"/>
    <w:rsid w:val="003E7BE9"/>
    <w:rsid w:val="003E7CD1"/>
    <w:rsid w:val="003E7DF0"/>
    <w:rsid w:val="003F003C"/>
    <w:rsid w:val="003F0078"/>
    <w:rsid w:val="003F0308"/>
    <w:rsid w:val="003F0372"/>
    <w:rsid w:val="003F0483"/>
    <w:rsid w:val="003F04FF"/>
    <w:rsid w:val="003F0562"/>
    <w:rsid w:val="003F0707"/>
    <w:rsid w:val="003F08F9"/>
    <w:rsid w:val="003F09C3"/>
    <w:rsid w:val="003F0AC6"/>
    <w:rsid w:val="003F0C86"/>
    <w:rsid w:val="003F0D96"/>
    <w:rsid w:val="003F0DD8"/>
    <w:rsid w:val="003F0F18"/>
    <w:rsid w:val="003F1098"/>
    <w:rsid w:val="003F10F5"/>
    <w:rsid w:val="003F11E6"/>
    <w:rsid w:val="003F1284"/>
    <w:rsid w:val="003F133C"/>
    <w:rsid w:val="003F1357"/>
    <w:rsid w:val="003F140C"/>
    <w:rsid w:val="003F14C5"/>
    <w:rsid w:val="003F1544"/>
    <w:rsid w:val="003F167C"/>
    <w:rsid w:val="003F16DD"/>
    <w:rsid w:val="003F1812"/>
    <w:rsid w:val="003F184F"/>
    <w:rsid w:val="003F1B85"/>
    <w:rsid w:val="003F1BC4"/>
    <w:rsid w:val="003F1BFC"/>
    <w:rsid w:val="003F1CA6"/>
    <w:rsid w:val="003F1CB0"/>
    <w:rsid w:val="003F1ED1"/>
    <w:rsid w:val="003F1EE6"/>
    <w:rsid w:val="003F1FF3"/>
    <w:rsid w:val="003F2043"/>
    <w:rsid w:val="003F227E"/>
    <w:rsid w:val="003F23E4"/>
    <w:rsid w:val="003F24A5"/>
    <w:rsid w:val="003F24DE"/>
    <w:rsid w:val="003F264E"/>
    <w:rsid w:val="003F2654"/>
    <w:rsid w:val="003F2655"/>
    <w:rsid w:val="003F26FD"/>
    <w:rsid w:val="003F2896"/>
    <w:rsid w:val="003F296B"/>
    <w:rsid w:val="003F2B79"/>
    <w:rsid w:val="003F2BCA"/>
    <w:rsid w:val="003F2D75"/>
    <w:rsid w:val="003F2D7D"/>
    <w:rsid w:val="003F2F02"/>
    <w:rsid w:val="003F2FEA"/>
    <w:rsid w:val="003F3075"/>
    <w:rsid w:val="003F30FF"/>
    <w:rsid w:val="003F326A"/>
    <w:rsid w:val="003F3520"/>
    <w:rsid w:val="003F3603"/>
    <w:rsid w:val="003F36E1"/>
    <w:rsid w:val="003F36F7"/>
    <w:rsid w:val="003F3827"/>
    <w:rsid w:val="003F3861"/>
    <w:rsid w:val="003F38D6"/>
    <w:rsid w:val="003F392D"/>
    <w:rsid w:val="003F39B7"/>
    <w:rsid w:val="003F3ABE"/>
    <w:rsid w:val="003F3B4B"/>
    <w:rsid w:val="003F3C15"/>
    <w:rsid w:val="003F3DDE"/>
    <w:rsid w:val="003F3DF9"/>
    <w:rsid w:val="003F3E1C"/>
    <w:rsid w:val="003F3E89"/>
    <w:rsid w:val="003F3F97"/>
    <w:rsid w:val="003F4008"/>
    <w:rsid w:val="003F410A"/>
    <w:rsid w:val="003F411F"/>
    <w:rsid w:val="003F433C"/>
    <w:rsid w:val="003F4386"/>
    <w:rsid w:val="003F457E"/>
    <w:rsid w:val="003F4782"/>
    <w:rsid w:val="003F47A4"/>
    <w:rsid w:val="003F47FD"/>
    <w:rsid w:val="003F48AE"/>
    <w:rsid w:val="003F499C"/>
    <w:rsid w:val="003F4AAB"/>
    <w:rsid w:val="003F4B01"/>
    <w:rsid w:val="003F4B59"/>
    <w:rsid w:val="003F4B6A"/>
    <w:rsid w:val="003F4B8E"/>
    <w:rsid w:val="003F4CD4"/>
    <w:rsid w:val="003F4FE0"/>
    <w:rsid w:val="003F4FE3"/>
    <w:rsid w:val="003F5049"/>
    <w:rsid w:val="003F50B3"/>
    <w:rsid w:val="003F51E1"/>
    <w:rsid w:val="003F51F5"/>
    <w:rsid w:val="003F52D3"/>
    <w:rsid w:val="003F5329"/>
    <w:rsid w:val="003F538A"/>
    <w:rsid w:val="003F5547"/>
    <w:rsid w:val="003F55D0"/>
    <w:rsid w:val="003F5649"/>
    <w:rsid w:val="003F5660"/>
    <w:rsid w:val="003F5683"/>
    <w:rsid w:val="003F5702"/>
    <w:rsid w:val="003F5709"/>
    <w:rsid w:val="003F583A"/>
    <w:rsid w:val="003F5889"/>
    <w:rsid w:val="003F596E"/>
    <w:rsid w:val="003F5972"/>
    <w:rsid w:val="003F5A14"/>
    <w:rsid w:val="003F5AA7"/>
    <w:rsid w:val="003F5AB4"/>
    <w:rsid w:val="003F5C4E"/>
    <w:rsid w:val="003F5CFF"/>
    <w:rsid w:val="003F5D22"/>
    <w:rsid w:val="003F5DAF"/>
    <w:rsid w:val="003F5DFF"/>
    <w:rsid w:val="003F5E4D"/>
    <w:rsid w:val="003F5E73"/>
    <w:rsid w:val="003F60A8"/>
    <w:rsid w:val="003F6131"/>
    <w:rsid w:val="003F6181"/>
    <w:rsid w:val="003F627D"/>
    <w:rsid w:val="003F6290"/>
    <w:rsid w:val="003F62B8"/>
    <w:rsid w:val="003F6395"/>
    <w:rsid w:val="003F649C"/>
    <w:rsid w:val="003F64B3"/>
    <w:rsid w:val="003F6556"/>
    <w:rsid w:val="003F6796"/>
    <w:rsid w:val="003F67E6"/>
    <w:rsid w:val="003F67F2"/>
    <w:rsid w:val="003F67F3"/>
    <w:rsid w:val="003F6801"/>
    <w:rsid w:val="003F682B"/>
    <w:rsid w:val="003F6A28"/>
    <w:rsid w:val="003F6AFF"/>
    <w:rsid w:val="003F6B51"/>
    <w:rsid w:val="003F6B62"/>
    <w:rsid w:val="003F6CC4"/>
    <w:rsid w:val="003F6D68"/>
    <w:rsid w:val="003F6D84"/>
    <w:rsid w:val="003F6DB3"/>
    <w:rsid w:val="003F6DC0"/>
    <w:rsid w:val="003F6DD9"/>
    <w:rsid w:val="003F6E16"/>
    <w:rsid w:val="003F6E7B"/>
    <w:rsid w:val="003F6F3D"/>
    <w:rsid w:val="003F70D2"/>
    <w:rsid w:val="003F749A"/>
    <w:rsid w:val="003F753A"/>
    <w:rsid w:val="003F75D1"/>
    <w:rsid w:val="003F7663"/>
    <w:rsid w:val="003F772F"/>
    <w:rsid w:val="003F7815"/>
    <w:rsid w:val="003F789D"/>
    <w:rsid w:val="003F7929"/>
    <w:rsid w:val="003F7B15"/>
    <w:rsid w:val="003F7C11"/>
    <w:rsid w:val="003F7C57"/>
    <w:rsid w:val="003F7CFF"/>
    <w:rsid w:val="003F7D9B"/>
    <w:rsid w:val="003F7EBB"/>
    <w:rsid w:val="004000CC"/>
    <w:rsid w:val="00400155"/>
    <w:rsid w:val="004001AB"/>
    <w:rsid w:val="004001D5"/>
    <w:rsid w:val="00400327"/>
    <w:rsid w:val="004003D9"/>
    <w:rsid w:val="00400573"/>
    <w:rsid w:val="0040076C"/>
    <w:rsid w:val="004007F3"/>
    <w:rsid w:val="00400955"/>
    <w:rsid w:val="00400AC1"/>
    <w:rsid w:val="00400B94"/>
    <w:rsid w:val="00400C06"/>
    <w:rsid w:val="00400D63"/>
    <w:rsid w:val="00400F07"/>
    <w:rsid w:val="00400FCA"/>
    <w:rsid w:val="00400FE5"/>
    <w:rsid w:val="00401008"/>
    <w:rsid w:val="00401034"/>
    <w:rsid w:val="00401440"/>
    <w:rsid w:val="0040163F"/>
    <w:rsid w:val="004017BD"/>
    <w:rsid w:val="00401824"/>
    <w:rsid w:val="00401C13"/>
    <w:rsid w:val="00401C2F"/>
    <w:rsid w:val="00401E1E"/>
    <w:rsid w:val="0040210E"/>
    <w:rsid w:val="004021A2"/>
    <w:rsid w:val="0040231D"/>
    <w:rsid w:val="00402379"/>
    <w:rsid w:val="004023C8"/>
    <w:rsid w:val="00402483"/>
    <w:rsid w:val="004024E2"/>
    <w:rsid w:val="00402634"/>
    <w:rsid w:val="0040265B"/>
    <w:rsid w:val="0040269E"/>
    <w:rsid w:val="004026CE"/>
    <w:rsid w:val="004026E3"/>
    <w:rsid w:val="00402940"/>
    <w:rsid w:val="00402A8F"/>
    <w:rsid w:val="00402B4D"/>
    <w:rsid w:val="00402CBD"/>
    <w:rsid w:val="00402E13"/>
    <w:rsid w:val="00402F24"/>
    <w:rsid w:val="00402F8A"/>
    <w:rsid w:val="00402FA1"/>
    <w:rsid w:val="00402FD5"/>
    <w:rsid w:val="00403036"/>
    <w:rsid w:val="00403173"/>
    <w:rsid w:val="004031CD"/>
    <w:rsid w:val="004035AF"/>
    <w:rsid w:val="00403681"/>
    <w:rsid w:val="0040376F"/>
    <w:rsid w:val="004037C8"/>
    <w:rsid w:val="00403A51"/>
    <w:rsid w:val="00403A9A"/>
    <w:rsid w:val="00403C02"/>
    <w:rsid w:val="00403D33"/>
    <w:rsid w:val="00403D69"/>
    <w:rsid w:val="00403DDD"/>
    <w:rsid w:val="00403EED"/>
    <w:rsid w:val="0040407D"/>
    <w:rsid w:val="004040DC"/>
    <w:rsid w:val="00404107"/>
    <w:rsid w:val="0040412D"/>
    <w:rsid w:val="004042AD"/>
    <w:rsid w:val="00404451"/>
    <w:rsid w:val="00404458"/>
    <w:rsid w:val="00404574"/>
    <w:rsid w:val="0040464E"/>
    <w:rsid w:val="004046D4"/>
    <w:rsid w:val="004048C1"/>
    <w:rsid w:val="004048F0"/>
    <w:rsid w:val="0040491E"/>
    <w:rsid w:val="0040496D"/>
    <w:rsid w:val="00404A9B"/>
    <w:rsid w:val="00404B66"/>
    <w:rsid w:val="00404B6A"/>
    <w:rsid w:val="00404C2E"/>
    <w:rsid w:val="00404D53"/>
    <w:rsid w:val="00404E60"/>
    <w:rsid w:val="00404E72"/>
    <w:rsid w:val="00404E7C"/>
    <w:rsid w:val="00404FC6"/>
    <w:rsid w:val="00405030"/>
    <w:rsid w:val="00405140"/>
    <w:rsid w:val="00405319"/>
    <w:rsid w:val="004053CB"/>
    <w:rsid w:val="00405471"/>
    <w:rsid w:val="0040548B"/>
    <w:rsid w:val="0040548D"/>
    <w:rsid w:val="00405511"/>
    <w:rsid w:val="00405564"/>
    <w:rsid w:val="004056CA"/>
    <w:rsid w:val="0040582A"/>
    <w:rsid w:val="0040593D"/>
    <w:rsid w:val="00405A4B"/>
    <w:rsid w:val="00405A5D"/>
    <w:rsid w:val="00405B6D"/>
    <w:rsid w:val="00405BEE"/>
    <w:rsid w:val="00405D21"/>
    <w:rsid w:val="00405D99"/>
    <w:rsid w:val="00405E25"/>
    <w:rsid w:val="00405F41"/>
    <w:rsid w:val="00406083"/>
    <w:rsid w:val="004062B9"/>
    <w:rsid w:val="0040631E"/>
    <w:rsid w:val="00406428"/>
    <w:rsid w:val="00406AE7"/>
    <w:rsid w:val="00406B22"/>
    <w:rsid w:val="00406B6F"/>
    <w:rsid w:val="00406BB8"/>
    <w:rsid w:val="00406C5B"/>
    <w:rsid w:val="00406D46"/>
    <w:rsid w:val="00406D8B"/>
    <w:rsid w:val="00406E7E"/>
    <w:rsid w:val="00406EC1"/>
    <w:rsid w:val="00406FC7"/>
    <w:rsid w:val="00407087"/>
    <w:rsid w:val="00407198"/>
    <w:rsid w:val="0040726D"/>
    <w:rsid w:val="004072A9"/>
    <w:rsid w:val="00407453"/>
    <w:rsid w:val="00407481"/>
    <w:rsid w:val="004074EC"/>
    <w:rsid w:val="0040766C"/>
    <w:rsid w:val="00407681"/>
    <w:rsid w:val="00407731"/>
    <w:rsid w:val="00407744"/>
    <w:rsid w:val="004078AF"/>
    <w:rsid w:val="004079B2"/>
    <w:rsid w:val="004079DB"/>
    <w:rsid w:val="00407AED"/>
    <w:rsid w:val="00407B25"/>
    <w:rsid w:val="00407C24"/>
    <w:rsid w:val="00407C4A"/>
    <w:rsid w:val="00407C4F"/>
    <w:rsid w:val="00407C81"/>
    <w:rsid w:val="00407D61"/>
    <w:rsid w:val="00407E67"/>
    <w:rsid w:val="00407FBC"/>
    <w:rsid w:val="0041029C"/>
    <w:rsid w:val="004103BE"/>
    <w:rsid w:val="0041044F"/>
    <w:rsid w:val="004104B5"/>
    <w:rsid w:val="00410599"/>
    <w:rsid w:val="004105F5"/>
    <w:rsid w:val="00410641"/>
    <w:rsid w:val="0041071E"/>
    <w:rsid w:val="004107A4"/>
    <w:rsid w:val="004107D6"/>
    <w:rsid w:val="0041086A"/>
    <w:rsid w:val="004108AE"/>
    <w:rsid w:val="004108DA"/>
    <w:rsid w:val="004108F1"/>
    <w:rsid w:val="004108F4"/>
    <w:rsid w:val="00410966"/>
    <w:rsid w:val="00410AB3"/>
    <w:rsid w:val="00410B29"/>
    <w:rsid w:val="00410BB7"/>
    <w:rsid w:val="00410BCF"/>
    <w:rsid w:val="00410BE9"/>
    <w:rsid w:val="00410C46"/>
    <w:rsid w:val="00410E35"/>
    <w:rsid w:val="00410E5D"/>
    <w:rsid w:val="00410EC9"/>
    <w:rsid w:val="0041109E"/>
    <w:rsid w:val="004110AA"/>
    <w:rsid w:val="00411320"/>
    <w:rsid w:val="004113C6"/>
    <w:rsid w:val="004114DB"/>
    <w:rsid w:val="00411516"/>
    <w:rsid w:val="0041151B"/>
    <w:rsid w:val="00411532"/>
    <w:rsid w:val="0041167C"/>
    <w:rsid w:val="004116AA"/>
    <w:rsid w:val="004116F4"/>
    <w:rsid w:val="004117E0"/>
    <w:rsid w:val="00411A35"/>
    <w:rsid w:val="00411B48"/>
    <w:rsid w:val="00411CDA"/>
    <w:rsid w:val="00411D59"/>
    <w:rsid w:val="00411DA6"/>
    <w:rsid w:val="00411E80"/>
    <w:rsid w:val="00411FD1"/>
    <w:rsid w:val="00412037"/>
    <w:rsid w:val="00412051"/>
    <w:rsid w:val="0041222E"/>
    <w:rsid w:val="00412243"/>
    <w:rsid w:val="004123C5"/>
    <w:rsid w:val="00412473"/>
    <w:rsid w:val="00412538"/>
    <w:rsid w:val="00412584"/>
    <w:rsid w:val="004125A4"/>
    <w:rsid w:val="004125CF"/>
    <w:rsid w:val="00412645"/>
    <w:rsid w:val="00412965"/>
    <w:rsid w:val="00412A9C"/>
    <w:rsid w:val="00412BF5"/>
    <w:rsid w:val="00412C17"/>
    <w:rsid w:val="00412CD9"/>
    <w:rsid w:val="00412D2C"/>
    <w:rsid w:val="00412D56"/>
    <w:rsid w:val="00412E77"/>
    <w:rsid w:val="00412EC0"/>
    <w:rsid w:val="004130B5"/>
    <w:rsid w:val="004130C7"/>
    <w:rsid w:val="004131DE"/>
    <w:rsid w:val="004132F6"/>
    <w:rsid w:val="00413413"/>
    <w:rsid w:val="0041341C"/>
    <w:rsid w:val="00413499"/>
    <w:rsid w:val="00413587"/>
    <w:rsid w:val="004135AD"/>
    <w:rsid w:val="0041387C"/>
    <w:rsid w:val="0041391B"/>
    <w:rsid w:val="004139BA"/>
    <w:rsid w:val="004139DF"/>
    <w:rsid w:val="004139FE"/>
    <w:rsid w:val="00413A0F"/>
    <w:rsid w:val="00413B07"/>
    <w:rsid w:val="00413BAB"/>
    <w:rsid w:val="00413BE0"/>
    <w:rsid w:val="00413C7E"/>
    <w:rsid w:val="00413CBD"/>
    <w:rsid w:val="00413D41"/>
    <w:rsid w:val="00413F3F"/>
    <w:rsid w:val="0041418C"/>
    <w:rsid w:val="00414375"/>
    <w:rsid w:val="00414469"/>
    <w:rsid w:val="00414545"/>
    <w:rsid w:val="004145F8"/>
    <w:rsid w:val="00414838"/>
    <w:rsid w:val="00414B26"/>
    <w:rsid w:val="00414B2E"/>
    <w:rsid w:val="00414C78"/>
    <w:rsid w:val="00414DC2"/>
    <w:rsid w:val="00414E03"/>
    <w:rsid w:val="00414E21"/>
    <w:rsid w:val="00414F40"/>
    <w:rsid w:val="00414F47"/>
    <w:rsid w:val="004150F7"/>
    <w:rsid w:val="0041513D"/>
    <w:rsid w:val="004151A5"/>
    <w:rsid w:val="004152B8"/>
    <w:rsid w:val="004154D3"/>
    <w:rsid w:val="0041559E"/>
    <w:rsid w:val="004155D3"/>
    <w:rsid w:val="004155ED"/>
    <w:rsid w:val="0041586F"/>
    <w:rsid w:val="00415A91"/>
    <w:rsid w:val="00415AEC"/>
    <w:rsid w:val="00415B2A"/>
    <w:rsid w:val="00415BDB"/>
    <w:rsid w:val="00415CCB"/>
    <w:rsid w:val="00415EB2"/>
    <w:rsid w:val="00415EB3"/>
    <w:rsid w:val="00416055"/>
    <w:rsid w:val="00416378"/>
    <w:rsid w:val="00416406"/>
    <w:rsid w:val="0041659F"/>
    <w:rsid w:val="00416674"/>
    <w:rsid w:val="004166B2"/>
    <w:rsid w:val="004166D8"/>
    <w:rsid w:val="004167BE"/>
    <w:rsid w:val="00416848"/>
    <w:rsid w:val="00416930"/>
    <w:rsid w:val="00416B74"/>
    <w:rsid w:val="00416C16"/>
    <w:rsid w:val="00416CC0"/>
    <w:rsid w:val="00416D31"/>
    <w:rsid w:val="00416D85"/>
    <w:rsid w:val="00416E86"/>
    <w:rsid w:val="00416F13"/>
    <w:rsid w:val="00416FE5"/>
    <w:rsid w:val="00416FEA"/>
    <w:rsid w:val="004170B1"/>
    <w:rsid w:val="0041727E"/>
    <w:rsid w:val="004173F3"/>
    <w:rsid w:val="00417565"/>
    <w:rsid w:val="004178BF"/>
    <w:rsid w:val="004178E4"/>
    <w:rsid w:val="00417A77"/>
    <w:rsid w:val="00417ABD"/>
    <w:rsid w:val="00417AEB"/>
    <w:rsid w:val="00417B2E"/>
    <w:rsid w:val="00417B87"/>
    <w:rsid w:val="00417BFC"/>
    <w:rsid w:val="00417C62"/>
    <w:rsid w:val="00417C66"/>
    <w:rsid w:val="00417CB8"/>
    <w:rsid w:val="00417CD4"/>
    <w:rsid w:val="00417CDD"/>
    <w:rsid w:val="00417CF4"/>
    <w:rsid w:val="00417E53"/>
    <w:rsid w:val="00417E84"/>
    <w:rsid w:val="00420062"/>
    <w:rsid w:val="0042020B"/>
    <w:rsid w:val="00420260"/>
    <w:rsid w:val="004202D7"/>
    <w:rsid w:val="004202F9"/>
    <w:rsid w:val="0042032A"/>
    <w:rsid w:val="00420355"/>
    <w:rsid w:val="00420378"/>
    <w:rsid w:val="0042039F"/>
    <w:rsid w:val="00420544"/>
    <w:rsid w:val="00420871"/>
    <w:rsid w:val="004208E4"/>
    <w:rsid w:val="00420A94"/>
    <w:rsid w:val="00420AAC"/>
    <w:rsid w:val="00420D53"/>
    <w:rsid w:val="00420DEC"/>
    <w:rsid w:val="00420FA4"/>
    <w:rsid w:val="0042131A"/>
    <w:rsid w:val="00421468"/>
    <w:rsid w:val="004216D3"/>
    <w:rsid w:val="0042170A"/>
    <w:rsid w:val="0042174B"/>
    <w:rsid w:val="004217A7"/>
    <w:rsid w:val="004217BC"/>
    <w:rsid w:val="004217D8"/>
    <w:rsid w:val="0042180B"/>
    <w:rsid w:val="00421CB1"/>
    <w:rsid w:val="00421CB6"/>
    <w:rsid w:val="00421DD0"/>
    <w:rsid w:val="00422091"/>
    <w:rsid w:val="0042230A"/>
    <w:rsid w:val="0042234C"/>
    <w:rsid w:val="00422367"/>
    <w:rsid w:val="00422495"/>
    <w:rsid w:val="0042264B"/>
    <w:rsid w:val="00422668"/>
    <w:rsid w:val="004227BC"/>
    <w:rsid w:val="00422C30"/>
    <w:rsid w:val="00422CAF"/>
    <w:rsid w:val="00422CED"/>
    <w:rsid w:val="00422DC7"/>
    <w:rsid w:val="00422FE4"/>
    <w:rsid w:val="0042306F"/>
    <w:rsid w:val="004230A4"/>
    <w:rsid w:val="004230ED"/>
    <w:rsid w:val="004230FE"/>
    <w:rsid w:val="00423192"/>
    <w:rsid w:val="00423226"/>
    <w:rsid w:val="00423379"/>
    <w:rsid w:val="004233B5"/>
    <w:rsid w:val="004235CF"/>
    <w:rsid w:val="00423789"/>
    <w:rsid w:val="004237AA"/>
    <w:rsid w:val="00423825"/>
    <w:rsid w:val="00423A11"/>
    <w:rsid w:val="00423D4B"/>
    <w:rsid w:val="00423E2D"/>
    <w:rsid w:val="00423F2A"/>
    <w:rsid w:val="004240F3"/>
    <w:rsid w:val="004241B6"/>
    <w:rsid w:val="0042429B"/>
    <w:rsid w:val="004242AC"/>
    <w:rsid w:val="00424497"/>
    <w:rsid w:val="004246DE"/>
    <w:rsid w:val="004247EB"/>
    <w:rsid w:val="00424857"/>
    <w:rsid w:val="004248B0"/>
    <w:rsid w:val="00424A8C"/>
    <w:rsid w:val="00424B68"/>
    <w:rsid w:val="00424C12"/>
    <w:rsid w:val="00424C61"/>
    <w:rsid w:val="00424F04"/>
    <w:rsid w:val="00424FE7"/>
    <w:rsid w:val="00425038"/>
    <w:rsid w:val="00425054"/>
    <w:rsid w:val="004250B0"/>
    <w:rsid w:val="004251C4"/>
    <w:rsid w:val="0042527E"/>
    <w:rsid w:val="00425371"/>
    <w:rsid w:val="00425436"/>
    <w:rsid w:val="00425531"/>
    <w:rsid w:val="004255A8"/>
    <w:rsid w:val="00425717"/>
    <w:rsid w:val="00425813"/>
    <w:rsid w:val="00425935"/>
    <w:rsid w:val="00425AAE"/>
    <w:rsid w:val="00425C72"/>
    <w:rsid w:val="00425CD7"/>
    <w:rsid w:val="00425CF4"/>
    <w:rsid w:val="0042613E"/>
    <w:rsid w:val="00426140"/>
    <w:rsid w:val="004263DF"/>
    <w:rsid w:val="0042649F"/>
    <w:rsid w:val="0042677B"/>
    <w:rsid w:val="004267C5"/>
    <w:rsid w:val="004268B3"/>
    <w:rsid w:val="004268F8"/>
    <w:rsid w:val="00426912"/>
    <w:rsid w:val="00426AC2"/>
    <w:rsid w:val="00426B65"/>
    <w:rsid w:val="00426B99"/>
    <w:rsid w:val="00426C82"/>
    <w:rsid w:val="00426D13"/>
    <w:rsid w:val="00426DD7"/>
    <w:rsid w:val="00426DED"/>
    <w:rsid w:val="00426E17"/>
    <w:rsid w:val="00426E69"/>
    <w:rsid w:val="00426FCB"/>
    <w:rsid w:val="0042711D"/>
    <w:rsid w:val="004272CE"/>
    <w:rsid w:val="0042738C"/>
    <w:rsid w:val="004273C5"/>
    <w:rsid w:val="004273D3"/>
    <w:rsid w:val="00427434"/>
    <w:rsid w:val="00427435"/>
    <w:rsid w:val="00427464"/>
    <w:rsid w:val="0042748A"/>
    <w:rsid w:val="004274A0"/>
    <w:rsid w:val="004274AB"/>
    <w:rsid w:val="0042757D"/>
    <w:rsid w:val="00427685"/>
    <w:rsid w:val="004276F5"/>
    <w:rsid w:val="00427745"/>
    <w:rsid w:val="00427769"/>
    <w:rsid w:val="004279D5"/>
    <w:rsid w:val="004279E2"/>
    <w:rsid w:val="00427BEC"/>
    <w:rsid w:val="00427BF0"/>
    <w:rsid w:val="00427C9E"/>
    <w:rsid w:val="00427DCD"/>
    <w:rsid w:val="00427E7B"/>
    <w:rsid w:val="00427E99"/>
    <w:rsid w:val="00427F91"/>
    <w:rsid w:val="00430092"/>
    <w:rsid w:val="004300BC"/>
    <w:rsid w:val="004301CC"/>
    <w:rsid w:val="00430212"/>
    <w:rsid w:val="00430321"/>
    <w:rsid w:val="0043038F"/>
    <w:rsid w:val="004303C4"/>
    <w:rsid w:val="004304C2"/>
    <w:rsid w:val="004305B1"/>
    <w:rsid w:val="004305E4"/>
    <w:rsid w:val="00430601"/>
    <w:rsid w:val="00430683"/>
    <w:rsid w:val="00430687"/>
    <w:rsid w:val="00430B7F"/>
    <w:rsid w:val="00430BFA"/>
    <w:rsid w:val="00430D09"/>
    <w:rsid w:val="00430EEA"/>
    <w:rsid w:val="00430F73"/>
    <w:rsid w:val="00431086"/>
    <w:rsid w:val="0043108E"/>
    <w:rsid w:val="004310A2"/>
    <w:rsid w:val="00431148"/>
    <w:rsid w:val="00431258"/>
    <w:rsid w:val="004312E9"/>
    <w:rsid w:val="00431522"/>
    <w:rsid w:val="004315FD"/>
    <w:rsid w:val="0043181B"/>
    <w:rsid w:val="00431835"/>
    <w:rsid w:val="004318F1"/>
    <w:rsid w:val="00431A7A"/>
    <w:rsid w:val="00431B68"/>
    <w:rsid w:val="00431BA3"/>
    <w:rsid w:val="00431BF7"/>
    <w:rsid w:val="00431D41"/>
    <w:rsid w:val="00431D50"/>
    <w:rsid w:val="00431E07"/>
    <w:rsid w:val="00431E76"/>
    <w:rsid w:val="004320EE"/>
    <w:rsid w:val="0043235B"/>
    <w:rsid w:val="004323F9"/>
    <w:rsid w:val="00432411"/>
    <w:rsid w:val="0043261B"/>
    <w:rsid w:val="0043263D"/>
    <w:rsid w:val="00432755"/>
    <w:rsid w:val="0043275E"/>
    <w:rsid w:val="00432894"/>
    <w:rsid w:val="004328BE"/>
    <w:rsid w:val="00432A60"/>
    <w:rsid w:val="00432B1A"/>
    <w:rsid w:val="00432C35"/>
    <w:rsid w:val="00432CFB"/>
    <w:rsid w:val="00432E12"/>
    <w:rsid w:val="00432E68"/>
    <w:rsid w:val="00432E99"/>
    <w:rsid w:val="00432EF1"/>
    <w:rsid w:val="00432FDD"/>
    <w:rsid w:val="00432FF9"/>
    <w:rsid w:val="004332ED"/>
    <w:rsid w:val="004333E0"/>
    <w:rsid w:val="004333E3"/>
    <w:rsid w:val="004333E6"/>
    <w:rsid w:val="00433887"/>
    <w:rsid w:val="00433B26"/>
    <w:rsid w:val="00433BBA"/>
    <w:rsid w:val="00433C10"/>
    <w:rsid w:val="00433C1C"/>
    <w:rsid w:val="00433C49"/>
    <w:rsid w:val="00433D96"/>
    <w:rsid w:val="00434074"/>
    <w:rsid w:val="00434159"/>
    <w:rsid w:val="0043439B"/>
    <w:rsid w:val="0043449C"/>
    <w:rsid w:val="00434579"/>
    <w:rsid w:val="0043463C"/>
    <w:rsid w:val="00434686"/>
    <w:rsid w:val="00434709"/>
    <w:rsid w:val="0043476C"/>
    <w:rsid w:val="004348B5"/>
    <w:rsid w:val="004348C8"/>
    <w:rsid w:val="004348F8"/>
    <w:rsid w:val="00434985"/>
    <w:rsid w:val="00434A41"/>
    <w:rsid w:val="00434A58"/>
    <w:rsid w:val="00434B9C"/>
    <w:rsid w:val="00434CCC"/>
    <w:rsid w:val="00434D6B"/>
    <w:rsid w:val="00434D8A"/>
    <w:rsid w:val="00434E98"/>
    <w:rsid w:val="00434F4C"/>
    <w:rsid w:val="00435040"/>
    <w:rsid w:val="0043513E"/>
    <w:rsid w:val="004351CB"/>
    <w:rsid w:val="00435365"/>
    <w:rsid w:val="00435412"/>
    <w:rsid w:val="00435492"/>
    <w:rsid w:val="004354CF"/>
    <w:rsid w:val="00435635"/>
    <w:rsid w:val="004356BB"/>
    <w:rsid w:val="00435755"/>
    <w:rsid w:val="0043582A"/>
    <w:rsid w:val="00435923"/>
    <w:rsid w:val="00435C26"/>
    <w:rsid w:val="00435C54"/>
    <w:rsid w:val="00435E01"/>
    <w:rsid w:val="00435EA2"/>
    <w:rsid w:val="00436119"/>
    <w:rsid w:val="004362EE"/>
    <w:rsid w:val="00436358"/>
    <w:rsid w:val="004363F5"/>
    <w:rsid w:val="00436450"/>
    <w:rsid w:val="00436451"/>
    <w:rsid w:val="0043649D"/>
    <w:rsid w:val="004364EA"/>
    <w:rsid w:val="0043662E"/>
    <w:rsid w:val="0043678B"/>
    <w:rsid w:val="00436912"/>
    <w:rsid w:val="00436C11"/>
    <w:rsid w:val="00436C19"/>
    <w:rsid w:val="00436C7F"/>
    <w:rsid w:val="00436D6B"/>
    <w:rsid w:val="00436E6F"/>
    <w:rsid w:val="00436F60"/>
    <w:rsid w:val="00436F87"/>
    <w:rsid w:val="0043704E"/>
    <w:rsid w:val="0043711B"/>
    <w:rsid w:val="004373A6"/>
    <w:rsid w:val="004373C0"/>
    <w:rsid w:val="004373E3"/>
    <w:rsid w:val="00437560"/>
    <w:rsid w:val="00437597"/>
    <w:rsid w:val="0043759F"/>
    <w:rsid w:val="004375AD"/>
    <w:rsid w:val="004376C1"/>
    <w:rsid w:val="00437710"/>
    <w:rsid w:val="00437713"/>
    <w:rsid w:val="00437788"/>
    <w:rsid w:val="004377A5"/>
    <w:rsid w:val="00437855"/>
    <w:rsid w:val="004378AD"/>
    <w:rsid w:val="00437904"/>
    <w:rsid w:val="004379CA"/>
    <w:rsid w:val="00437A69"/>
    <w:rsid w:val="00437ABF"/>
    <w:rsid w:val="00437B2B"/>
    <w:rsid w:val="00437B54"/>
    <w:rsid w:val="00437B65"/>
    <w:rsid w:val="00437CB6"/>
    <w:rsid w:val="00437D27"/>
    <w:rsid w:val="00437D7E"/>
    <w:rsid w:val="00437DE4"/>
    <w:rsid w:val="00437DF7"/>
    <w:rsid w:val="00437ECE"/>
    <w:rsid w:val="00437FB3"/>
    <w:rsid w:val="00440053"/>
    <w:rsid w:val="0044006C"/>
    <w:rsid w:val="00440329"/>
    <w:rsid w:val="004404A9"/>
    <w:rsid w:val="004405F2"/>
    <w:rsid w:val="0044071E"/>
    <w:rsid w:val="004407A2"/>
    <w:rsid w:val="00440813"/>
    <w:rsid w:val="004409DC"/>
    <w:rsid w:val="00440A49"/>
    <w:rsid w:val="00440ADC"/>
    <w:rsid w:val="00440BF6"/>
    <w:rsid w:val="00440E67"/>
    <w:rsid w:val="00440EE3"/>
    <w:rsid w:val="00440F63"/>
    <w:rsid w:val="0044105C"/>
    <w:rsid w:val="0044109E"/>
    <w:rsid w:val="00441124"/>
    <w:rsid w:val="00441229"/>
    <w:rsid w:val="00441296"/>
    <w:rsid w:val="004412D4"/>
    <w:rsid w:val="004413F7"/>
    <w:rsid w:val="004414D5"/>
    <w:rsid w:val="0044153F"/>
    <w:rsid w:val="00441726"/>
    <w:rsid w:val="00441A80"/>
    <w:rsid w:val="00441AFC"/>
    <w:rsid w:val="00441BF4"/>
    <w:rsid w:val="00441C29"/>
    <w:rsid w:val="00441CA7"/>
    <w:rsid w:val="00441CFF"/>
    <w:rsid w:val="00441D77"/>
    <w:rsid w:val="00441D90"/>
    <w:rsid w:val="00441DEB"/>
    <w:rsid w:val="00441EA5"/>
    <w:rsid w:val="00441ECA"/>
    <w:rsid w:val="00441F2C"/>
    <w:rsid w:val="0044208D"/>
    <w:rsid w:val="004420B7"/>
    <w:rsid w:val="004420B9"/>
    <w:rsid w:val="004420FB"/>
    <w:rsid w:val="0044215C"/>
    <w:rsid w:val="00442161"/>
    <w:rsid w:val="00442188"/>
    <w:rsid w:val="00442421"/>
    <w:rsid w:val="0044247D"/>
    <w:rsid w:val="00442542"/>
    <w:rsid w:val="0044264B"/>
    <w:rsid w:val="004426F3"/>
    <w:rsid w:val="00442750"/>
    <w:rsid w:val="004427AB"/>
    <w:rsid w:val="004427C9"/>
    <w:rsid w:val="00442808"/>
    <w:rsid w:val="00442858"/>
    <w:rsid w:val="00442911"/>
    <w:rsid w:val="0044295B"/>
    <w:rsid w:val="00442DA9"/>
    <w:rsid w:val="00442DE9"/>
    <w:rsid w:val="00442E18"/>
    <w:rsid w:val="00442F16"/>
    <w:rsid w:val="004430C0"/>
    <w:rsid w:val="004431EB"/>
    <w:rsid w:val="004431F8"/>
    <w:rsid w:val="00443238"/>
    <w:rsid w:val="004432E0"/>
    <w:rsid w:val="004434A2"/>
    <w:rsid w:val="00443816"/>
    <w:rsid w:val="00443877"/>
    <w:rsid w:val="00443936"/>
    <w:rsid w:val="00443972"/>
    <w:rsid w:val="004439A3"/>
    <w:rsid w:val="004440A6"/>
    <w:rsid w:val="004440FB"/>
    <w:rsid w:val="00444102"/>
    <w:rsid w:val="00444331"/>
    <w:rsid w:val="004443A2"/>
    <w:rsid w:val="00444494"/>
    <w:rsid w:val="00444581"/>
    <w:rsid w:val="00444693"/>
    <w:rsid w:val="004446BD"/>
    <w:rsid w:val="004446BE"/>
    <w:rsid w:val="00444790"/>
    <w:rsid w:val="00444976"/>
    <w:rsid w:val="00444B7C"/>
    <w:rsid w:val="00444BAA"/>
    <w:rsid w:val="00444C9B"/>
    <w:rsid w:val="00444F15"/>
    <w:rsid w:val="00444F67"/>
    <w:rsid w:val="00444F9F"/>
    <w:rsid w:val="0044501E"/>
    <w:rsid w:val="00445226"/>
    <w:rsid w:val="0044531C"/>
    <w:rsid w:val="004453FE"/>
    <w:rsid w:val="00445406"/>
    <w:rsid w:val="0044544A"/>
    <w:rsid w:val="004455B2"/>
    <w:rsid w:val="004455D6"/>
    <w:rsid w:val="00445646"/>
    <w:rsid w:val="00445682"/>
    <w:rsid w:val="004456C5"/>
    <w:rsid w:val="00445773"/>
    <w:rsid w:val="00445938"/>
    <w:rsid w:val="00445A01"/>
    <w:rsid w:val="00445A36"/>
    <w:rsid w:val="00445B0B"/>
    <w:rsid w:val="00445BC6"/>
    <w:rsid w:val="00445DAC"/>
    <w:rsid w:val="00445E6D"/>
    <w:rsid w:val="00445E8B"/>
    <w:rsid w:val="00445F1B"/>
    <w:rsid w:val="00445F89"/>
    <w:rsid w:val="00446102"/>
    <w:rsid w:val="0044610C"/>
    <w:rsid w:val="00446118"/>
    <w:rsid w:val="00446172"/>
    <w:rsid w:val="004461AC"/>
    <w:rsid w:val="0044628A"/>
    <w:rsid w:val="004463B1"/>
    <w:rsid w:val="0044649A"/>
    <w:rsid w:val="004464DF"/>
    <w:rsid w:val="004465FE"/>
    <w:rsid w:val="004468A5"/>
    <w:rsid w:val="00446964"/>
    <w:rsid w:val="00446976"/>
    <w:rsid w:val="00446A11"/>
    <w:rsid w:val="00446A1B"/>
    <w:rsid w:val="00446AB2"/>
    <w:rsid w:val="00446C04"/>
    <w:rsid w:val="00446CBC"/>
    <w:rsid w:val="00446CD3"/>
    <w:rsid w:val="00446CD9"/>
    <w:rsid w:val="00446EEE"/>
    <w:rsid w:val="00446F78"/>
    <w:rsid w:val="00447049"/>
    <w:rsid w:val="00447090"/>
    <w:rsid w:val="004472CB"/>
    <w:rsid w:val="00447353"/>
    <w:rsid w:val="0044743F"/>
    <w:rsid w:val="0044751A"/>
    <w:rsid w:val="00447580"/>
    <w:rsid w:val="004475BC"/>
    <w:rsid w:val="004477BF"/>
    <w:rsid w:val="00447812"/>
    <w:rsid w:val="00447883"/>
    <w:rsid w:val="00447885"/>
    <w:rsid w:val="004478AF"/>
    <w:rsid w:val="00447911"/>
    <w:rsid w:val="00447A62"/>
    <w:rsid w:val="00447B62"/>
    <w:rsid w:val="00447B9B"/>
    <w:rsid w:val="00447C89"/>
    <w:rsid w:val="00447D3E"/>
    <w:rsid w:val="004503C4"/>
    <w:rsid w:val="004504D0"/>
    <w:rsid w:val="004505DA"/>
    <w:rsid w:val="00450681"/>
    <w:rsid w:val="0045097D"/>
    <w:rsid w:val="00450983"/>
    <w:rsid w:val="004509B7"/>
    <w:rsid w:val="00450A50"/>
    <w:rsid w:val="00450B1C"/>
    <w:rsid w:val="00450B7A"/>
    <w:rsid w:val="00450BB0"/>
    <w:rsid w:val="00450BED"/>
    <w:rsid w:val="00450D92"/>
    <w:rsid w:val="00450F91"/>
    <w:rsid w:val="004510E8"/>
    <w:rsid w:val="00451143"/>
    <w:rsid w:val="00451297"/>
    <w:rsid w:val="0045131B"/>
    <w:rsid w:val="004513A0"/>
    <w:rsid w:val="004513B2"/>
    <w:rsid w:val="004513B8"/>
    <w:rsid w:val="004513DB"/>
    <w:rsid w:val="004513F4"/>
    <w:rsid w:val="0045143F"/>
    <w:rsid w:val="00451665"/>
    <w:rsid w:val="00451AE2"/>
    <w:rsid w:val="00451BEB"/>
    <w:rsid w:val="00451C37"/>
    <w:rsid w:val="00451C5D"/>
    <w:rsid w:val="00451D27"/>
    <w:rsid w:val="00451DB5"/>
    <w:rsid w:val="00451DCD"/>
    <w:rsid w:val="00451EE9"/>
    <w:rsid w:val="00451F88"/>
    <w:rsid w:val="0045206B"/>
    <w:rsid w:val="0045206F"/>
    <w:rsid w:val="0045211F"/>
    <w:rsid w:val="00452156"/>
    <w:rsid w:val="004521B1"/>
    <w:rsid w:val="00452200"/>
    <w:rsid w:val="00452380"/>
    <w:rsid w:val="004523E8"/>
    <w:rsid w:val="00452538"/>
    <w:rsid w:val="0045253F"/>
    <w:rsid w:val="00452606"/>
    <w:rsid w:val="0045261F"/>
    <w:rsid w:val="00452660"/>
    <w:rsid w:val="00452788"/>
    <w:rsid w:val="0045280D"/>
    <w:rsid w:val="00452A1C"/>
    <w:rsid w:val="00452B7C"/>
    <w:rsid w:val="00452CBD"/>
    <w:rsid w:val="0045307B"/>
    <w:rsid w:val="0045310E"/>
    <w:rsid w:val="004531A9"/>
    <w:rsid w:val="0045323A"/>
    <w:rsid w:val="0045342A"/>
    <w:rsid w:val="0045360E"/>
    <w:rsid w:val="004536EF"/>
    <w:rsid w:val="004537BA"/>
    <w:rsid w:val="004538BE"/>
    <w:rsid w:val="00453CB8"/>
    <w:rsid w:val="00453CC7"/>
    <w:rsid w:val="00453CCD"/>
    <w:rsid w:val="00453DCD"/>
    <w:rsid w:val="00453E58"/>
    <w:rsid w:val="00453EC7"/>
    <w:rsid w:val="00453F07"/>
    <w:rsid w:val="00453F13"/>
    <w:rsid w:val="0045401A"/>
    <w:rsid w:val="00454079"/>
    <w:rsid w:val="004541D0"/>
    <w:rsid w:val="004542FE"/>
    <w:rsid w:val="0045432F"/>
    <w:rsid w:val="00454361"/>
    <w:rsid w:val="004544A5"/>
    <w:rsid w:val="0045455F"/>
    <w:rsid w:val="0045462A"/>
    <w:rsid w:val="00454773"/>
    <w:rsid w:val="00454892"/>
    <w:rsid w:val="00454A60"/>
    <w:rsid w:val="00454AE6"/>
    <w:rsid w:val="00454B0C"/>
    <w:rsid w:val="00454B1B"/>
    <w:rsid w:val="00454CA2"/>
    <w:rsid w:val="00454D11"/>
    <w:rsid w:val="00454EA8"/>
    <w:rsid w:val="00455143"/>
    <w:rsid w:val="00455145"/>
    <w:rsid w:val="004551C9"/>
    <w:rsid w:val="004554CD"/>
    <w:rsid w:val="0045561D"/>
    <w:rsid w:val="0045565B"/>
    <w:rsid w:val="004556D0"/>
    <w:rsid w:val="00455804"/>
    <w:rsid w:val="0045584C"/>
    <w:rsid w:val="00455884"/>
    <w:rsid w:val="004558F8"/>
    <w:rsid w:val="00455964"/>
    <w:rsid w:val="00455972"/>
    <w:rsid w:val="00455F2B"/>
    <w:rsid w:val="00455F70"/>
    <w:rsid w:val="0045607C"/>
    <w:rsid w:val="0045624C"/>
    <w:rsid w:val="004562C3"/>
    <w:rsid w:val="00456321"/>
    <w:rsid w:val="00456338"/>
    <w:rsid w:val="00456652"/>
    <w:rsid w:val="004566C8"/>
    <w:rsid w:val="00456A63"/>
    <w:rsid w:val="00456AB1"/>
    <w:rsid w:val="00456B27"/>
    <w:rsid w:val="00456C74"/>
    <w:rsid w:val="00456C76"/>
    <w:rsid w:val="00456C8B"/>
    <w:rsid w:val="00456CA4"/>
    <w:rsid w:val="00456E6C"/>
    <w:rsid w:val="00456E9F"/>
    <w:rsid w:val="00456EA0"/>
    <w:rsid w:val="00456F26"/>
    <w:rsid w:val="00456FD1"/>
    <w:rsid w:val="004570B6"/>
    <w:rsid w:val="00457124"/>
    <w:rsid w:val="0045734E"/>
    <w:rsid w:val="004574B8"/>
    <w:rsid w:val="00457503"/>
    <w:rsid w:val="004575C8"/>
    <w:rsid w:val="00457725"/>
    <w:rsid w:val="004577D6"/>
    <w:rsid w:val="0045792F"/>
    <w:rsid w:val="004579CB"/>
    <w:rsid w:val="00457B08"/>
    <w:rsid w:val="00457B32"/>
    <w:rsid w:val="00457BB5"/>
    <w:rsid w:val="00457CF1"/>
    <w:rsid w:val="00457D6F"/>
    <w:rsid w:val="0046006F"/>
    <w:rsid w:val="00460265"/>
    <w:rsid w:val="00460402"/>
    <w:rsid w:val="00460642"/>
    <w:rsid w:val="00460725"/>
    <w:rsid w:val="00460A78"/>
    <w:rsid w:val="00460CC3"/>
    <w:rsid w:val="00460DC7"/>
    <w:rsid w:val="00460EA3"/>
    <w:rsid w:val="00460F62"/>
    <w:rsid w:val="00460FC1"/>
    <w:rsid w:val="00461011"/>
    <w:rsid w:val="00461327"/>
    <w:rsid w:val="004613B4"/>
    <w:rsid w:val="004614AE"/>
    <w:rsid w:val="004614CE"/>
    <w:rsid w:val="00461516"/>
    <w:rsid w:val="00461627"/>
    <w:rsid w:val="004618EA"/>
    <w:rsid w:val="00461A84"/>
    <w:rsid w:val="00461B21"/>
    <w:rsid w:val="00461F48"/>
    <w:rsid w:val="004622EF"/>
    <w:rsid w:val="00462375"/>
    <w:rsid w:val="004626C1"/>
    <w:rsid w:val="00462914"/>
    <w:rsid w:val="0046292E"/>
    <w:rsid w:val="00462955"/>
    <w:rsid w:val="00462971"/>
    <w:rsid w:val="00462A3F"/>
    <w:rsid w:val="00462AA1"/>
    <w:rsid w:val="00462C38"/>
    <w:rsid w:val="00462D92"/>
    <w:rsid w:val="00462E2A"/>
    <w:rsid w:val="00462E71"/>
    <w:rsid w:val="004630F5"/>
    <w:rsid w:val="004631BF"/>
    <w:rsid w:val="004631DF"/>
    <w:rsid w:val="0046325F"/>
    <w:rsid w:val="004632BA"/>
    <w:rsid w:val="004632D4"/>
    <w:rsid w:val="004633BF"/>
    <w:rsid w:val="00463438"/>
    <w:rsid w:val="004634AB"/>
    <w:rsid w:val="004634E2"/>
    <w:rsid w:val="004636E6"/>
    <w:rsid w:val="004638B9"/>
    <w:rsid w:val="004638D6"/>
    <w:rsid w:val="00463918"/>
    <w:rsid w:val="00463A86"/>
    <w:rsid w:val="00463B2A"/>
    <w:rsid w:val="00463B85"/>
    <w:rsid w:val="00463C60"/>
    <w:rsid w:val="00463D5C"/>
    <w:rsid w:val="004640D6"/>
    <w:rsid w:val="004641A8"/>
    <w:rsid w:val="0046435F"/>
    <w:rsid w:val="004646F4"/>
    <w:rsid w:val="0046478B"/>
    <w:rsid w:val="00464822"/>
    <w:rsid w:val="00464A47"/>
    <w:rsid w:val="00464A80"/>
    <w:rsid w:val="00464B48"/>
    <w:rsid w:val="00464B80"/>
    <w:rsid w:val="00464C76"/>
    <w:rsid w:val="00464CBB"/>
    <w:rsid w:val="00464CF0"/>
    <w:rsid w:val="00464D38"/>
    <w:rsid w:val="00464EAE"/>
    <w:rsid w:val="00464EF4"/>
    <w:rsid w:val="00464F0D"/>
    <w:rsid w:val="0046508A"/>
    <w:rsid w:val="00465364"/>
    <w:rsid w:val="004653E4"/>
    <w:rsid w:val="00465409"/>
    <w:rsid w:val="004654CC"/>
    <w:rsid w:val="004655B7"/>
    <w:rsid w:val="0046560D"/>
    <w:rsid w:val="004656D9"/>
    <w:rsid w:val="004657F7"/>
    <w:rsid w:val="00465949"/>
    <w:rsid w:val="00465A50"/>
    <w:rsid w:val="00465B55"/>
    <w:rsid w:val="00465C25"/>
    <w:rsid w:val="00465D3A"/>
    <w:rsid w:val="00465E48"/>
    <w:rsid w:val="0046608D"/>
    <w:rsid w:val="00466118"/>
    <w:rsid w:val="004663BE"/>
    <w:rsid w:val="004666AB"/>
    <w:rsid w:val="00466765"/>
    <w:rsid w:val="00466911"/>
    <w:rsid w:val="00466ABB"/>
    <w:rsid w:val="00466B94"/>
    <w:rsid w:val="00466C8D"/>
    <w:rsid w:val="00466D11"/>
    <w:rsid w:val="00466EA8"/>
    <w:rsid w:val="00466EE2"/>
    <w:rsid w:val="00466EF4"/>
    <w:rsid w:val="00466F46"/>
    <w:rsid w:val="00466F83"/>
    <w:rsid w:val="00466FBB"/>
    <w:rsid w:val="00467004"/>
    <w:rsid w:val="0046713E"/>
    <w:rsid w:val="0046721D"/>
    <w:rsid w:val="00467394"/>
    <w:rsid w:val="004673B9"/>
    <w:rsid w:val="00467678"/>
    <w:rsid w:val="0046773B"/>
    <w:rsid w:val="004677A1"/>
    <w:rsid w:val="004678D8"/>
    <w:rsid w:val="00467ADF"/>
    <w:rsid w:val="00467C04"/>
    <w:rsid w:val="00467CFA"/>
    <w:rsid w:val="00467D96"/>
    <w:rsid w:val="00467E66"/>
    <w:rsid w:val="004700CD"/>
    <w:rsid w:val="00470163"/>
    <w:rsid w:val="00470178"/>
    <w:rsid w:val="00470192"/>
    <w:rsid w:val="0047020F"/>
    <w:rsid w:val="00470509"/>
    <w:rsid w:val="00470524"/>
    <w:rsid w:val="0047053D"/>
    <w:rsid w:val="0047054C"/>
    <w:rsid w:val="00470714"/>
    <w:rsid w:val="00470757"/>
    <w:rsid w:val="004707BF"/>
    <w:rsid w:val="00470A6D"/>
    <w:rsid w:val="00470A85"/>
    <w:rsid w:val="00470BCA"/>
    <w:rsid w:val="00470DC3"/>
    <w:rsid w:val="00470DEA"/>
    <w:rsid w:val="00470EC3"/>
    <w:rsid w:val="00470EE1"/>
    <w:rsid w:val="00470F14"/>
    <w:rsid w:val="00470FD9"/>
    <w:rsid w:val="00470FE1"/>
    <w:rsid w:val="00471111"/>
    <w:rsid w:val="00471171"/>
    <w:rsid w:val="004712EC"/>
    <w:rsid w:val="004713FF"/>
    <w:rsid w:val="004714CA"/>
    <w:rsid w:val="004714FD"/>
    <w:rsid w:val="00471718"/>
    <w:rsid w:val="0047180C"/>
    <w:rsid w:val="004718B4"/>
    <w:rsid w:val="00471B0E"/>
    <w:rsid w:val="00471B71"/>
    <w:rsid w:val="00471B99"/>
    <w:rsid w:val="00471C2D"/>
    <w:rsid w:val="00471F0A"/>
    <w:rsid w:val="00471FC4"/>
    <w:rsid w:val="004722EB"/>
    <w:rsid w:val="004723F3"/>
    <w:rsid w:val="00472525"/>
    <w:rsid w:val="004726A1"/>
    <w:rsid w:val="0047275D"/>
    <w:rsid w:val="0047286E"/>
    <w:rsid w:val="00472946"/>
    <w:rsid w:val="00472A89"/>
    <w:rsid w:val="00472B90"/>
    <w:rsid w:val="00472C83"/>
    <w:rsid w:val="00472FF6"/>
    <w:rsid w:val="0047300D"/>
    <w:rsid w:val="00473354"/>
    <w:rsid w:val="0047337E"/>
    <w:rsid w:val="004733B5"/>
    <w:rsid w:val="0047347E"/>
    <w:rsid w:val="00473542"/>
    <w:rsid w:val="00473723"/>
    <w:rsid w:val="004739AD"/>
    <w:rsid w:val="00473BF5"/>
    <w:rsid w:val="00473C04"/>
    <w:rsid w:val="00473D5E"/>
    <w:rsid w:val="00473E72"/>
    <w:rsid w:val="00473EA6"/>
    <w:rsid w:val="00473ED2"/>
    <w:rsid w:val="00473EFB"/>
    <w:rsid w:val="00473F36"/>
    <w:rsid w:val="00473F49"/>
    <w:rsid w:val="0047402A"/>
    <w:rsid w:val="00474047"/>
    <w:rsid w:val="0047433F"/>
    <w:rsid w:val="00474401"/>
    <w:rsid w:val="00474445"/>
    <w:rsid w:val="00474515"/>
    <w:rsid w:val="00474530"/>
    <w:rsid w:val="00474558"/>
    <w:rsid w:val="00474579"/>
    <w:rsid w:val="004745C1"/>
    <w:rsid w:val="00474732"/>
    <w:rsid w:val="00474AC9"/>
    <w:rsid w:val="00474BED"/>
    <w:rsid w:val="00474DBC"/>
    <w:rsid w:val="00474F46"/>
    <w:rsid w:val="0047508A"/>
    <w:rsid w:val="004750A6"/>
    <w:rsid w:val="00475231"/>
    <w:rsid w:val="0047524C"/>
    <w:rsid w:val="004752A3"/>
    <w:rsid w:val="004752B4"/>
    <w:rsid w:val="0047532A"/>
    <w:rsid w:val="00475331"/>
    <w:rsid w:val="004753BE"/>
    <w:rsid w:val="004753FD"/>
    <w:rsid w:val="004754CD"/>
    <w:rsid w:val="00475653"/>
    <w:rsid w:val="004757E4"/>
    <w:rsid w:val="0047596A"/>
    <w:rsid w:val="004759DE"/>
    <w:rsid w:val="00475B26"/>
    <w:rsid w:val="00475BBD"/>
    <w:rsid w:val="00475C8F"/>
    <w:rsid w:val="00475DB4"/>
    <w:rsid w:val="00475DE8"/>
    <w:rsid w:val="00475E22"/>
    <w:rsid w:val="00475E8E"/>
    <w:rsid w:val="00475F49"/>
    <w:rsid w:val="0047603D"/>
    <w:rsid w:val="004760B8"/>
    <w:rsid w:val="004760BA"/>
    <w:rsid w:val="004761BC"/>
    <w:rsid w:val="004762C8"/>
    <w:rsid w:val="0047641D"/>
    <w:rsid w:val="004765E7"/>
    <w:rsid w:val="0047674D"/>
    <w:rsid w:val="0047678D"/>
    <w:rsid w:val="00476812"/>
    <w:rsid w:val="004768FD"/>
    <w:rsid w:val="00476936"/>
    <w:rsid w:val="00476A00"/>
    <w:rsid w:val="00476A90"/>
    <w:rsid w:val="00476C64"/>
    <w:rsid w:val="00476C7D"/>
    <w:rsid w:val="00476CD5"/>
    <w:rsid w:val="00476D41"/>
    <w:rsid w:val="00476D77"/>
    <w:rsid w:val="00476ED3"/>
    <w:rsid w:val="00477027"/>
    <w:rsid w:val="00477072"/>
    <w:rsid w:val="00477147"/>
    <w:rsid w:val="0047720A"/>
    <w:rsid w:val="0047720E"/>
    <w:rsid w:val="004772B5"/>
    <w:rsid w:val="00477388"/>
    <w:rsid w:val="004774EC"/>
    <w:rsid w:val="004776DB"/>
    <w:rsid w:val="00477701"/>
    <w:rsid w:val="0047775B"/>
    <w:rsid w:val="004777A0"/>
    <w:rsid w:val="00477802"/>
    <w:rsid w:val="004778B7"/>
    <w:rsid w:val="00477AA2"/>
    <w:rsid w:val="00477B54"/>
    <w:rsid w:val="00477DCC"/>
    <w:rsid w:val="00477F1E"/>
    <w:rsid w:val="00477F52"/>
    <w:rsid w:val="004801A0"/>
    <w:rsid w:val="004802C2"/>
    <w:rsid w:val="00480301"/>
    <w:rsid w:val="00480424"/>
    <w:rsid w:val="00480435"/>
    <w:rsid w:val="0048043B"/>
    <w:rsid w:val="0048051D"/>
    <w:rsid w:val="00480607"/>
    <w:rsid w:val="004806D8"/>
    <w:rsid w:val="0048071F"/>
    <w:rsid w:val="0048078E"/>
    <w:rsid w:val="004807C3"/>
    <w:rsid w:val="004807F9"/>
    <w:rsid w:val="0048084E"/>
    <w:rsid w:val="00480945"/>
    <w:rsid w:val="004809E5"/>
    <w:rsid w:val="00480AE0"/>
    <w:rsid w:val="00480B65"/>
    <w:rsid w:val="00480DA4"/>
    <w:rsid w:val="00480E1C"/>
    <w:rsid w:val="00480F89"/>
    <w:rsid w:val="0048111F"/>
    <w:rsid w:val="004812B8"/>
    <w:rsid w:val="0048141E"/>
    <w:rsid w:val="004814E8"/>
    <w:rsid w:val="0048153E"/>
    <w:rsid w:val="00481572"/>
    <w:rsid w:val="00481683"/>
    <w:rsid w:val="0048181E"/>
    <w:rsid w:val="00481874"/>
    <w:rsid w:val="0048189C"/>
    <w:rsid w:val="004819DE"/>
    <w:rsid w:val="00481A26"/>
    <w:rsid w:val="00481A49"/>
    <w:rsid w:val="00481A82"/>
    <w:rsid w:val="00481B3E"/>
    <w:rsid w:val="00481CC7"/>
    <w:rsid w:val="00481CFF"/>
    <w:rsid w:val="00481D0E"/>
    <w:rsid w:val="00481DBA"/>
    <w:rsid w:val="00481EC0"/>
    <w:rsid w:val="00481F6A"/>
    <w:rsid w:val="00482197"/>
    <w:rsid w:val="004822EE"/>
    <w:rsid w:val="00482327"/>
    <w:rsid w:val="0048235A"/>
    <w:rsid w:val="00482485"/>
    <w:rsid w:val="004824CF"/>
    <w:rsid w:val="0048256F"/>
    <w:rsid w:val="00482676"/>
    <w:rsid w:val="00482797"/>
    <w:rsid w:val="00482811"/>
    <w:rsid w:val="00482834"/>
    <w:rsid w:val="004828CC"/>
    <w:rsid w:val="00482942"/>
    <w:rsid w:val="004829CA"/>
    <w:rsid w:val="00482A23"/>
    <w:rsid w:val="00482A63"/>
    <w:rsid w:val="00482BE8"/>
    <w:rsid w:val="00482C28"/>
    <w:rsid w:val="00482CB7"/>
    <w:rsid w:val="00482D82"/>
    <w:rsid w:val="00482DF4"/>
    <w:rsid w:val="00482E66"/>
    <w:rsid w:val="00482ED2"/>
    <w:rsid w:val="00483078"/>
    <w:rsid w:val="004830A5"/>
    <w:rsid w:val="00483115"/>
    <w:rsid w:val="00483144"/>
    <w:rsid w:val="00483181"/>
    <w:rsid w:val="00483362"/>
    <w:rsid w:val="00483633"/>
    <w:rsid w:val="004836BE"/>
    <w:rsid w:val="00483764"/>
    <w:rsid w:val="004837CD"/>
    <w:rsid w:val="004837FA"/>
    <w:rsid w:val="00483863"/>
    <w:rsid w:val="0048386D"/>
    <w:rsid w:val="00483983"/>
    <w:rsid w:val="004839D2"/>
    <w:rsid w:val="00483BEE"/>
    <w:rsid w:val="00483CFF"/>
    <w:rsid w:val="00483D1A"/>
    <w:rsid w:val="00483D42"/>
    <w:rsid w:val="00483DD1"/>
    <w:rsid w:val="00483DD4"/>
    <w:rsid w:val="00483F1E"/>
    <w:rsid w:val="00483F8A"/>
    <w:rsid w:val="00484085"/>
    <w:rsid w:val="004840C4"/>
    <w:rsid w:val="004840D6"/>
    <w:rsid w:val="004841AA"/>
    <w:rsid w:val="004842DB"/>
    <w:rsid w:val="00484386"/>
    <w:rsid w:val="004843B1"/>
    <w:rsid w:val="00484591"/>
    <w:rsid w:val="0048460E"/>
    <w:rsid w:val="004846DD"/>
    <w:rsid w:val="0048475A"/>
    <w:rsid w:val="004848B8"/>
    <w:rsid w:val="00484A32"/>
    <w:rsid w:val="00484A69"/>
    <w:rsid w:val="00484D7F"/>
    <w:rsid w:val="00484F23"/>
    <w:rsid w:val="00485069"/>
    <w:rsid w:val="004850C6"/>
    <w:rsid w:val="004853CE"/>
    <w:rsid w:val="004853E6"/>
    <w:rsid w:val="0048543C"/>
    <w:rsid w:val="00485490"/>
    <w:rsid w:val="004854E8"/>
    <w:rsid w:val="0048553A"/>
    <w:rsid w:val="00485586"/>
    <w:rsid w:val="004857D4"/>
    <w:rsid w:val="004858B3"/>
    <w:rsid w:val="00485A0F"/>
    <w:rsid w:val="00485A1C"/>
    <w:rsid w:val="00485B59"/>
    <w:rsid w:val="00485B65"/>
    <w:rsid w:val="00485BB2"/>
    <w:rsid w:val="00485C25"/>
    <w:rsid w:val="00485CA8"/>
    <w:rsid w:val="00485D0E"/>
    <w:rsid w:val="00485D79"/>
    <w:rsid w:val="00485F38"/>
    <w:rsid w:val="00485F63"/>
    <w:rsid w:val="0048600A"/>
    <w:rsid w:val="0048601D"/>
    <w:rsid w:val="0048609C"/>
    <w:rsid w:val="004862A5"/>
    <w:rsid w:val="0048646D"/>
    <w:rsid w:val="00486486"/>
    <w:rsid w:val="004864AF"/>
    <w:rsid w:val="004866FB"/>
    <w:rsid w:val="00486842"/>
    <w:rsid w:val="004868AE"/>
    <w:rsid w:val="0048694E"/>
    <w:rsid w:val="00486A30"/>
    <w:rsid w:val="00486B08"/>
    <w:rsid w:val="00486B34"/>
    <w:rsid w:val="00486CB8"/>
    <w:rsid w:val="00486D9C"/>
    <w:rsid w:val="00486DD6"/>
    <w:rsid w:val="00486E07"/>
    <w:rsid w:val="00486EE9"/>
    <w:rsid w:val="0048713C"/>
    <w:rsid w:val="0048727B"/>
    <w:rsid w:val="004873C2"/>
    <w:rsid w:val="004874DD"/>
    <w:rsid w:val="0048762E"/>
    <w:rsid w:val="004877F3"/>
    <w:rsid w:val="004879DA"/>
    <w:rsid w:val="00487A59"/>
    <w:rsid w:val="00487A7F"/>
    <w:rsid w:val="00487B0D"/>
    <w:rsid w:val="00487B4B"/>
    <w:rsid w:val="00487C9F"/>
    <w:rsid w:val="00487CE6"/>
    <w:rsid w:val="00487D3E"/>
    <w:rsid w:val="00487D4C"/>
    <w:rsid w:val="00487EB4"/>
    <w:rsid w:val="00487FCF"/>
    <w:rsid w:val="004900E8"/>
    <w:rsid w:val="00490185"/>
    <w:rsid w:val="00490260"/>
    <w:rsid w:val="0049026A"/>
    <w:rsid w:val="004902DD"/>
    <w:rsid w:val="00490302"/>
    <w:rsid w:val="004905B7"/>
    <w:rsid w:val="004906A0"/>
    <w:rsid w:val="004906A5"/>
    <w:rsid w:val="00490721"/>
    <w:rsid w:val="004907EF"/>
    <w:rsid w:val="00490916"/>
    <w:rsid w:val="004909F1"/>
    <w:rsid w:val="00490ACC"/>
    <w:rsid w:val="00490B69"/>
    <w:rsid w:val="00490BFA"/>
    <w:rsid w:val="00490C22"/>
    <w:rsid w:val="00490CC5"/>
    <w:rsid w:val="00490CDE"/>
    <w:rsid w:val="00490DCB"/>
    <w:rsid w:val="00490F21"/>
    <w:rsid w:val="00490F85"/>
    <w:rsid w:val="00490FB2"/>
    <w:rsid w:val="00491027"/>
    <w:rsid w:val="00491079"/>
    <w:rsid w:val="00491176"/>
    <w:rsid w:val="0049117E"/>
    <w:rsid w:val="004912E1"/>
    <w:rsid w:val="00491306"/>
    <w:rsid w:val="0049142B"/>
    <w:rsid w:val="0049149B"/>
    <w:rsid w:val="00491554"/>
    <w:rsid w:val="0049159D"/>
    <w:rsid w:val="0049159E"/>
    <w:rsid w:val="004915AC"/>
    <w:rsid w:val="004915BC"/>
    <w:rsid w:val="00491988"/>
    <w:rsid w:val="0049198B"/>
    <w:rsid w:val="00491A2D"/>
    <w:rsid w:val="00491B9F"/>
    <w:rsid w:val="00491DD6"/>
    <w:rsid w:val="00491E9A"/>
    <w:rsid w:val="00491EC3"/>
    <w:rsid w:val="00491F4D"/>
    <w:rsid w:val="00491FD6"/>
    <w:rsid w:val="00492013"/>
    <w:rsid w:val="00492020"/>
    <w:rsid w:val="00492169"/>
    <w:rsid w:val="0049229F"/>
    <w:rsid w:val="0049244B"/>
    <w:rsid w:val="0049259A"/>
    <w:rsid w:val="004925B1"/>
    <w:rsid w:val="004925BA"/>
    <w:rsid w:val="0049263F"/>
    <w:rsid w:val="0049270D"/>
    <w:rsid w:val="0049271A"/>
    <w:rsid w:val="0049274B"/>
    <w:rsid w:val="00492764"/>
    <w:rsid w:val="00492865"/>
    <w:rsid w:val="0049287C"/>
    <w:rsid w:val="0049295F"/>
    <w:rsid w:val="00492B58"/>
    <w:rsid w:val="00492BFC"/>
    <w:rsid w:val="00492CAE"/>
    <w:rsid w:val="00492E55"/>
    <w:rsid w:val="00492E8E"/>
    <w:rsid w:val="00492F61"/>
    <w:rsid w:val="0049302B"/>
    <w:rsid w:val="00493057"/>
    <w:rsid w:val="0049311F"/>
    <w:rsid w:val="0049317F"/>
    <w:rsid w:val="0049319C"/>
    <w:rsid w:val="00493301"/>
    <w:rsid w:val="00493391"/>
    <w:rsid w:val="004933AE"/>
    <w:rsid w:val="00493408"/>
    <w:rsid w:val="0049341D"/>
    <w:rsid w:val="004935E1"/>
    <w:rsid w:val="00493688"/>
    <w:rsid w:val="004938E6"/>
    <w:rsid w:val="00493B17"/>
    <w:rsid w:val="00493BA4"/>
    <w:rsid w:val="00493C3E"/>
    <w:rsid w:val="00493C90"/>
    <w:rsid w:val="00493CC4"/>
    <w:rsid w:val="00493D4E"/>
    <w:rsid w:val="00493D94"/>
    <w:rsid w:val="00493E37"/>
    <w:rsid w:val="00493FAB"/>
    <w:rsid w:val="0049400B"/>
    <w:rsid w:val="0049415A"/>
    <w:rsid w:val="00494227"/>
    <w:rsid w:val="004943CC"/>
    <w:rsid w:val="004944D0"/>
    <w:rsid w:val="004944EE"/>
    <w:rsid w:val="004945E3"/>
    <w:rsid w:val="00494629"/>
    <w:rsid w:val="00494671"/>
    <w:rsid w:val="0049467B"/>
    <w:rsid w:val="00494876"/>
    <w:rsid w:val="004948B1"/>
    <w:rsid w:val="00494B0C"/>
    <w:rsid w:val="00494C70"/>
    <w:rsid w:val="00494D5D"/>
    <w:rsid w:val="0049509F"/>
    <w:rsid w:val="004950DA"/>
    <w:rsid w:val="004951BE"/>
    <w:rsid w:val="004951C0"/>
    <w:rsid w:val="0049524A"/>
    <w:rsid w:val="00495290"/>
    <w:rsid w:val="004952B1"/>
    <w:rsid w:val="004952F1"/>
    <w:rsid w:val="00495339"/>
    <w:rsid w:val="00495526"/>
    <w:rsid w:val="004955ED"/>
    <w:rsid w:val="0049564C"/>
    <w:rsid w:val="004957C8"/>
    <w:rsid w:val="004958A0"/>
    <w:rsid w:val="004959BE"/>
    <w:rsid w:val="00495C60"/>
    <w:rsid w:val="00495C93"/>
    <w:rsid w:val="00495D48"/>
    <w:rsid w:val="00495DC1"/>
    <w:rsid w:val="00495DDE"/>
    <w:rsid w:val="00495EB2"/>
    <w:rsid w:val="0049606F"/>
    <w:rsid w:val="00496123"/>
    <w:rsid w:val="00496180"/>
    <w:rsid w:val="004961C0"/>
    <w:rsid w:val="004962B5"/>
    <w:rsid w:val="004963E7"/>
    <w:rsid w:val="004963EF"/>
    <w:rsid w:val="004963F3"/>
    <w:rsid w:val="00496444"/>
    <w:rsid w:val="00496485"/>
    <w:rsid w:val="00496498"/>
    <w:rsid w:val="00496675"/>
    <w:rsid w:val="0049688E"/>
    <w:rsid w:val="00496921"/>
    <w:rsid w:val="00496A6B"/>
    <w:rsid w:val="00496C91"/>
    <w:rsid w:val="00497119"/>
    <w:rsid w:val="00497143"/>
    <w:rsid w:val="004972C4"/>
    <w:rsid w:val="00497322"/>
    <w:rsid w:val="00497497"/>
    <w:rsid w:val="00497515"/>
    <w:rsid w:val="00497518"/>
    <w:rsid w:val="00497542"/>
    <w:rsid w:val="00497702"/>
    <w:rsid w:val="00497712"/>
    <w:rsid w:val="004977E4"/>
    <w:rsid w:val="0049780A"/>
    <w:rsid w:val="00497910"/>
    <w:rsid w:val="00497939"/>
    <w:rsid w:val="00497B22"/>
    <w:rsid w:val="00497BF2"/>
    <w:rsid w:val="00497CDD"/>
    <w:rsid w:val="00497CDF"/>
    <w:rsid w:val="00497CF1"/>
    <w:rsid w:val="00497D65"/>
    <w:rsid w:val="00497DBB"/>
    <w:rsid w:val="00497DC3"/>
    <w:rsid w:val="00497E49"/>
    <w:rsid w:val="00497F04"/>
    <w:rsid w:val="00497F96"/>
    <w:rsid w:val="00497FBD"/>
    <w:rsid w:val="00497FBF"/>
    <w:rsid w:val="00497FDB"/>
    <w:rsid w:val="004A00DC"/>
    <w:rsid w:val="004A01AF"/>
    <w:rsid w:val="004A01CA"/>
    <w:rsid w:val="004A0247"/>
    <w:rsid w:val="004A02F8"/>
    <w:rsid w:val="004A03C8"/>
    <w:rsid w:val="004A03E0"/>
    <w:rsid w:val="004A048C"/>
    <w:rsid w:val="004A04F9"/>
    <w:rsid w:val="004A0546"/>
    <w:rsid w:val="004A0633"/>
    <w:rsid w:val="004A067C"/>
    <w:rsid w:val="004A070E"/>
    <w:rsid w:val="004A0715"/>
    <w:rsid w:val="004A0745"/>
    <w:rsid w:val="004A07B8"/>
    <w:rsid w:val="004A0875"/>
    <w:rsid w:val="004A09B2"/>
    <w:rsid w:val="004A0A30"/>
    <w:rsid w:val="004A0AA9"/>
    <w:rsid w:val="004A0B87"/>
    <w:rsid w:val="004A0B91"/>
    <w:rsid w:val="004A0C39"/>
    <w:rsid w:val="004A0D98"/>
    <w:rsid w:val="004A0E01"/>
    <w:rsid w:val="004A0E59"/>
    <w:rsid w:val="004A1248"/>
    <w:rsid w:val="004A1271"/>
    <w:rsid w:val="004A1289"/>
    <w:rsid w:val="004A143D"/>
    <w:rsid w:val="004A1453"/>
    <w:rsid w:val="004A1485"/>
    <w:rsid w:val="004A1532"/>
    <w:rsid w:val="004A1699"/>
    <w:rsid w:val="004A17AE"/>
    <w:rsid w:val="004A1845"/>
    <w:rsid w:val="004A18FE"/>
    <w:rsid w:val="004A190D"/>
    <w:rsid w:val="004A1921"/>
    <w:rsid w:val="004A198B"/>
    <w:rsid w:val="004A1A9C"/>
    <w:rsid w:val="004A1BA4"/>
    <w:rsid w:val="004A1BA7"/>
    <w:rsid w:val="004A1C33"/>
    <w:rsid w:val="004A1C99"/>
    <w:rsid w:val="004A1CA8"/>
    <w:rsid w:val="004A1D16"/>
    <w:rsid w:val="004A1E56"/>
    <w:rsid w:val="004A1ED3"/>
    <w:rsid w:val="004A1F1A"/>
    <w:rsid w:val="004A1F81"/>
    <w:rsid w:val="004A204B"/>
    <w:rsid w:val="004A20E6"/>
    <w:rsid w:val="004A20FF"/>
    <w:rsid w:val="004A22EA"/>
    <w:rsid w:val="004A2587"/>
    <w:rsid w:val="004A2597"/>
    <w:rsid w:val="004A25DF"/>
    <w:rsid w:val="004A26CF"/>
    <w:rsid w:val="004A272D"/>
    <w:rsid w:val="004A279D"/>
    <w:rsid w:val="004A27DB"/>
    <w:rsid w:val="004A28B5"/>
    <w:rsid w:val="004A28C9"/>
    <w:rsid w:val="004A28E2"/>
    <w:rsid w:val="004A298F"/>
    <w:rsid w:val="004A2BDE"/>
    <w:rsid w:val="004A2D0B"/>
    <w:rsid w:val="004A2F48"/>
    <w:rsid w:val="004A2FDD"/>
    <w:rsid w:val="004A3294"/>
    <w:rsid w:val="004A3396"/>
    <w:rsid w:val="004A344A"/>
    <w:rsid w:val="004A34D2"/>
    <w:rsid w:val="004A3625"/>
    <w:rsid w:val="004A363F"/>
    <w:rsid w:val="004A366A"/>
    <w:rsid w:val="004A38AC"/>
    <w:rsid w:val="004A3988"/>
    <w:rsid w:val="004A3A16"/>
    <w:rsid w:val="004A3A2E"/>
    <w:rsid w:val="004A3A74"/>
    <w:rsid w:val="004A3A83"/>
    <w:rsid w:val="004A3AD7"/>
    <w:rsid w:val="004A3B29"/>
    <w:rsid w:val="004A3C20"/>
    <w:rsid w:val="004A3C46"/>
    <w:rsid w:val="004A3CDB"/>
    <w:rsid w:val="004A3E6F"/>
    <w:rsid w:val="004A3FE7"/>
    <w:rsid w:val="004A400C"/>
    <w:rsid w:val="004A4066"/>
    <w:rsid w:val="004A4354"/>
    <w:rsid w:val="004A43A8"/>
    <w:rsid w:val="004A4444"/>
    <w:rsid w:val="004A4570"/>
    <w:rsid w:val="004A457E"/>
    <w:rsid w:val="004A4759"/>
    <w:rsid w:val="004A47E7"/>
    <w:rsid w:val="004A4974"/>
    <w:rsid w:val="004A4B69"/>
    <w:rsid w:val="004A4B6C"/>
    <w:rsid w:val="004A4BCA"/>
    <w:rsid w:val="004A4BE9"/>
    <w:rsid w:val="004A4C18"/>
    <w:rsid w:val="004A4C9C"/>
    <w:rsid w:val="004A4CC9"/>
    <w:rsid w:val="004A4E61"/>
    <w:rsid w:val="004A4E65"/>
    <w:rsid w:val="004A5047"/>
    <w:rsid w:val="004A506D"/>
    <w:rsid w:val="004A51BF"/>
    <w:rsid w:val="004A52DB"/>
    <w:rsid w:val="004A5441"/>
    <w:rsid w:val="004A54A6"/>
    <w:rsid w:val="004A54CA"/>
    <w:rsid w:val="004A5519"/>
    <w:rsid w:val="004A55D9"/>
    <w:rsid w:val="004A5604"/>
    <w:rsid w:val="004A561B"/>
    <w:rsid w:val="004A5622"/>
    <w:rsid w:val="004A5634"/>
    <w:rsid w:val="004A5764"/>
    <w:rsid w:val="004A58BF"/>
    <w:rsid w:val="004A58DC"/>
    <w:rsid w:val="004A58FC"/>
    <w:rsid w:val="004A5AA4"/>
    <w:rsid w:val="004A5BD8"/>
    <w:rsid w:val="004A5BDF"/>
    <w:rsid w:val="004A5C24"/>
    <w:rsid w:val="004A5C7F"/>
    <w:rsid w:val="004A5D63"/>
    <w:rsid w:val="004A5E73"/>
    <w:rsid w:val="004A5F1E"/>
    <w:rsid w:val="004A5F34"/>
    <w:rsid w:val="004A5F99"/>
    <w:rsid w:val="004A608A"/>
    <w:rsid w:val="004A617B"/>
    <w:rsid w:val="004A6294"/>
    <w:rsid w:val="004A62C9"/>
    <w:rsid w:val="004A64CF"/>
    <w:rsid w:val="004A665F"/>
    <w:rsid w:val="004A6991"/>
    <w:rsid w:val="004A69FD"/>
    <w:rsid w:val="004A6B41"/>
    <w:rsid w:val="004A6BCD"/>
    <w:rsid w:val="004A6C4C"/>
    <w:rsid w:val="004A6D43"/>
    <w:rsid w:val="004A6E8A"/>
    <w:rsid w:val="004A6EF3"/>
    <w:rsid w:val="004A6FCC"/>
    <w:rsid w:val="004A6FD6"/>
    <w:rsid w:val="004A6FE9"/>
    <w:rsid w:val="004A70B3"/>
    <w:rsid w:val="004A714E"/>
    <w:rsid w:val="004A7642"/>
    <w:rsid w:val="004A76CE"/>
    <w:rsid w:val="004A783B"/>
    <w:rsid w:val="004A7902"/>
    <w:rsid w:val="004A7978"/>
    <w:rsid w:val="004A798B"/>
    <w:rsid w:val="004A7A87"/>
    <w:rsid w:val="004A7B11"/>
    <w:rsid w:val="004A7B53"/>
    <w:rsid w:val="004A7B80"/>
    <w:rsid w:val="004A7BAD"/>
    <w:rsid w:val="004A7C44"/>
    <w:rsid w:val="004A7E0D"/>
    <w:rsid w:val="004A7E13"/>
    <w:rsid w:val="004A7ECE"/>
    <w:rsid w:val="004A7F11"/>
    <w:rsid w:val="004A7F67"/>
    <w:rsid w:val="004B008D"/>
    <w:rsid w:val="004B012D"/>
    <w:rsid w:val="004B0294"/>
    <w:rsid w:val="004B029F"/>
    <w:rsid w:val="004B0338"/>
    <w:rsid w:val="004B038E"/>
    <w:rsid w:val="004B03CB"/>
    <w:rsid w:val="004B054F"/>
    <w:rsid w:val="004B05B1"/>
    <w:rsid w:val="004B05C4"/>
    <w:rsid w:val="004B0623"/>
    <w:rsid w:val="004B07F7"/>
    <w:rsid w:val="004B0845"/>
    <w:rsid w:val="004B08A5"/>
    <w:rsid w:val="004B0BCC"/>
    <w:rsid w:val="004B0BD2"/>
    <w:rsid w:val="004B0BEC"/>
    <w:rsid w:val="004B0FC6"/>
    <w:rsid w:val="004B1175"/>
    <w:rsid w:val="004B1335"/>
    <w:rsid w:val="004B13B6"/>
    <w:rsid w:val="004B14F5"/>
    <w:rsid w:val="004B1506"/>
    <w:rsid w:val="004B1512"/>
    <w:rsid w:val="004B1542"/>
    <w:rsid w:val="004B15D3"/>
    <w:rsid w:val="004B1602"/>
    <w:rsid w:val="004B1680"/>
    <w:rsid w:val="004B17C4"/>
    <w:rsid w:val="004B18A2"/>
    <w:rsid w:val="004B1CE8"/>
    <w:rsid w:val="004B1D03"/>
    <w:rsid w:val="004B1DBA"/>
    <w:rsid w:val="004B1EA5"/>
    <w:rsid w:val="004B1F2B"/>
    <w:rsid w:val="004B2042"/>
    <w:rsid w:val="004B206B"/>
    <w:rsid w:val="004B20BC"/>
    <w:rsid w:val="004B21DB"/>
    <w:rsid w:val="004B2337"/>
    <w:rsid w:val="004B248B"/>
    <w:rsid w:val="004B24A0"/>
    <w:rsid w:val="004B24A6"/>
    <w:rsid w:val="004B2578"/>
    <w:rsid w:val="004B264F"/>
    <w:rsid w:val="004B26F4"/>
    <w:rsid w:val="004B273D"/>
    <w:rsid w:val="004B2752"/>
    <w:rsid w:val="004B276C"/>
    <w:rsid w:val="004B2989"/>
    <w:rsid w:val="004B29FE"/>
    <w:rsid w:val="004B2B6A"/>
    <w:rsid w:val="004B2CB9"/>
    <w:rsid w:val="004B2D68"/>
    <w:rsid w:val="004B308D"/>
    <w:rsid w:val="004B31B4"/>
    <w:rsid w:val="004B328B"/>
    <w:rsid w:val="004B32C1"/>
    <w:rsid w:val="004B32DB"/>
    <w:rsid w:val="004B338D"/>
    <w:rsid w:val="004B35B2"/>
    <w:rsid w:val="004B3692"/>
    <w:rsid w:val="004B3799"/>
    <w:rsid w:val="004B37E9"/>
    <w:rsid w:val="004B3987"/>
    <w:rsid w:val="004B3A21"/>
    <w:rsid w:val="004B3A4A"/>
    <w:rsid w:val="004B3BF1"/>
    <w:rsid w:val="004B3C01"/>
    <w:rsid w:val="004B3D46"/>
    <w:rsid w:val="004B3D8D"/>
    <w:rsid w:val="004B3DD3"/>
    <w:rsid w:val="004B3DDD"/>
    <w:rsid w:val="004B3E24"/>
    <w:rsid w:val="004B3EE0"/>
    <w:rsid w:val="004B4035"/>
    <w:rsid w:val="004B40B6"/>
    <w:rsid w:val="004B43B1"/>
    <w:rsid w:val="004B44C7"/>
    <w:rsid w:val="004B4696"/>
    <w:rsid w:val="004B4716"/>
    <w:rsid w:val="004B4791"/>
    <w:rsid w:val="004B48AA"/>
    <w:rsid w:val="004B48D9"/>
    <w:rsid w:val="004B4DBE"/>
    <w:rsid w:val="004B4DDE"/>
    <w:rsid w:val="004B4F12"/>
    <w:rsid w:val="004B4F49"/>
    <w:rsid w:val="004B521A"/>
    <w:rsid w:val="004B5429"/>
    <w:rsid w:val="004B5627"/>
    <w:rsid w:val="004B5709"/>
    <w:rsid w:val="004B5763"/>
    <w:rsid w:val="004B578A"/>
    <w:rsid w:val="004B5993"/>
    <w:rsid w:val="004B5B5F"/>
    <w:rsid w:val="004B5B91"/>
    <w:rsid w:val="004B5D7C"/>
    <w:rsid w:val="004B5FA2"/>
    <w:rsid w:val="004B6064"/>
    <w:rsid w:val="004B60EA"/>
    <w:rsid w:val="004B60F4"/>
    <w:rsid w:val="004B6136"/>
    <w:rsid w:val="004B6256"/>
    <w:rsid w:val="004B6371"/>
    <w:rsid w:val="004B63E0"/>
    <w:rsid w:val="004B63F8"/>
    <w:rsid w:val="004B6454"/>
    <w:rsid w:val="004B65EE"/>
    <w:rsid w:val="004B662D"/>
    <w:rsid w:val="004B66B9"/>
    <w:rsid w:val="004B69D7"/>
    <w:rsid w:val="004B6B79"/>
    <w:rsid w:val="004B6BD5"/>
    <w:rsid w:val="004B6C0F"/>
    <w:rsid w:val="004B6D6F"/>
    <w:rsid w:val="004B6EA0"/>
    <w:rsid w:val="004B6EE7"/>
    <w:rsid w:val="004B6F99"/>
    <w:rsid w:val="004B6FDF"/>
    <w:rsid w:val="004B6FF7"/>
    <w:rsid w:val="004B7173"/>
    <w:rsid w:val="004B71C7"/>
    <w:rsid w:val="004B7591"/>
    <w:rsid w:val="004B7775"/>
    <w:rsid w:val="004B78C1"/>
    <w:rsid w:val="004B79A0"/>
    <w:rsid w:val="004B7A40"/>
    <w:rsid w:val="004B7ADF"/>
    <w:rsid w:val="004B7B55"/>
    <w:rsid w:val="004B7B80"/>
    <w:rsid w:val="004B7C3C"/>
    <w:rsid w:val="004B7C6C"/>
    <w:rsid w:val="004B7D0F"/>
    <w:rsid w:val="004B7D5F"/>
    <w:rsid w:val="004B7DCB"/>
    <w:rsid w:val="004B7F82"/>
    <w:rsid w:val="004B7FCB"/>
    <w:rsid w:val="004C0123"/>
    <w:rsid w:val="004C0183"/>
    <w:rsid w:val="004C01A0"/>
    <w:rsid w:val="004C0275"/>
    <w:rsid w:val="004C0322"/>
    <w:rsid w:val="004C0330"/>
    <w:rsid w:val="004C0517"/>
    <w:rsid w:val="004C07F9"/>
    <w:rsid w:val="004C085A"/>
    <w:rsid w:val="004C0ACB"/>
    <w:rsid w:val="004C0B13"/>
    <w:rsid w:val="004C0B68"/>
    <w:rsid w:val="004C0B6B"/>
    <w:rsid w:val="004C0C9A"/>
    <w:rsid w:val="004C0DD6"/>
    <w:rsid w:val="004C0E49"/>
    <w:rsid w:val="004C0E6D"/>
    <w:rsid w:val="004C0E7F"/>
    <w:rsid w:val="004C0F98"/>
    <w:rsid w:val="004C0FB8"/>
    <w:rsid w:val="004C114D"/>
    <w:rsid w:val="004C145F"/>
    <w:rsid w:val="004C1642"/>
    <w:rsid w:val="004C166D"/>
    <w:rsid w:val="004C16BF"/>
    <w:rsid w:val="004C171C"/>
    <w:rsid w:val="004C1874"/>
    <w:rsid w:val="004C18CD"/>
    <w:rsid w:val="004C1A89"/>
    <w:rsid w:val="004C1AAC"/>
    <w:rsid w:val="004C1B2F"/>
    <w:rsid w:val="004C1B70"/>
    <w:rsid w:val="004C1D33"/>
    <w:rsid w:val="004C1DE4"/>
    <w:rsid w:val="004C1E12"/>
    <w:rsid w:val="004C1FA0"/>
    <w:rsid w:val="004C1FC2"/>
    <w:rsid w:val="004C20ED"/>
    <w:rsid w:val="004C21E5"/>
    <w:rsid w:val="004C230D"/>
    <w:rsid w:val="004C2669"/>
    <w:rsid w:val="004C268B"/>
    <w:rsid w:val="004C26D3"/>
    <w:rsid w:val="004C278F"/>
    <w:rsid w:val="004C2813"/>
    <w:rsid w:val="004C2A27"/>
    <w:rsid w:val="004C2A4B"/>
    <w:rsid w:val="004C2E76"/>
    <w:rsid w:val="004C2FEA"/>
    <w:rsid w:val="004C3072"/>
    <w:rsid w:val="004C3079"/>
    <w:rsid w:val="004C307E"/>
    <w:rsid w:val="004C3362"/>
    <w:rsid w:val="004C3417"/>
    <w:rsid w:val="004C35FF"/>
    <w:rsid w:val="004C367B"/>
    <w:rsid w:val="004C371F"/>
    <w:rsid w:val="004C3842"/>
    <w:rsid w:val="004C396E"/>
    <w:rsid w:val="004C396F"/>
    <w:rsid w:val="004C3A30"/>
    <w:rsid w:val="004C3BC8"/>
    <w:rsid w:val="004C3C36"/>
    <w:rsid w:val="004C3DD4"/>
    <w:rsid w:val="004C3E12"/>
    <w:rsid w:val="004C3E8E"/>
    <w:rsid w:val="004C3F22"/>
    <w:rsid w:val="004C406F"/>
    <w:rsid w:val="004C4181"/>
    <w:rsid w:val="004C4216"/>
    <w:rsid w:val="004C4372"/>
    <w:rsid w:val="004C445E"/>
    <w:rsid w:val="004C4506"/>
    <w:rsid w:val="004C4526"/>
    <w:rsid w:val="004C4592"/>
    <w:rsid w:val="004C4661"/>
    <w:rsid w:val="004C48B9"/>
    <w:rsid w:val="004C48BA"/>
    <w:rsid w:val="004C48BB"/>
    <w:rsid w:val="004C49EB"/>
    <w:rsid w:val="004C4AAA"/>
    <w:rsid w:val="004C4B67"/>
    <w:rsid w:val="004C4BFB"/>
    <w:rsid w:val="004C4C40"/>
    <w:rsid w:val="004C4C89"/>
    <w:rsid w:val="004C4EA9"/>
    <w:rsid w:val="004C4EAA"/>
    <w:rsid w:val="004C4F9C"/>
    <w:rsid w:val="004C52A0"/>
    <w:rsid w:val="004C5344"/>
    <w:rsid w:val="004C539C"/>
    <w:rsid w:val="004C54FB"/>
    <w:rsid w:val="004C56D2"/>
    <w:rsid w:val="004C5A25"/>
    <w:rsid w:val="004C5A45"/>
    <w:rsid w:val="004C5A91"/>
    <w:rsid w:val="004C5AD5"/>
    <w:rsid w:val="004C5C14"/>
    <w:rsid w:val="004C5C57"/>
    <w:rsid w:val="004C5C86"/>
    <w:rsid w:val="004C5CA7"/>
    <w:rsid w:val="004C5E58"/>
    <w:rsid w:val="004C5F85"/>
    <w:rsid w:val="004C5FBB"/>
    <w:rsid w:val="004C6183"/>
    <w:rsid w:val="004C6217"/>
    <w:rsid w:val="004C628C"/>
    <w:rsid w:val="004C633A"/>
    <w:rsid w:val="004C6383"/>
    <w:rsid w:val="004C645D"/>
    <w:rsid w:val="004C6500"/>
    <w:rsid w:val="004C652E"/>
    <w:rsid w:val="004C6623"/>
    <w:rsid w:val="004C666C"/>
    <w:rsid w:val="004C66C7"/>
    <w:rsid w:val="004C67A5"/>
    <w:rsid w:val="004C688D"/>
    <w:rsid w:val="004C689C"/>
    <w:rsid w:val="004C6956"/>
    <w:rsid w:val="004C6B95"/>
    <w:rsid w:val="004C6BEC"/>
    <w:rsid w:val="004C6C34"/>
    <w:rsid w:val="004C6CA0"/>
    <w:rsid w:val="004C6DBB"/>
    <w:rsid w:val="004C6E4F"/>
    <w:rsid w:val="004C6F16"/>
    <w:rsid w:val="004C6F4D"/>
    <w:rsid w:val="004C7094"/>
    <w:rsid w:val="004C70E0"/>
    <w:rsid w:val="004C717D"/>
    <w:rsid w:val="004C719F"/>
    <w:rsid w:val="004C72D9"/>
    <w:rsid w:val="004C7350"/>
    <w:rsid w:val="004C73E6"/>
    <w:rsid w:val="004C74A0"/>
    <w:rsid w:val="004C7582"/>
    <w:rsid w:val="004C761A"/>
    <w:rsid w:val="004C76C5"/>
    <w:rsid w:val="004C773F"/>
    <w:rsid w:val="004C78DD"/>
    <w:rsid w:val="004C7BB5"/>
    <w:rsid w:val="004C7D2E"/>
    <w:rsid w:val="004C7DC1"/>
    <w:rsid w:val="004D013E"/>
    <w:rsid w:val="004D0354"/>
    <w:rsid w:val="004D03C7"/>
    <w:rsid w:val="004D042A"/>
    <w:rsid w:val="004D0564"/>
    <w:rsid w:val="004D0641"/>
    <w:rsid w:val="004D0663"/>
    <w:rsid w:val="004D06D4"/>
    <w:rsid w:val="004D0773"/>
    <w:rsid w:val="004D0796"/>
    <w:rsid w:val="004D09E5"/>
    <w:rsid w:val="004D09F9"/>
    <w:rsid w:val="004D0BA9"/>
    <w:rsid w:val="004D0BF2"/>
    <w:rsid w:val="004D0CE2"/>
    <w:rsid w:val="004D0D94"/>
    <w:rsid w:val="004D0E40"/>
    <w:rsid w:val="004D0E54"/>
    <w:rsid w:val="004D0EC6"/>
    <w:rsid w:val="004D0FF8"/>
    <w:rsid w:val="004D120C"/>
    <w:rsid w:val="004D130B"/>
    <w:rsid w:val="004D14D7"/>
    <w:rsid w:val="004D1688"/>
    <w:rsid w:val="004D16B3"/>
    <w:rsid w:val="004D175C"/>
    <w:rsid w:val="004D17FE"/>
    <w:rsid w:val="004D194C"/>
    <w:rsid w:val="004D1B98"/>
    <w:rsid w:val="004D1D37"/>
    <w:rsid w:val="004D1E5D"/>
    <w:rsid w:val="004D1E9E"/>
    <w:rsid w:val="004D1FF5"/>
    <w:rsid w:val="004D1FF8"/>
    <w:rsid w:val="004D2165"/>
    <w:rsid w:val="004D21D4"/>
    <w:rsid w:val="004D230F"/>
    <w:rsid w:val="004D231C"/>
    <w:rsid w:val="004D25B7"/>
    <w:rsid w:val="004D25FF"/>
    <w:rsid w:val="004D261B"/>
    <w:rsid w:val="004D2652"/>
    <w:rsid w:val="004D2669"/>
    <w:rsid w:val="004D27C3"/>
    <w:rsid w:val="004D288C"/>
    <w:rsid w:val="004D2965"/>
    <w:rsid w:val="004D2B19"/>
    <w:rsid w:val="004D2D08"/>
    <w:rsid w:val="004D2F8B"/>
    <w:rsid w:val="004D3074"/>
    <w:rsid w:val="004D34E0"/>
    <w:rsid w:val="004D357C"/>
    <w:rsid w:val="004D35D9"/>
    <w:rsid w:val="004D35FF"/>
    <w:rsid w:val="004D3616"/>
    <w:rsid w:val="004D3634"/>
    <w:rsid w:val="004D3826"/>
    <w:rsid w:val="004D3911"/>
    <w:rsid w:val="004D3944"/>
    <w:rsid w:val="004D3D3F"/>
    <w:rsid w:val="004D3DA1"/>
    <w:rsid w:val="004D3FD8"/>
    <w:rsid w:val="004D3FF7"/>
    <w:rsid w:val="004D407F"/>
    <w:rsid w:val="004D421E"/>
    <w:rsid w:val="004D42BC"/>
    <w:rsid w:val="004D4368"/>
    <w:rsid w:val="004D4399"/>
    <w:rsid w:val="004D44BC"/>
    <w:rsid w:val="004D4567"/>
    <w:rsid w:val="004D4729"/>
    <w:rsid w:val="004D4814"/>
    <w:rsid w:val="004D48A4"/>
    <w:rsid w:val="004D48DE"/>
    <w:rsid w:val="004D48FA"/>
    <w:rsid w:val="004D499B"/>
    <w:rsid w:val="004D4DEA"/>
    <w:rsid w:val="004D4FF3"/>
    <w:rsid w:val="004D501E"/>
    <w:rsid w:val="004D50D8"/>
    <w:rsid w:val="004D514D"/>
    <w:rsid w:val="004D5335"/>
    <w:rsid w:val="004D5378"/>
    <w:rsid w:val="004D540F"/>
    <w:rsid w:val="004D5414"/>
    <w:rsid w:val="004D5442"/>
    <w:rsid w:val="004D547F"/>
    <w:rsid w:val="004D54B6"/>
    <w:rsid w:val="004D54CE"/>
    <w:rsid w:val="004D5602"/>
    <w:rsid w:val="004D5631"/>
    <w:rsid w:val="004D5AE0"/>
    <w:rsid w:val="004D5B92"/>
    <w:rsid w:val="004D5C5B"/>
    <w:rsid w:val="004D5D71"/>
    <w:rsid w:val="004D5E67"/>
    <w:rsid w:val="004D5FE8"/>
    <w:rsid w:val="004D603B"/>
    <w:rsid w:val="004D612A"/>
    <w:rsid w:val="004D6461"/>
    <w:rsid w:val="004D6634"/>
    <w:rsid w:val="004D668D"/>
    <w:rsid w:val="004D66B9"/>
    <w:rsid w:val="004D675F"/>
    <w:rsid w:val="004D676C"/>
    <w:rsid w:val="004D67AA"/>
    <w:rsid w:val="004D68CD"/>
    <w:rsid w:val="004D6972"/>
    <w:rsid w:val="004D6979"/>
    <w:rsid w:val="004D6A31"/>
    <w:rsid w:val="004D6CCF"/>
    <w:rsid w:val="004D6EF9"/>
    <w:rsid w:val="004D7118"/>
    <w:rsid w:val="004D7353"/>
    <w:rsid w:val="004D73A9"/>
    <w:rsid w:val="004D7494"/>
    <w:rsid w:val="004D7520"/>
    <w:rsid w:val="004D76FA"/>
    <w:rsid w:val="004D77D2"/>
    <w:rsid w:val="004D77D8"/>
    <w:rsid w:val="004D7953"/>
    <w:rsid w:val="004D79CB"/>
    <w:rsid w:val="004D79E3"/>
    <w:rsid w:val="004D7A3E"/>
    <w:rsid w:val="004D7A6D"/>
    <w:rsid w:val="004D7A7F"/>
    <w:rsid w:val="004D7C3F"/>
    <w:rsid w:val="004D7C46"/>
    <w:rsid w:val="004D7C53"/>
    <w:rsid w:val="004D7C83"/>
    <w:rsid w:val="004D7CD7"/>
    <w:rsid w:val="004D7D0E"/>
    <w:rsid w:val="004D7DA6"/>
    <w:rsid w:val="004D7E1A"/>
    <w:rsid w:val="004D7EB9"/>
    <w:rsid w:val="004D7F19"/>
    <w:rsid w:val="004D7F3F"/>
    <w:rsid w:val="004D7F86"/>
    <w:rsid w:val="004E00FD"/>
    <w:rsid w:val="004E0116"/>
    <w:rsid w:val="004E01F1"/>
    <w:rsid w:val="004E0227"/>
    <w:rsid w:val="004E0380"/>
    <w:rsid w:val="004E03DE"/>
    <w:rsid w:val="004E0500"/>
    <w:rsid w:val="004E0549"/>
    <w:rsid w:val="004E0756"/>
    <w:rsid w:val="004E075D"/>
    <w:rsid w:val="004E07FC"/>
    <w:rsid w:val="004E08E0"/>
    <w:rsid w:val="004E09C6"/>
    <w:rsid w:val="004E0A75"/>
    <w:rsid w:val="004E0AA3"/>
    <w:rsid w:val="004E0B80"/>
    <w:rsid w:val="004E0BE9"/>
    <w:rsid w:val="004E0CAC"/>
    <w:rsid w:val="004E0D0E"/>
    <w:rsid w:val="004E0DA5"/>
    <w:rsid w:val="004E0EB5"/>
    <w:rsid w:val="004E0F8F"/>
    <w:rsid w:val="004E1182"/>
    <w:rsid w:val="004E1238"/>
    <w:rsid w:val="004E13C4"/>
    <w:rsid w:val="004E1412"/>
    <w:rsid w:val="004E15DF"/>
    <w:rsid w:val="004E1602"/>
    <w:rsid w:val="004E1659"/>
    <w:rsid w:val="004E173F"/>
    <w:rsid w:val="004E1777"/>
    <w:rsid w:val="004E17EF"/>
    <w:rsid w:val="004E18CF"/>
    <w:rsid w:val="004E1A39"/>
    <w:rsid w:val="004E1B8C"/>
    <w:rsid w:val="004E1C4F"/>
    <w:rsid w:val="004E1F0A"/>
    <w:rsid w:val="004E1F28"/>
    <w:rsid w:val="004E1FB2"/>
    <w:rsid w:val="004E21AF"/>
    <w:rsid w:val="004E21EE"/>
    <w:rsid w:val="004E221B"/>
    <w:rsid w:val="004E268E"/>
    <w:rsid w:val="004E2728"/>
    <w:rsid w:val="004E2801"/>
    <w:rsid w:val="004E283B"/>
    <w:rsid w:val="004E29A0"/>
    <w:rsid w:val="004E29C1"/>
    <w:rsid w:val="004E29DE"/>
    <w:rsid w:val="004E2BBD"/>
    <w:rsid w:val="004E2C5E"/>
    <w:rsid w:val="004E2E0E"/>
    <w:rsid w:val="004E2ED1"/>
    <w:rsid w:val="004E315C"/>
    <w:rsid w:val="004E32ED"/>
    <w:rsid w:val="004E3527"/>
    <w:rsid w:val="004E3782"/>
    <w:rsid w:val="004E3798"/>
    <w:rsid w:val="004E379C"/>
    <w:rsid w:val="004E37B5"/>
    <w:rsid w:val="004E395A"/>
    <w:rsid w:val="004E3ABC"/>
    <w:rsid w:val="004E3AD1"/>
    <w:rsid w:val="004E3B11"/>
    <w:rsid w:val="004E3B3D"/>
    <w:rsid w:val="004E3D46"/>
    <w:rsid w:val="004E3DE2"/>
    <w:rsid w:val="004E3E00"/>
    <w:rsid w:val="004E3EBA"/>
    <w:rsid w:val="004E3ECA"/>
    <w:rsid w:val="004E3F7A"/>
    <w:rsid w:val="004E40E0"/>
    <w:rsid w:val="004E4132"/>
    <w:rsid w:val="004E4142"/>
    <w:rsid w:val="004E41F9"/>
    <w:rsid w:val="004E4227"/>
    <w:rsid w:val="004E4325"/>
    <w:rsid w:val="004E43F2"/>
    <w:rsid w:val="004E4434"/>
    <w:rsid w:val="004E44B7"/>
    <w:rsid w:val="004E44CD"/>
    <w:rsid w:val="004E452F"/>
    <w:rsid w:val="004E4607"/>
    <w:rsid w:val="004E461D"/>
    <w:rsid w:val="004E464A"/>
    <w:rsid w:val="004E4790"/>
    <w:rsid w:val="004E4B32"/>
    <w:rsid w:val="004E4B55"/>
    <w:rsid w:val="004E4B98"/>
    <w:rsid w:val="004E4C47"/>
    <w:rsid w:val="004E4CCA"/>
    <w:rsid w:val="004E4D31"/>
    <w:rsid w:val="004E4FCA"/>
    <w:rsid w:val="004E5051"/>
    <w:rsid w:val="004E507B"/>
    <w:rsid w:val="004E50A0"/>
    <w:rsid w:val="004E5133"/>
    <w:rsid w:val="004E546D"/>
    <w:rsid w:val="004E5531"/>
    <w:rsid w:val="004E56EF"/>
    <w:rsid w:val="004E5820"/>
    <w:rsid w:val="004E5A37"/>
    <w:rsid w:val="004E5A74"/>
    <w:rsid w:val="004E5AAD"/>
    <w:rsid w:val="004E5BB8"/>
    <w:rsid w:val="004E5BBB"/>
    <w:rsid w:val="004E5C70"/>
    <w:rsid w:val="004E5C78"/>
    <w:rsid w:val="004E5D16"/>
    <w:rsid w:val="004E5D3F"/>
    <w:rsid w:val="004E5E50"/>
    <w:rsid w:val="004E5EBD"/>
    <w:rsid w:val="004E6089"/>
    <w:rsid w:val="004E6199"/>
    <w:rsid w:val="004E61B3"/>
    <w:rsid w:val="004E62DB"/>
    <w:rsid w:val="004E6311"/>
    <w:rsid w:val="004E641D"/>
    <w:rsid w:val="004E656B"/>
    <w:rsid w:val="004E6833"/>
    <w:rsid w:val="004E68BB"/>
    <w:rsid w:val="004E69FB"/>
    <w:rsid w:val="004E6AA7"/>
    <w:rsid w:val="004E6B08"/>
    <w:rsid w:val="004E6C30"/>
    <w:rsid w:val="004E6C8A"/>
    <w:rsid w:val="004E6CEF"/>
    <w:rsid w:val="004E7069"/>
    <w:rsid w:val="004E716D"/>
    <w:rsid w:val="004E7297"/>
    <w:rsid w:val="004E737B"/>
    <w:rsid w:val="004E7383"/>
    <w:rsid w:val="004E7441"/>
    <w:rsid w:val="004E74D9"/>
    <w:rsid w:val="004E74EE"/>
    <w:rsid w:val="004E7545"/>
    <w:rsid w:val="004E75F1"/>
    <w:rsid w:val="004E7727"/>
    <w:rsid w:val="004E77AE"/>
    <w:rsid w:val="004E7867"/>
    <w:rsid w:val="004E7B06"/>
    <w:rsid w:val="004E7B29"/>
    <w:rsid w:val="004E7BD4"/>
    <w:rsid w:val="004E7D1B"/>
    <w:rsid w:val="004E7D2E"/>
    <w:rsid w:val="004E7DBC"/>
    <w:rsid w:val="004F011E"/>
    <w:rsid w:val="004F018B"/>
    <w:rsid w:val="004F03DB"/>
    <w:rsid w:val="004F049D"/>
    <w:rsid w:val="004F05BC"/>
    <w:rsid w:val="004F0632"/>
    <w:rsid w:val="004F0755"/>
    <w:rsid w:val="004F0767"/>
    <w:rsid w:val="004F077C"/>
    <w:rsid w:val="004F07BD"/>
    <w:rsid w:val="004F07BF"/>
    <w:rsid w:val="004F0C27"/>
    <w:rsid w:val="004F0C49"/>
    <w:rsid w:val="004F0E2C"/>
    <w:rsid w:val="004F0E7D"/>
    <w:rsid w:val="004F0F98"/>
    <w:rsid w:val="004F102C"/>
    <w:rsid w:val="004F1094"/>
    <w:rsid w:val="004F122B"/>
    <w:rsid w:val="004F1351"/>
    <w:rsid w:val="004F1419"/>
    <w:rsid w:val="004F14E2"/>
    <w:rsid w:val="004F1588"/>
    <w:rsid w:val="004F15F0"/>
    <w:rsid w:val="004F163A"/>
    <w:rsid w:val="004F179C"/>
    <w:rsid w:val="004F1932"/>
    <w:rsid w:val="004F1989"/>
    <w:rsid w:val="004F1AB1"/>
    <w:rsid w:val="004F1BD9"/>
    <w:rsid w:val="004F1D37"/>
    <w:rsid w:val="004F1D9E"/>
    <w:rsid w:val="004F1DCC"/>
    <w:rsid w:val="004F1E1B"/>
    <w:rsid w:val="004F1E8C"/>
    <w:rsid w:val="004F1F27"/>
    <w:rsid w:val="004F1F85"/>
    <w:rsid w:val="004F1FC5"/>
    <w:rsid w:val="004F21AF"/>
    <w:rsid w:val="004F22D6"/>
    <w:rsid w:val="004F23D9"/>
    <w:rsid w:val="004F2633"/>
    <w:rsid w:val="004F274C"/>
    <w:rsid w:val="004F2782"/>
    <w:rsid w:val="004F27F9"/>
    <w:rsid w:val="004F28C7"/>
    <w:rsid w:val="004F28FB"/>
    <w:rsid w:val="004F2B59"/>
    <w:rsid w:val="004F2B82"/>
    <w:rsid w:val="004F2DD7"/>
    <w:rsid w:val="004F2E54"/>
    <w:rsid w:val="004F2F9F"/>
    <w:rsid w:val="004F3104"/>
    <w:rsid w:val="004F3182"/>
    <w:rsid w:val="004F328C"/>
    <w:rsid w:val="004F3381"/>
    <w:rsid w:val="004F33CE"/>
    <w:rsid w:val="004F3461"/>
    <w:rsid w:val="004F34A4"/>
    <w:rsid w:val="004F3508"/>
    <w:rsid w:val="004F35B9"/>
    <w:rsid w:val="004F368D"/>
    <w:rsid w:val="004F3731"/>
    <w:rsid w:val="004F3971"/>
    <w:rsid w:val="004F398F"/>
    <w:rsid w:val="004F3BCF"/>
    <w:rsid w:val="004F3C0E"/>
    <w:rsid w:val="004F3C20"/>
    <w:rsid w:val="004F3C42"/>
    <w:rsid w:val="004F3C47"/>
    <w:rsid w:val="004F3D82"/>
    <w:rsid w:val="004F3F31"/>
    <w:rsid w:val="004F3F8B"/>
    <w:rsid w:val="004F41EA"/>
    <w:rsid w:val="004F43E5"/>
    <w:rsid w:val="004F44A3"/>
    <w:rsid w:val="004F45A7"/>
    <w:rsid w:val="004F46DC"/>
    <w:rsid w:val="004F4888"/>
    <w:rsid w:val="004F48F1"/>
    <w:rsid w:val="004F4A09"/>
    <w:rsid w:val="004F4C6E"/>
    <w:rsid w:val="004F4D21"/>
    <w:rsid w:val="004F4D9D"/>
    <w:rsid w:val="004F4EA7"/>
    <w:rsid w:val="004F5026"/>
    <w:rsid w:val="004F5092"/>
    <w:rsid w:val="004F51A0"/>
    <w:rsid w:val="004F53A5"/>
    <w:rsid w:val="004F53B3"/>
    <w:rsid w:val="004F53E4"/>
    <w:rsid w:val="004F5491"/>
    <w:rsid w:val="004F5494"/>
    <w:rsid w:val="004F5506"/>
    <w:rsid w:val="004F5671"/>
    <w:rsid w:val="004F5A6B"/>
    <w:rsid w:val="004F5B7D"/>
    <w:rsid w:val="004F5BB6"/>
    <w:rsid w:val="004F5BBC"/>
    <w:rsid w:val="004F5CAA"/>
    <w:rsid w:val="004F5DBB"/>
    <w:rsid w:val="004F5E23"/>
    <w:rsid w:val="004F5E9F"/>
    <w:rsid w:val="004F5EE9"/>
    <w:rsid w:val="004F5F54"/>
    <w:rsid w:val="004F5F7B"/>
    <w:rsid w:val="004F5FCC"/>
    <w:rsid w:val="004F6008"/>
    <w:rsid w:val="004F6115"/>
    <w:rsid w:val="004F6244"/>
    <w:rsid w:val="004F631A"/>
    <w:rsid w:val="004F6372"/>
    <w:rsid w:val="004F6397"/>
    <w:rsid w:val="004F6430"/>
    <w:rsid w:val="004F6477"/>
    <w:rsid w:val="004F6546"/>
    <w:rsid w:val="004F6549"/>
    <w:rsid w:val="004F6598"/>
    <w:rsid w:val="004F68FA"/>
    <w:rsid w:val="004F696D"/>
    <w:rsid w:val="004F69BD"/>
    <w:rsid w:val="004F6A00"/>
    <w:rsid w:val="004F6A59"/>
    <w:rsid w:val="004F6BEC"/>
    <w:rsid w:val="004F6D11"/>
    <w:rsid w:val="004F6D62"/>
    <w:rsid w:val="004F6E45"/>
    <w:rsid w:val="004F6E79"/>
    <w:rsid w:val="004F6F01"/>
    <w:rsid w:val="004F6F1C"/>
    <w:rsid w:val="004F70E3"/>
    <w:rsid w:val="004F7271"/>
    <w:rsid w:val="004F7452"/>
    <w:rsid w:val="004F74BF"/>
    <w:rsid w:val="004F753F"/>
    <w:rsid w:val="004F760E"/>
    <w:rsid w:val="004F7B5C"/>
    <w:rsid w:val="004F7CF5"/>
    <w:rsid w:val="004F7D2B"/>
    <w:rsid w:val="004F7E8D"/>
    <w:rsid w:val="004F7E95"/>
    <w:rsid w:val="004F7F48"/>
    <w:rsid w:val="004F7FD4"/>
    <w:rsid w:val="00500026"/>
    <w:rsid w:val="005001B7"/>
    <w:rsid w:val="00500225"/>
    <w:rsid w:val="0050054D"/>
    <w:rsid w:val="0050054F"/>
    <w:rsid w:val="00500552"/>
    <w:rsid w:val="00500564"/>
    <w:rsid w:val="0050074E"/>
    <w:rsid w:val="00500870"/>
    <w:rsid w:val="00500887"/>
    <w:rsid w:val="00500968"/>
    <w:rsid w:val="005009CD"/>
    <w:rsid w:val="00500A9D"/>
    <w:rsid w:val="00500AB9"/>
    <w:rsid w:val="00500BEE"/>
    <w:rsid w:val="00500C69"/>
    <w:rsid w:val="00500D88"/>
    <w:rsid w:val="00500ECF"/>
    <w:rsid w:val="00501020"/>
    <w:rsid w:val="0050107A"/>
    <w:rsid w:val="00501190"/>
    <w:rsid w:val="005011F8"/>
    <w:rsid w:val="0050124B"/>
    <w:rsid w:val="00501298"/>
    <w:rsid w:val="00501346"/>
    <w:rsid w:val="0050135C"/>
    <w:rsid w:val="005013F5"/>
    <w:rsid w:val="0050144A"/>
    <w:rsid w:val="00501476"/>
    <w:rsid w:val="005016C9"/>
    <w:rsid w:val="00501765"/>
    <w:rsid w:val="005017C1"/>
    <w:rsid w:val="0050197E"/>
    <w:rsid w:val="00501BEA"/>
    <w:rsid w:val="00501C57"/>
    <w:rsid w:val="00501CC9"/>
    <w:rsid w:val="00501DA0"/>
    <w:rsid w:val="00501F25"/>
    <w:rsid w:val="00501F78"/>
    <w:rsid w:val="00502086"/>
    <w:rsid w:val="00502101"/>
    <w:rsid w:val="0050215A"/>
    <w:rsid w:val="00502195"/>
    <w:rsid w:val="005022A3"/>
    <w:rsid w:val="0050235B"/>
    <w:rsid w:val="0050237D"/>
    <w:rsid w:val="005024FC"/>
    <w:rsid w:val="00502520"/>
    <w:rsid w:val="0050252E"/>
    <w:rsid w:val="00502585"/>
    <w:rsid w:val="005026CB"/>
    <w:rsid w:val="005026F4"/>
    <w:rsid w:val="00502735"/>
    <w:rsid w:val="005027BE"/>
    <w:rsid w:val="00502901"/>
    <w:rsid w:val="00502995"/>
    <w:rsid w:val="00502B46"/>
    <w:rsid w:val="00502E4F"/>
    <w:rsid w:val="00502F7A"/>
    <w:rsid w:val="00503045"/>
    <w:rsid w:val="005031A8"/>
    <w:rsid w:val="005031DD"/>
    <w:rsid w:val="00503295"/>
    <w:rsid w:val="005032BF"/>
    <w:rsid w:val="005032C5"/>
    <w:rsid w:val="005033D7"/>
    <w:rsid w:val="005033E6"/>
    <w:rsid w:val="00503544"/>
    <w:rsid w:val="00503682"/>
    <w:rsid w:val="00503C7E"/>
    <w:rsid w:val="00503D15"/>
    <w:rsid w:val="00503F9F"/>
    <w:rsid w:val="005041D3"/>
    <w:rsid w:val="005042A0"/>
    <w:rsid w:val="005042C2"/>
    <w:rsid w:val="0050465E"/>
    <w:rsid w:val="00504697"/>
    <w:rsid w:val="005046FE"/>
    <w:rsid w:val="00504752"/>
    <w:rsid w:val="00504781"/>
    <w:rsid w:val="00504918"/>
    <w:rsid w:val="00504A03"/>
    <w:rsid w:val="00504A16"/>
    <w:rsid w:val="00504BAB"/>
    <w:rsid w:val="00504DFA"/>
    <w:rsid w:val="00504EEF"/>
    <w:rsid w:val="00504FB3"/>
    <w:rsid w:val="00505045"/>
    <w:rsid w:val="0050504A"/>
    <w:rsid w:val="00505260"/>
    <w:rsid w:val="005052AC"/>
    <w:rsid w:val="00505408"/>
    <w:rsid w:val="0050541C"/>
    <w:rsid w:val="005054F5"/>
    <w:rsid w:val="005056F9"/>
    <w:rsid w:val="0050577B"/>
    <w:rsid w:val="00505B5C"/>
    <w:rsid w:val="00505C5E"/>
    <w:rsid w:val="00505C9A"/>
    <w:rsid w:val="00505CBC"/>
    <w:rsid w:val="00505DEE"/>
    <w:rsid w:val="00505DF3"/>
    <w:rsid w:val="00505EF6"/>
    <w:rsid w:val="00505F2D"/>
    <w:rsid w:val="005063AD"/>
    <w:rsid w:val="005063EC"/>
    <w:rsid w:val="00506611"/>
    <w:rsid w:val="005066E4"/>
    <w:rsid w:val="005067A4"/>
    <w:rsid w:val="0050699A"/>
    <w:rsid w:val="005069F0"/>
    <w:rsid w:val="00506B26"/>
    <w:rsid w:val="00506B54"/>
    <w:rsid w:val="00506C22"/>
    <w:rsid w:val="00506E40"/>
    <w:rsid w:val="00507490"/>
    <w:rsid w:val="005074A2"/>
    <w:rsid w:val="005074AA"/>
    <w:rsid w:val="0050751D"/>
    <w:rsid w:val="0050756C"/>
    <w:rsid w:val="0050757A"/>
    <w:rsid w:val="0050767D"/>
    <w:rsid w:val="005077D3"/>
    <w:rsid w:val="005077F2"/>
    <w:rsid w:val="00507813"/>
    <w:rsid w:val="005079E9"/>
    <w:rsid w:val="00507AD3"/>
    <w:rsid w:val="00507B0F"/>
    <w:rsid w:val="00507B33"/>
    <w:rsid w:val="00507C8A"/>
    <w:rsid w:val="00507CE3"/>
    <w:rsid w:val="00507D7B"/>
    <w:rsid w:val="00507E82"/>
    <w:rsid w:val="00507E84"/>
    <w:rsid w:val="00510247"/>
    <w:rsid w:val="0051061F"/>
    <w:rsid w:val="00510754"/>
    <w:rsid w:val="005108E0"/>
    <w:rsid w:val="00510944"/>
    <w:rsid w:val="00510A0B"/>
    <w:rsid w:val="00510A78"/>
    <w:rsid w:val="00510B1A"/>
    <w:rsid w:val="00510B22"/>
    <w:rsid w:val="00510C4A"/>
    <w:rsid w:val="00510D21"/>
    <w:rsid w:val="00510DD6"/>
    <w:rsid w:val="00510E51"/>
    <w:rsid w:val="00510ECF"/>
    <w:rsid w:val="00510EE1"/>
    <w:rsid w:val="00510EE4"/>
    <w:rsid w:val="00510F8F"/>
    <w:rsid w:val="00510FD7"/>
    <w:rsid w:val="00511088"/>
    <w:rsid w:val="0051108F"/>
    <w:rsid w:val="00511153"/>
    <w:rsid w:val="00511191"/>
    <w:rsid w:val="00511208"/>
    <w:rsid w:val="00511282"/>
    <w:rsid w:val="005112EA"/>
    <w:rsid w:val="0051135F"/>
    <w:rsid w:val="0051146F"/>
    <w:rsid w:val="005114F3"/>
    <w:rsid w:val="00511517"/>
    <w:rsid w:val="00511552"/>
    <w:rsid w:val="00511563"/>
    <w:rsid w:val="0051169A"/>
    <w:rsid w:val="005116AF"/>
    <w:rsid w:val="00511778"/>
    <w:rsid w:val="0051187D"/>
    <w:rsid w:val="00511892"/>
    <w:rsid w:val="00511B4F"/>
    <w:rsid w:val="00511BA6"/>
    <w:rsid w:val="00511D77"/>
    <w:rsid w:val="00511EFD"/>
    <w:rsid w:val="0051201C"/>
    <w:rsid w:val="005120AA"/>
    <w:rsid w:val="0051210A"/>
    <w:rsid w:val="0051214F"/>
    <w:rsid w:val="0051216E"/>
    <w:rsid w:val="00512224"/>
    <w:rsid w:val="0051232E"/>
    <w:rsid w:val="0051249C"/>
    <w:rsid w:val="005124D8"/>
    <w:rsid w:val="00512575"/>
    <w:rsid w:val="0051267F"/>
    <w:rsid w:val="00512708"/>
    <w:rsid w:val="0051272B"/>
    <w:rsid w:val="0051280A"/>
    <w:rsid w:val="00512929"/>
    <w:rsid w:val="00512938"/>
    <w:rsid w:val="00512AA0"/>
    <w:rsid w:val="00512AFC"/>
    <w:rsid w:val="00512B29"/>
    <w:rsid w:val="00512CD7"/>
    <w:rsid w:val="00512DEB"/>
    <w:rsid w:val="00512EF7"/>
    <w:rsid w:val="00512F33"/>
    <w:rsid w:val="00512F7C"/>
    <w:rsid w:val="00512FEE"/>
    <w:rsid w:val="005130D7"/>
    <w:rsid w:val="00513188"/>
    <w:rsid w:val="00513313"/>
    <w:rsid w:val="00513517"/>
    <w:rsid w:val="005135CF"/>
    <w:rsid w:val="005136A7"/>
    <w:rsid w:val="00513896"/>
    <w:rsid w:val="00513A7D"/>
    <w:rsid w:val="00513B01"/>
    <w:rsid w:val="00513B95"/>
    <w:rsid w:val="00513CF6"/>
    <w:rsid w:val="00513D48"/>
    <w:rsid w:val="00513E27"/>
    <w:rsid w:val="00513EBB"/>
    <w:rsid w:val="00513F3F"/>
    <w:rsid w:val="005141FF"/>
    <w:rsid w:val="0051446B"/>
    <w:rsid w:val="0051456D"/>
    <w:rsid w:val="005145A8"/>
    <w:rsid w:val="005145C1"/>
    <w:rsid w:val="00514650"/>
    <w:rsid w:val="00514758"/>
    <w:rsid w:val="005147A9"/>
    <w:rsid w:val="005147EF"/>
    <w:rsid w:val="00514841"/>
    <w:rsid w:val="0051494E"/>
    <w:rsid w:val="005149E3"/>
    <w:rsid w:val="00514B0A"/>
    <w:rsid w:val="00514C59"/>
    <w:rsid w:val="00514C7B"/>
    <w:rsid w:val="00514CB8"/>
    <w:rsid w:val="00514F3D"/>
    <w:rsid w:val="00515076"/>
    <w:rsid w:val="005150DA"/>
    <w:rsid w:val="0051536C"/>
    <w:rsid w:val="005154E6"/>
    <w:rsid w:val="00515776"/>
    <w:rsid w:val="00515856"/>
    <w:rsid w:val="00515894"/>
    <w:rsid w:val="005158A8"/>
    <w:rsid w:val="005158AD"/>
    <w:rsid w:val="005158EE"/>
    <w:rsid w:val="00515A3D"/>
    <w:rsid w:val="00515AF1"/>
    <w:rsid w:val="00515B54"/>
    <w:rsid w:val="00515C61"/>
    <w:rsid w:val="00515E15"/>
    <w:rsid w:val="00515FBD"/>
    <w:rsid w:val="00515FDF"/>
    <w:rsid w:val="005162CC"/>
    <w:rsid w:val="005163C4"/>
    <w:rsid w:val="0051652C"/>
    <w:rsid w:val="00516566"/>
    <w:rsid w:val="005165DC"/>
    <w:rsid w:val="00516638"/>
    <w:rsid w:val="005167D1"/>
    <w:rsid w:val="005167D6"/>
    <w:rsid w:val="005168BE"/>
    <w:rsid w:val="005168D1"/>
    <w:rsid w:val="00516961"/>
    <w:rsid w:val="005169CC"/>
    <w:rsid w:val="00516C47"/>
    <w:rsid w:val="00516CFF"/>
    <w:rsid w:val="00516DBC"/>
    <w:rsid w:val="00516E10"/>
    <w:rsid w:val="00516FA2"/>
    <w:rsid w:val="00517283"/>
    <w:rsid w:val="005172F2"/>
    <w:rsid w:val="00517568"/>
    <w:rsid w:val="00517636"/>
    <w:rsid w:val="00517678"/>
    <w:rsid w:val="0051775A"/>
    <w:rsid w:val="0051797F"/>
    <w:rsid w:val="00517A34"/>
    <w:rsid w:val="00517A4E"/>
    <w:rsid w:val="00517AD2"/>
    <w:rsid w:val="00517ADD"/>
    <w:rsid w:val="00517BF1"/>
    <w:rsid w:val="00517CDD"/>
    <w:rsid w:val="00517DDF"/>
    <w:rsid w:val="00517E78"/>
    <w:rsid w:val="0052016B"/>
    <w:rsid w:val="0052020C"/>
    <w:rsid w:val="0052026D"/>
    <w:rsid w:val="005203AF"/>
    <w:rsid w:val="005206C4"/>
    <w:rsid w:val="005206CD"/>
    <w:rsid w:val="005206F7"/>
    <w:rsid w:val="0052071C"/>
    <w:rsid w:val="005207C1"/>
    <w:rsid w:val="0052082D"/>
    <w:rsid w:val="0052083D"/>
    <w:rsid w:val="005208EA"/>
    <w:rsid w:val="005209BB"/>
    <w:rsid w:val="00520A37"/>
    <w:rsid w:val="00520AE9"/>
    <w:rsid w:val="00520B0C"/>
    <w:rsid w:val="00520BDB"/>
    <w:rsid w:val="00520C58"/>
    <w:rsid w:val="00520D41"/>
    <w:rsid w:val="00520D4D"/>
    <w:rsid w:val="00520ED7"/>
    <w:rsid w:val="00520FE1"/>
    <w:rsid w:val="0052107F"/>
    <w:rsid w:val="0052108F"/>
    <w:rsid w:val="005210C5"/>
    <w:rsid w:val="00521168"/>
    <w:rsid w:val="005211AA"/>
    <w:rsid w:val="005213B8"/>
    <w:rsid w:val="0052148C"/>
    <w:rsid w:val="005214DF"/>
    <w:rsid w:val="00521531"/>
    <w:rsid w:val="0052169F"/>
    <w:rsid w:val="00521819"/>
    <w:rsid w:val="005218C8"/>
    <w:rsid w:val="0052193A"/>
    <w:rsid w:val="005219E8"/>
    <w:rsid w:val="00521D79"/>
    <w:rsid w:val="00521DFA"/>
    <w:rsid w:val="00521E94"/>
    <w:rsid w:val="00521F22"/>
    <w:rsid w:val="00522076"/>
    <w:rsid w:val="00522078"/>
    <w:rsid w:val="005222A4"/>
    <w:rsid w:val="005222C1"/>
    <w:rsid w:val="00522312"/>
    <w:rsid w:val="005223DE"/>
    <w:rsid w:val="005228CE"/>
    <w:rsid w:val="005229EB"/>
    <w:rsid w:val="00522B50"/>
    <w:rsid w:val="00522BE3"/>
    <w:rsid w:val="00522C24"/>
    <w:rsid w:val="00522C25"/>
    <w:rsid w:val="0052309B"/>
    <w:rsid w:val="005231CC"/>
    <w:rsid w:val="005233C9"/>
    <w:rsid w:val="0052340F"/>
    <w:rsid w:val="00523465"/>
    <w:rsid w:val="005236AC"/>
    <w:rsid w:val="005236B6"/>
    <w:rsid w:val="005236CE"/>
    <w:rsid w:val="00523798"/>
    <w:rsid w:val="005237F1"/>
    <w:rsid w:val="00523908"/>
    <w:rsid w:val="005239ED"/>
    <w:rsid w:val="00523B18"/>
    <w:rsid w:val="00523DB4"/>
    <w:rsid w:val="00523E65"/>
    <w:rsid w:val="00523EBE"/>
    <w:rsid w:val="00523EE0"/>
    <w:rsid w:val="0052412F"/>
    <w:rsid w:val="00524167"/>
    <w:rsid w:val="0052426F"/>
    <w:rsid w:val="005243FC"/>
    <w:rsid w:val="005244A4"/>
    <w:rsid w:val="005245C6"/>
    <w:rsid w:val="005246EF"/>
    <w:rsid w:val="0052470F"/>
    <w:rsid w:val="00524745"/>
    <w:rsid w:val="005247BB"/>
    <w:rsid w:val="00524800"/>
    <w:rsid w:val="00524D03"/>
    <w:rsid w:val="00524D75"/>
    <w:rsid w:val="00524ED4"/>
    <w:rsid w:val="00525081"/>
    <w:rsid w:val="00525086"/>
    <w:rsid w:val="005250C2"/>
    <w:rsid w:val="005250F9"/>
    <w:rsid w:val="00525138"/>
    <w:rsid w:val="00525349"/>
    <w:rsid w:val="005254D2"/>
    <w:rsid w:val="00525662"/>
    <w:rsid w:val="00525766"/>
    <w:rsid w:val="005257E5"/>
    <w:rsid w:val="00525873"/>
    <w:rsid w:val="005259C8"/>
    <w:rsid w:val="00525B86"/>
    <w:rsid w:val="00525EC0"/>
    <w:rsid w:val="00525F45"/>
    <w:rsid w:val="00525FC6"/>
    <w:rsid w:val="0052616F"/>
    <w:rsid w:val="005261CE"/>
    <w:rsid w:val="005262B8"/>
    <w:rsid w:val="0052636A"/>
    <w:rsid w:val="00526469"/>
    <w:rsid w:val="0052669C"/>
    <w:rsid w:val="005266F1"/>
    <w:rsid w:val="005268A6"/>
    <w:rsid w:val="00526B4A"/>
    <w:rsid w:val="00526C9F"/>
    <w:rsid w:val="0052706E"/>
    <w:rsid w:val="005270A8"/>
    <w:rsid w:val="005271E8"/>
    <w:rsid w:val="005272B2"/>
    <w:rsid w:val="005272FE"/>
    <w:rsid w:val="005273FE"/>
    <w:rsid w:val="0052744C"/>
    <w:rsid w:val="005274BF"/>
    <w:rsid w:val="005274F0"/>
    <w:rsid w:val="005274F9"/>
    <w:rsid w:val="0052758C"/>
    <w:rsid w:val="005275FC"/>
    <w:rsid w:val="00527609"/>
    <w:rsid w:val="00527696"/>
    <w:rsid w:val="005276B3"/>
    <w:rsid w:val="005276FE"/>
    <w:rsid w:val="00527767"/>
    <w:rsid w:val="00527786"/>
    <w:rsid w:val="005277C2"/>
    <w:rsid w:val="005278A0"/>
    <w:rsid w:val="00527916"/>
    <w:rsid w:val="005279DB"/>
    <w:rsid w:val="00527A14"/>
    <w:rsid w:val="00527A3A"/>
    <w:rsid w:val="00527BC8"/>
    <w:rsid w:val="00527CA0"/>
    <w:rsid w:val="00527D74"/>
    <w:rsid w:val="00527E66"/>
    <w:rsid w:val="00527FFC"/>
    <w:rsid w:val="0053000E"/>
    <w:rsid w:val="00530056"/>
    <w:rsid w:val="00530079"/>
    <w:rsid w:val="005300BB"/>
    <w:rsid w:val="0053020D"/>
    <w:rsid w:val="00530213"/>
    <w:rsid w:val="005302ED"/>
    <w:rsid w:val="00530578"/>
    <w:rsid w:val="005306CC"/>
    <w:rsid w:val="0053080F"/>
    <w:rsid w:val="005308B9"/>
    <w:rsid w:val="00530B0D"/>
    <w:rsid w:val="00530B4C"/>
    <w:rsid w:val="00530C08"/>
    <w:rsid w:val="00530CC7"/>
    <w:rsid w:val="00530CF8"/>
    <w:rsid w:val="00531088"/>
    <w:rsid w:val="005314D3"/>
    <w:rsid w:val="00531520"/>
    <w:rsid w:val="0053152A"/>
    <w:rsid w:val="0053152D"/>
    <w:rsid w:val="005316CA"/>
    <w:rsid w:val="005316F9"/>
    <w:rsid w:val="00531863"/>
    <w:rsid w:val="00531884"/>
    <w:rsid w:val="005318AB"/>
    <w:rsid w:val="00531A72"/>
    <w:rsid w:val="00531AE9"/>
    <w:rsid w:val="00531B06"/>
    <w:rsid w:val="00531B96"/>
    <w:rsid w:val="00531CA7"/>
    <w:rsid w:val="00531DA9"/>
    <w:rsid w:val="00531DEA"/>
    <w:rsid w:val="00531E7B"/>
    <w:rsid w:val="00531EEB"/>
    <w:rsid w:val="00531F05"/>
    <w:rsid w:val="00531F67"/>
    <w:rsid w:val="00531FB0"/>
    <w:rsid w:val="00532006"/>
    <w:rsid w:val="00532043"/>
    <w:rsid w:val="005320D8"/>
    <w:rsid w:val="00532123"/>
    <w:rsid w:val="005322A1"/>
    <w:rsid w:val="00532302"/>
    <w:rsid w:val="0053240D"/>
    <w:rsid w:val="005324C8"/>
    <w:rsid w:val="005324DB"/>
    <w:rsid w:val="00532579"/>
    <w:rsid w:val="00532616"/>
    <w:rsid w:val="00532660"/>
    <w:rsid w:val="00532692"/>
    <w:rsid w:val="005327E8"/>
    <w:rsid w:val="00532890"/>
    <w:rsid w:val="005328BF"/>
    <w:rsid w:val="0053295E"/>
    <w:rsid w:val="00532B08"/>
    <w:rsid w:val="00532B81"/>
    <w:rsid w:val="00532C39"/>
    <w:rsid w:val="00532C6A"/>
    <w:rsid w:val="00532C90"/>
    <w:rsid w:val="00532E11"/>
    <w:rsid w:val="00532E14"/>
    <w:rsid w:val="00532E31"/>
    <w:rsid w:val="00533008"/>
    <w:rsid w:val="005331A8"/>
    <w:rsid w:val="005334C5"/>
    <w:rsid w:val="005334CD"/>
    <w:rsid w:val="005336DC"/>
    <w:rsid w:val="00533705"/>
    <w:rsid w:val="0053386F"/>
    <w:rsid w:val="00533933"/>
    <w:rsid w:val="00533AB0"/>
    <w:rsid w:val="00533BE4"/>
    <w:rsid w:val="00533C46"/>
    <w:rsid w:val="00533C8C"/>
    <w:rsid w:val="00533D37"/>
    <w:rsid w:val="00533D95"/>
    <w:rsid w:val="00533F24"/>
    <w:rsid w:val="0053425A"/>
    <w:rsid w:val="00534739"/>
    <w:rsid w:val="00534782"/>
    <w:rsid w:val="00534837"/>
    <w:rsid w:val="005348D7"/>
    <w:rsid w:val="005348E7"/>
    <w:rsid w:val="00534919"/>
    <w:rsid w:val="00534A2F"/>
    <w:rsid w:val="00534AD8"/>
    <w:rsid w:val="00534C3E"/>
    <w:rsid w:val="00534CAC"/>
    <w:rsid w:val="00534D76"/>
    <w:rsid w:val="00534E6E"/>
    <w:rsid w:val="00534F13"/>
    <w:rsid w:val="00534F4E"/>
    <w:rsid w:val="00534FAF"/>
    <w:rsid w:val="0053527F"/>
    <w:rsid w:val="00535410"/>
    <w:rsid w:val="00535550"/>
    <w:rsid w:val="00535723"/>
    <w:rsid w:val="00535771"/>
    <w:rsid w:val="005357AA"/>
    <w:rsid w:val="005358F5"/>
    <w:rsid w:val="00535AFD"/>
    <w:rsid w:val="00535C08"/>
    <w:rsid w:val="00535DA3"/>
    <w:rsid w:val="00535F65"/>
    <w:rsid w:val="00535FE7"/>
    <w:rsid w:val="00535FF1"/>
    <w:rsid w:val="00536312"/>
    <w:rsid w:val="00536374"/>
    <w:rsid w:val="00536530"/>
    <w:rsid w:val="005366BB"/>
    <w:rsid w:val="005366F6"/>
    <w:rsid w:val="0053670A"/>
    <w:rsid w:val="00536780"/>
    <w:rsid w:val="00536872"/>
    <w:rsid w:val="00536A48"/>
    <w:rsid w:val="00536BB2"/>
    <w:rsid w:val="00536D1C"/>
    <w:rsid w:val="00536D67"/>
    <w:rsid w:val="00536D84"/>
    <w:rsid w:val="00536DC7"/>
    <w:rsid w:val="00536ED4"/>
    <w:rsid w:val="00536EE7"/>
    <w:rsid w:val="00536F41"/>
    <w:rsid w:val="00536FA1"/>
    <w:rsid w:val="005371E0"/>
    <w:rsid w:val="00537283"/>
    <w:rsid w:val="00537441"/>
    <w:rsid w:val="0053745D"/>
    <w:rsid w:val="00537620"/>
    <w:rsid w:val="00537683"/>
    <w:rsid w:val="00537876"/>
    <w:rsid w:val="00537884"/>
    <w:rsid w:val="00537958"/>
    <w:rsid w:val="00537A5C"/>
    <w:rsid w:val="00537B78"/>
    <w:rsid w:val="00537C98"/>
    <w:rsid w:val="00537CBB"/>
    <w:rsid w:val="00537CC9"/>
    <w:rsid w:val="00537D9B"/>
    <w:rsid w:val="00537D9F"/>
    <w:rsid w:val="00537E31"/>
    <w:rsid w:val="00537F63"/>
    <w:rsid w:val="00540082"/>
    <w:rsid w:val="0054009B"/>
    <w:rsid w:val="005400A3"/>
    <w:rsid w:val="005401DF"/>
    <w:rsid w:val="0054020D"/>
    <w:rsid w:val="00540376"/>
    <w:rsid w:val="0054058D"/>
    <w:rsid w:val="00540597"/>
    <w:rsid w:val="00540599"/>
    <w:rsid w:val="005406B2"/>
    <w:rsid w:val="005406F1"/>
    <w:rsid w:val="005407EE"/>
    <w:rsid w:val="00540805"/>
    <w:rsid w:val="00540822"/>
    <w:rsid w:val="005408BC"/>
    <w:rsid w:val="00540A2F"/>
    <w:rsid w:val="00540C24"/>
    <w:rsid w:val="00540D41"/>
    <w:rsid w:val="00540EF6"/>
    <w:rsid w:val="00540FA7"/>
    <w:rsid w:val="0054108B"/>
    <w:rsid w:val="005411E3"/>
    <w:rsid w:val="005411E8"/>
    <w:rsid w:val="005412A3"/>
    <w:rsid w:val="0054130D"/>
    <w:rsid w:val="00541342"/>
    <w:rsid w:val="00541487"/>
    <w:rsid w:val="005414EA"/>
    <w:rsid w:val="00541503"/>
    <w:rsid w:val="0054157E"/>
    <w:rsid w:val="005417A5"/>
    <w:rsid w:val="00541868"/>
    <w:rsid w:val="005418B1"/>
    <w:rsid w:val="00541A39"/>
    <w:rsid w:val="00541A82"/>
    <w:rsid w:val="00541AA2"/>
    <w:rsid w:val="00541B20"/>
    <w:rsid w:val="00541C20"/>
    <w:rsid w:val="00541D3D"/>
    <w:rsid w:val="00541DA1"/>
    <w:rsid w:val="00541DBE"/>
    <w:rsid w:val="00541E48"/>
    <w:rsid w:val="00541F54"/>
    <w:rsid w:val="00541F7B"/>
    <w:rsid w:val="00542071"/>
    <w:rsid w:val="0054209E"/>
    <w:rsid w:val="00542155"/>
    <w:rsid w:val="005424B9"/>
    <w:rsid w:val="005425C8"/>
    <w:rsid w:val="005426FE"/>
    <w:rsid w:val="00542782"/>
    <w:rsid w:val="005427B8"/>
    <w:rsid w:val="005427D8"/>
    <w:rsid w:val="00542893"/>
    <w:rsid w:val="00542919"/>
    <w:rsid w:val="00542A9E"/>
    <w:rsid w:val="00542AE9"/>
    <w:rsid w:val="00542B48"/>
    <w:rsid w:val="00542F3B"/>
    <w:rsid w:val="00543145"/>
    <w:rsid w:val="0054315B"/>
    <w:rsid w:val="005431B9"/>
    <w:rsid w:val="00543281"/>
    <w:rsid w:val="0054344C"/>
    <w:rsid w:val="0054347E"/>
    <w:rsid w:val="005434F0"/>
    <w:rsid w:val="005435E2"/>
    <w:rsid w:val="005436C3"/>
    <w:rsid w:val="005439C3"/>
    <w:rsid w:val="005439CB"/>
    <w:rsid w:val="00543AC2"/>
    <w:rsid w:val="00543B6A"/>
    <w:rsid w:val="00543BB9"/>
    <w:rsid w:val="00543C0B"/>
    <w:rsid w:val="00543C2C"/>
    <w:rsid w:val="00543CEE"/>
    <w:rsid w:val="005441A8"/>
    <w:rsid w:val="00544419"/>
    <w:rsid w:val="005444A1"/>
    <w:rsid w:val="005444D1"/>
    <w:rsid w:val="005444F2"/>
    <w:rsid w:val="005445C0"/>
    <w:rsid w:val="005445E8"/>
    <w:rsid w:val="0054469F"/>
    <w:rsid w:val="005446D6"/>
    <w:rsid w:val="0054492B"/>
    <w:rsid w:val="005449DE"/>
    <w:rsid w:val="00544A73"/>
    <w:rsid w:val="00544BAA"/>
    <w:rsid w:val="00544BF5"/>
    <w:rsid w:val="00544C15"/>
    <w:rsid w:val="00544C37"/>
    <w:rsid w:val="00544C44"/>
    <w:rsid w:val="00544C6C"/>
    <w:rsid w:val="00544D8D"/>
    <w:rsid w:val="00544EA1"/>
    <w:rsid w:val="00544EE1"/>
    <w:rsid w:val="00544F07"/>
    <w:rsid w:val="00544F22"/>
    <w:rsid w:val="00545071"/>
    <w:rsid w:val="00545197"/>
    <w:rsid w:val="005452B9"/>
    <w:rsid w:val="005452DD"/>
    <w:rsid w:val="0054542A"/>
    <w:rsid w:val="0054547D"/>
    <w:rsid w:val="005455D1"/>
    <w:rsid w:val="005455ED"/>
    <w:rsid w:val="0054577D"/>
    <w:rsid w:val="0054585F"/>
    <w:rsid w:val="00545B7A"/>
    <w:rsid w:val="00545B9E"/>
    <w:rsid w:val="00545C77"/>
    <w:rsid w:val="00545D2A"/>
    <w:rsid w:val="00545D7E"/>
    <w:rsid w:val="00545DE7"/>
    <w:rsid w:val="00545DF1"/>
    <w:rsid w:val="00545E0B"/>
    <w:rsid w:val="00545E0D"/>
    <w:rsid w:val="00545E3C"/>
    <w:rsid w:val="00545EC2"/>
    <w:rsid w:val="00545F88"/>
    <w:rsid w:val="00545FAA"/>
    <w:rsid w:val="00545FEA"/>
    <w:rsid w:val="00546135"/>
    <w:rsid w:val="0054619A"/>
    <w:rsid w:val="005461D5"/>
    <w:rsid w:val="00546214"/>
    <w:rsid w:val="00546243"/>
    <w:rsid w:val="00546286"/>
    <w:rsid w:val="0054633E"/>
    <w:rsid w:val="00546565"/>
    <w:rsid w:val="005466CA"/>
    <w:rsid w:val="00546756"/>
    <w:rsid w:val="005467BD"/>
    <w:rsid w:val="00546836"/>
    <w:rsid w:val="0054685C"/>
    <w:rsid w:val="00546BD4"/>
    <w:rsid w:val="00546C41"/>
    <w:rsid w:val="00546CDD"/>
    <w:rsid w:val="00546DA1"/>
    <w:rsid w:val="00546EBA"/>
    <w:rsid w:val="00546FA5"/>
    <w:rsid w:val="0054708F"/>
    <w:rsid w:val="005472AA"/>
    <w:rsid w:val="005472E0"/>
    <w:rsid w:val="00547320"/>
    <w:rsid w:val="0054737C"/>
    <w:rsid w:val="00547385"/>
    <w:rsid w:val="00547419"/>
    <w:rsid w:val="00547663"/>
    <w:rsid w:val="00547883"/>
    <w:rsid w:val="0054796A"/>
    <w:rsid w:val="005479FE"/>
    <w:rsid w:val="00547BA7"/>
    <w:rsid w:val="00547DAE"/>
    <w:rsid w:val="00547DB3"/>
    <w:rsid w:val="005500AE"/>
    <w:rsid w:val="005500B7"/>
    <w:rsid w:val="0055017B"/>
    <w:rsid w:val="005502E0"/>
    <w:rsid w:val="005502F2"/>
    <w:rsid w:val="00550645"/>
    <w:rsid w:val="00550766"/>
    <w:rsid w:val="005507BD"/>
    <w:rsid w:val="005507DA"/>
    <w:rsid w:val="00550817"/>
    <w:rsid w:val="005508CB"/>
    <w:rsid w:val="00550916"/>
    <w:rsid w:val="00550918"/>
    <w:rsid w:val="00550966"/>
    <w:rsid w:val="00550C6D"/>
    <w:rsid w:val="00550C71"/>
    <w:rsid w:val="00550F00"/>
    <w:rsid w:val="00550F06"/>
    <w:rsid w:val="00550F26"/>
    <w:rsid w:val="00551099"/>
    <w:rsid w:val="0055110F"/>
    <w:rsid w:val="00551198"/>
    <w:rsid w:val="00551321"/>
    <w:rsid w:val="0055146D"/>
    <w:rsid w:val="005514E2"/>
    <w:rsid w:val="005515AB"/>
    <w:rsid w:val="005515B9"/>
    <w:rsid w:val="0055178E"/>
    <w:rsid w:val="005517E5"/>
    <w:rsid w:val="00551874"/>
    <w:rsid w:val="005519EE"/>
    <w:rsid w:val="00551AAD"/>
    <w:rsid w:val="00551B7B"/>
    <w:rsid w:val="00551C00"/>
    <w:rsid w:val="00551CAE"/>
    <w:rsid w:val="00551D85"/>
    <w:rsid w:val="00551F65"/>
    <w:rsid w:val="00551F91"/>
    <w:rsid w:val="00551FCB"/>
    <w:rsid w:val="00552037"/>
    <w:rsid w:val="005520AA"/>
    <w:rsid w:val="0055210D"/>
    <w:rsid w:val="00552246"/>
    <w:rsid w:val="00552251"/>
    <w:rsid w:val="00552357"/>
    <w:rsid w:val="00552590"/>
    <w:rsid w:val="0055260C"/>
    <w:rsid w:val="0055276B"/>
    <w:rsid w:val="00552879"/>
    <w:rsid w:val="00552C54"/>
    <w:rsid w:val="00552D2C"/>
    <w:rsid w:val="00553046"/>
    <w:rsid w:val="005530C1"/>
    <w:rsid w:val="005530D9"/>
    <w:rsid w:val="00553152"/>
    <w:rsid w:val="00553333"/>
    <w:rsid w:val="00553363"/>
    <w:rsid w:val="0055348D"/>
    <w:rsid w:val="00553556"/>
    <w:rsid w:val="0055361A"/>
    <w:rsid w:val="005537C9"/>
    <w:rsid w:val="005537F7"/>
    <w:rsid w:val="00553844"/>
    <w:rsid w:val="005538A4"/>
    <w:rsid w:val="005538C5"/>
    <w:rsid w:val="00553989"/>
    <w:rsid w:val="00553AE7"/>
    <w:rsid w:val="00553BA6"/>
    <w:rsid w:val="00553C3B"/>
    <w:rsid w:val="00553D13"/>
    <w:rsid w:val="00553DC9"/>
    <w:rsid w:val="00553F26"/>
    <w:rsid w:val="00553FB0"/>
    <w:rsid w:val="0055407D"/>
    <w:rsid w:val="005540F2"/>
    <w:rsid w:val="00554223"/>
    <w:rsid w:val="0055427B"/>
    <w:rsid w:val="005542AB"/>
    <w:rsid w:val="00554335"/>
    <w:rsid w:val="005544D1"/>
    <w:rsid w:val="005544E0"/>
    <w:rsid w:val="0055453F"/>
    <w:rsid w:val="00554AF1"/>
    <w:rsid w:val="00554DE9"/>
    <w:rsid w:val="00554E1A"/>
    <w:rsid w:val="00554EF7"/>
    <w:rsid w:val="00554F1A"/>
    <w:rsid w:val="00554FEB"/>
    <w:rsid w:val="00555005"/>
    <w:rsid w:val="00555042"/>
    <w:rsid w:val="00555051"/>
    <w:rsid w:val="005550B0"/>
    <w:rsid w:val="00555172"/>
    <w:rsid w:val="0055524F"/>
    <w:rsid w:val="00555370"/>
    <w:rsid w:val="005553C5"/>
    <w:rsid w:val="0055568B"/>
    <w:rsid w:val="005557C7"/>
    <w:rsid w:val="00555B03"/>
    <w:rsid w:val="00555C4C"/>
    <w:rsid w:val="00555CC9"/>
    <w:rsid w:val="00555E03"/>
    <w:rsid w:val="00555E26"/>
    <w:rsid w:val="0055610B"/>
    <w:rsid w:val="0055668D"/>
    <w:rsid w:val="005566BF"/>
    <w:rsid w:val="005566FE"/>
    <w:rsid w:val="005567AA"/>
    <w:rsid w:val="00556CF3"/>
    <w:rsid w:val="00556D42"/>
    <w:rsid w:val="00556DFF"/>
    <w:rsid w:val="005570BA"/>
    <w:rsid w:val="0055717B"/>
    <w:rsid w:val="0055730A"/>
    <w:rsid w:val="005573E1"/>
    <w:rsid w:val="00557450"/>
    <w:rsid w:val="005576BC"/>
    <w:rsid w:val="005576C0"/>
    <w:rsid w:val="00557753"/>
    <w:rsid w:val="00557797"/>
    <w:rsid w:val="005578B1"/>
    <w:rsid w:val="00557971"/>
    <w:rsid w:val="00557B8E"/>
    <w:rsid w:val="00557BF5"/>
    <w:rsid w:val="00557CC3"/>
    <w:rsid w:val="00557E54"/>
    <w:rsid w:val="00557F9F"/>
    <w:rsid w:val="00557FB2"/>
    <w:rsid w:val="00557FE7"/>
    <w:rsid w:val="00560033"/>
    <w:rsid w:val="005600DB"/>
    <w:rsid w:val="0056018A"/>
    <w:rsid w:val="005601DE"/>
    <w:rsid w:val="00560234"/>
    <w:rsid w:val="005602FF"/>
    <w:rsid w:val="0056043D"/>
    <w:rsid w:val="00560481"/>
    <w:rsid w:val="005606C0"/>
    <w:rsid w:val="00560726"/>
    <w:rsid w:val="005607C8"/>
    <w:rsid w:val="005608BA"/>
    <w:rsid w:val="00560915"/>
    <w:rsid w:val="0056095A"/>
    <w:rsid w:val="00560CA2"/>
    <w:rsid w:val="00560CD6"/>
    <w:rsid w:val="00560D8C"/>
    <w:rsid w:val="00560F77"/>
    <w:rsid w:val="005610D8"/>
    <w:rsid w:val="005610FA"/>
    <w:rsid w:val="0056110E"/>
    <w:rsid w:val="00561232"/>
    <w:rsid w:val="0056129B"/>
    <w:rsid w:val="005615BB"/>
    <w:rsid w:val="005615C9"/>
    <w:rsid w:val="005615F2"/>
    <w:rsid w:val="005617B5"/>
    <w:rsid w:val="005617B8"/>
    <w:rsid w:val="005617CB"/>
    <w:rsid w:val="00561831"/>
    <w:rsid w:val="00561891"/>
    <w:rsid w:val="005618DB"/>
    <w:rsid w:val="0056195C"/>
    <w:rsid w:val="005619D9"/>
    <w:rsid w:val="00561B18"/>
    <w:rsid w:val="00561B21"/>
    <w:rsid w:val="00561B82"/>
    <w:rsid w:val="00561CC4"/>
    <w:rsid w:val="00561DA6"/>
    <w:rsid w:val="00561DCB"/>
    <w:rsid w:val="00561DD6"/>
    <w:rsid w:val="00561DE7"/>
    <w:rsid w:val="00561E24"/>
    <w:rsid w:val="00561E2C"/>
    <w:rsid w:val="00561E36"/>
    <w:rsid w:val="00561ED5"/>
    <w:rsid w:val="00561EFF"/>
    <w:rsid w:val="00561F6E"/>
    <w:rsid w:val="00561FAD"/>
    <w:rsid w:val="005621A0"/>
    <w:rsid w:val="005621B7"/>
    <w:rsid w:val="005622DA"/>
    <w:rsid w:val="00562338"/>
    <w:rsid w:val="005624C5"/>
    <w:rsid w:val="00562553"/>
    <w:rsid w:val="00562682"/>
    <w:rsid w:val="00562803"/>
    <w:rsid w:val="005628BB"/>
    <w:rsid w:val="005628E5"/>
    <w:rsid w:val="005629BA"/>
    <w:rsid w:val="005629CE"/>
    <w:rsid w:val="00562A6C"/>
    <w:rsid w:val="00562A73"/>
    <w:rsid w:val="00562BF8"/>
    <w:rsid w:val="00562C84"/>
    <w:rsid w:val="00562D77"/>
    <w:rsid w:val="00562D83"/>
    <w:rsid w:val="00562F95"/>
    <w:rsid w:val="005632DD"/>
    <w:rsid w:val="0056330E"/>
    <w:rsid w:val="0056333E"/>
    <w:rsid w:val="005634A0"/>
    <w:rsid w:val="00563570"/>
    <w:rsid w:val="005635E0"/>
    <w:rsid w:val="0056361C"/>
    <w:rsid w:val="00563625"/>
    <w:rsid w:val="005639BE"/>
    <w:rsid w:val="00563B21"/>
    <w:rsid w:val="00564049"/>
    <w:rsid w:val="00564077"/>
    <w:rsid w:val="0056411E"/>
    <w:rsid w:val="005642A4"/>
    <w:rsid w:val="005642A5"/>
    <w:rsid w:val="005642B0"/>
    <w:rsid w:val="00564522"/>
    <w:rsid w:val="005645A2"/>
    <w:rsid w:val="005646A8"/>
    <w:rsid w:val="00564781"/>
    <w:rsid w:val="005649AD"/>
    <w:rsid w:val="00564A57"/>
    <w:rsid w:val="00564A8C"/>
    <w:rsid w:val="00564C85"/>
    <w:rsid w:val="00564CB5"/>
    <w:rsid w:val="00564E0F"/>
    <w:rsid w:val="00564EA6"/>
    <w:rsid w:val="00564F2C"/>
    <w:rsid w:val="00564F37"/>
    <w:rsid w:val="005650BF"/>
    <w:rsid w:val="00565129"/>
    <w:rsid w:val="005653E9"/>
    <w:rsid w:val="0056548C"/>
    <w:rsid w:val="005655C8"/>
    <w:rsid w:val="00565633"/>
    <w:rsid w:val="00565735"/>
    <w:rsid w:val="00565806"/>
    <w:rsid w:val="0056583C"/>
    <w:rsid w:val="0056584F"/>
    <w:rsid w:val="0056590E"/>
    <w:rsid w:val="005659E7"/>
    <w:rsid w:val="00565A29"/>
    <w:rsid w:val="00565B0C"/>
    <w:rsid w:val="00565B16"/>
    <w:rsid w:val="00565BE8"/>
    <w:rsid w:val="00565CEB"/>
    <w:rsid w:val="00565EC0"/>
    <w:rsid w:val="00565F74"/>
    <w:rsid w:val="00565FBF"/>
    <w:rsid w:val="005660D0"/>
    <w:rsid w:val="00566378"/>
    <w:rsid w:val="005665CB"/>
    <w:rsid w:val="00566724"/>
    <w:rsid w:val="005667B1"/>
    <w:rsid w:val="005667BF"/>
    <w:rsid w:val="005667FE"/>
    <w:rsid w:val="00566909"/>
    <w:rsid w:val="00566962"/>
    <w:rsid w:val="0056698B"/>
    <w:rsid w:val="00566CF9"/>
    <w:rsid w:val="00566DD2"/>
    <w:rsid w:val="00566DF1"/>
    <w:rsid w:val="00566E7A"/>
    <w:rsid w:val="00566F5F"/>
    <w:rsid w:val="00566F95"/>
    <w:rsid w:val="00566FBE"/>
    <w:rsid w:val="00566FDC"/>
    <w:rsid w:val="0056706A"/>
    <w:rsid w:val="00567070"/>
    <w:rsid w:val="005670BE"/>
    <w:rsid w:val="005670D1"/>
    <w:rsid w:val="00567125"/>
    <w:rsid w:val="00567228"/>
    <w:rsid w:val="0056732C"/>
    <w:rsid w:val="00567373"/>
    <w:rsid w:val="0056746D"/>
    <w:rsid w:val="005674B3"/>
    <w:rsid w:val="005675FC"/>
    <w:rsid w:val="00567790"/>
    <w:rsid w:val="00567ADB"/>
    <w:rsid w:val="00567AEC"/>
    <w:rsid w:val="00567B46"/>
    <w:rsid w:val="00567EE1"/>
    <w:rsid w:val="00567FBE"/>
    <w:rsid w:val="0057003C"/>
    <w:rsid w:val="00570095"/>
    <w:rsid w:val="00570413"/>
    <w:rsid w:val="00570570"/>
    <w:rsid w:val="0057067A"/>
    <w:rsid w:val="005706B4"/>
    <w:rsid w:val="00570712"/>
    <w:rsid w:val="005707F9"/>
    <w:rsid w:val="00570963"/>
    <w:rsid w:val="00570A9B"/>
    <w:rsid w:val="00570AC3"/>
    <w:rsid w:val="00570BC2"/>
    <w:rsid w:val="00570BCB"/>
    <w:rsid w:val="00570BD9"/>
    <w:rsid w:val="00570C0C"/>
    <w:rsid w:val="00570C61"/>
    <w:rsid w:val="00570C8D"/>
    <w:rsid w:val="00570C94"/>
    <w:rsid w:val="00570CA3"/>
    <w:rsid w:val="00571119"/>
    <w:rsid w:val="00571268"/>
    <w:rsid w:val="005715A2"/>
    <w:rsid w:val="005715B2"/>
    <w:rsid w:val="005715D5"/>
    <w:rsid w:val="005718C1"/>
    <w:rsid w:val="005719F9"/>
    <w:rsid w:val="00571A18"/>
    <w:rsid w:val="00571B45"/>
    <w:rsid w:val="00571C92"/>
    <w:rsid w:val="00571D49"/>
    <w:rsid w:val="00571E49"/>
    <w:rsid w:val="00571E63"/>
    <w:rsid w:val="00571ECE"/>
    <w:rsid w:val="00571EEF"/>
    <w:rsid w:val="00571EF0"/>
    <w:rsid w:val="00571FA6"/>
    <w:rsid w:val="00571FC7"/>
    <w:rsid w:val="0057201D"/>
    <w:rsid w:val="00572034"/>
    <w:rsid w:val="00572075"/>
    <w:rsid w:val="005720FD"/>
    <w:rsid w:val="0057215E"/>
    <w:rsid w:val="00572189"/>
    <w:rsid w:val="005721C1"/>
    <w:rsid w:val="005721F7"/>
    <w:rsid w:val="0057259E"/>
    <w:rsid w:val="005726E0"/>
    <w:rsid w:val="005726E8"/>
    <w:rsid w:val="00572764"/>
    <w:rsid w:val="005727DB"/>
    <w:rsid w:val="00572829"/>
    <w:rsid w:val="0057299D"/>
    <w:rsid w:val="005729AB"/>
    <w:rsid w:val="00572AE3"/>
    <w:rsid w:val="00572B2B"/>
    <w:rsid w:val="00572B81"/>
    <w:rsid w:val="00572BD5"/>
    <w:rsid w:val="00572D69"/>
    <w:rsid w:val="00572F94"/>
    <w:rsid w:val="00573367"/>
    <w:rsid w:val="0057341B"/>
    <w:rsid w:val="00573423"/>
    <w:rsid w:val="005734EA"/>
    <w:rsid w:val="00573501"/>
    <w:rsid w:val="00573561"/>
    <w:rsid w:val="0057389E"/>
    <w:rsid w:val="00573AB9"/>
    <w:rsid w:val="00573C82"/>
    <w:rsid w:val="00573CA3"/>
    <w:rsid w:val="00573CF3"/>
    <w:rsid w:val="00573FC2"/>
    <w:rsid w:val="0057402E"/>
    <w:rsid w:val="005740A9"/>
    <w:rsid w:val="00574159"/>
    <w:rsid w:val="00574239"/>
    <w:rsid w:val="00574289"/>
    <w:rsid w:val="005742F8"/>
    <w:rsid w:val="005743E8"/>
    <w:rsid w:val="00574643"/>
    <w:rsid w:val="0057466C"/>
    <w:rsid w:val="00574730"/>
    <w:rsid w:val="0057474E"/>
    <w:rsid w:val="005749ED"/>
    <w:rsid w:val="00574AD7"/>
    <w:rsid w:val="00574B37"/>
    <w:rsid w:val="00574B3C"/>
    <w:rsid w:val="00574BD0"/>
    <w:rsid w:val="00574CB0"/>
    <w:rsid w:val="005750D7"/>
    <w:rsid w:val="005751E0"/>
    <w:rsid w:val="00575298"/>
    <w:rsid w:val="005752AD"/>
    <w:rsid w:val="005752BA"/>
    <w:rsid w:val="00575355"/>
    <w:rsid w:val="0057536F"/>
    <w:rsid w:val="005753DE"/>
    <w:rsid w:val="00575489"/>
    <w:rsid w:val="005754D7"/>
    <w:rsid w:val="00575663"/>
    <w:rsid w:val="00575842"/>
    <w:rsid w:val="00575B36"/>
    <w:rsid w:val="00575D01"/>
    <w:rsid w:val="00575DA4"/>
    <w:rsid w:val="00575DD2"/>
    <w:rsid w:val="00575FCD"/>
    <w:rsid w:val="0057602B"/>
    <w:rsid w:val="00576041"/>
    <w:rsid w:val="0057613C"/>
    <w:rsid w:val="005761E3"/>
    <w:rsid w:val="005762B7"/>
    <w:rsid w:val="00576321"/>
    <w:rsid w:val="0057654F"/>
    <w:rsid w:val="00576896"/>
    <w:rsid w:val="005768CB"/>
    <w:rsid w:val="0057690C"/>
    <w:rsid w:val="0057694C"/>
    <w:rsid w:val="00576A13"/>
    <w:rsid w:val="00576A99"/>
    <w:rsid w:val="00576B3A"/>
    <w:rsid w:val="00576D36"/>
    <w:rsid w:val="00576DD6"/>
    <w:rsid w:val="00576E68"/>
    <w:rsid w:val="00576ED1"/>
    <w:rsid w:val="00576EFF"/>
    <w:rsid w:val="00576FC0"/>
    <w:rsid w:val="00577075"/>
    <w:rsid w:val="00577093"/>
    <w:rsid w:val="005771A8"/>
    <w:rsid w:val="0057727F"/>
    <w:rsid w:val="00577294"/>
    <w:rsid w:val="005772D3"/>
    <w:rsid w:val="005773B2"/>
    <w:rsid w:val="00577409"/>
    <w:rsid w:val="005774E2"/>
    <w:rsid w:val="00577542"/>
    <w:rsid w:val="005775A0"/>
    <w:rsid w:val="005775FB"/>
    <w:rsid w:val="005776D8"/>
    <w:rsid w:val="00577720"/>
    <w:rsid w:val="0057778C"/>
    <w:rsid w:val="005777C5"/>
    <w:rsid w:val="00577AC0"/>
    <w:rsid w:val="00577BA6"/>
    <w:rsid w:val="00577CFA"/>
    <w:rsid w:val="00577D28"/>
    <w:rsid w:val="00577F90"/>
    <w:rsid w:val="005800A4"/>
    <w:rsid w:val="005801B4"/>
    <w:rsid w:val="005801C1"/>
    <w:rsid w:val="0058033D"/>
    <w:rsid w:val="0058039E"/>
    <w:rsid w:val="0058061D"/>
    <w:rsid w:val="00580715"/>
    <w:rsid w:val="005807A4"/>
    <w:rsid w:val="00580A54"/>
    <w:rsid w:val="00580C7D"/>
    <w:rsid w:val="00580CC7"/>
    <w:rsid w:val="00580D77"/>
    <w:rsid w:val="00580D81"/>
    <w:rsid w:val="00581047"/>
    <w:rsid w:val="0058107D"/>
    <w:rsid w:val="005810D0"/>
    <w:rsid w:val="005811D9"/>
    <w:rsid w:val="005812BE"/>
    <w:rsid w:val="0058132C"/>
    <w:rsid w:val="00581422"/>
    <w:rsid w:val="00581448"/>
    <w:rsid w:val="00581544"/>
    <w:rsid w:val="00581553"/>
    <w:rsid w:val="0058175A"/>
    <w:rsid w:val="00581A11"/>
    <w:rsid w:val="00581A2A"/>
    <w:rsid w:val="00581A87"/>
    <w:rsid w:val="00581C55"/>
    <w:rsid w:val="00581D06"/>
    <w:rsid w:val="00581D8C"/>
    <w:rsid w:val="00581DF0"/>
    <w:rsid w:val="00581EE5"/>
    <w:rsid w:val="00581FA2"/>
    <w:rsid w:val="00582206"/>
    <w:rsid w:val="005823D7"/>
    <w:rsid w:val="005824C9"/>
    <w:rsid w:val="005825AB"/>
    <w:rsid w:val="005825E0"/>
    <w:rsid w:val="005826C4"/>
    <w:rsid w:val="005826DB"/>
    <w:rsid w:val="00582707"/>
    <w:rsid w:val="0058280F"/>
    <w:rsid w:val="0058289E"/>
    <w:rsid w:val="005829A7"/>
    <w:rsid w:val="00582A41"/>
    <w:rsid w:val="00582B53"/>
    <w:rsid w:val="00582B74"/>
    <w:rsid w:val="00582C23"/>
    <w:rsid w:val="00582C40"/>
    <w:rsid w:val="00582CCB"/>
    <w:rsid w:val="00582DF9"/>
    <w:rsid w:val="00582E84"/>
    <w:rsid w:val="00582FCB"/>
    <w:rsid w:val="0058319F"/>
    <w:rsid w:val="0058342F"/>
    <w:rsid w:val="0058346C"/>
    <w:rsid w:val="0058353A"/>
    <w:rsid w:val="005835E0"/>
    <w:rsid w:val="0058363A"/>
    <w:rsid w:val="00583742"/>
    <w:rsid w:val="0058391D"/>
    <w:rsid w:val="0058399F"/>
    <w:rsid w:val="00583AAF"/>
    <w:rsid w:val="00583AB7"/>
    <w:rsid w:val="00583B4D"/>
    <w:rsid w:val="00583B8A"/>
    <w:rsid w:val="00583CBC"/>
    <w:rsid w:val="00583CCE"/>
    <w:rsid w:val="00583E1E"/>
    <w:rsid w:val="00583EA9"/>
    <w:rsid w:val="00583EC2"/>
    <w:rsid w:val="005841CF"/>
    <w:rsid w:val="005841F3"/>
    <w:rsid w:val="00584215"/>
    <w:rsid w:val="005842A1"/>
    <w:rsid w:val="005843AF"/>
    <w:rsid w:val="00584428"/>
    <w:rsid w:val="00584535"/>
    <w:rsid w:val="00584549"/>
    <w:rsid w:val="00584585"/>
    <w:rsid w:val="0058472D"/>
    <w:rsid w:val="0058476C"/>
    <w:rsid w:val="005848A7"/>
    <w:rsid w:val="0058492B"/>
    <w:rsid w:val="00584ACC"/>
    <w:rsid w:val="00584C91"/>
    <w:rsid w:val="00584CD0"/>
    <w:rsid w:val="00584D3F"/>
    <w:rsid w:val="00584E5F"/>
    <w:rsid w:val="00584FF2"/>
    <w:rsid w:val="00585017"/>
    <w:rsid w:val="00585028"/>
    <w:rsid w:val="00585048"/>
    <w:rsid w:val="005851E5"/>
    <w:rsid w:val="005851E8"/>
    <w:rsid w:val="005851F0"/>
    <w:rsid w:val="00585397"/>
    <w:rsid w:val="005853C1"/>
    <w:rsid w:val="0058546F"/>
    <w:rsid w:val="00585472"/>
    <w:rsid w:val="00585473"/>
    <w:rsid w:val="00585477"/>
    <w:rsid w:val="005855F5"/>
    <w:rsid w:val="00585725"/>
    <w:rsid w:val="005858B9"/>
    <w:rsid w:val="00585991"/>
    <w:rsid w:val="00585E20"/>
    <w:rsid w:val="00585F69"/>
    <w:rsid w:val="00586047"/>
    <w:rsid w:val="005860AD"/>
    <w:rsid w:val="005861DA"/>
    <w:rsid w:val="005862BF"/>
    <w:rsid w:val="00586380"/>
    <w:rsid w:val="005863AE"/>
    <w:rsid w:val="005863BA"/>
    <w:rsid w:val="0058645B"/>
    <w:rsid w:val="00586478"/>
    <w:rsid w:val="00586734"/>
    <w:rsid w:val="0058674A"/>
    <w:rsid w:val="0058678E"/>
    <w:rsid w:val="005868C9"/>
    <w:rsid w:val="00586AB4"/>
    <w:rsid w:val="00586B00"/>
    <w:rsid w:val="00586C4E"/>
    <w:rsid w:val="00586DDF"/>
    <w:rsid w:val="00586E06"/>
    <w:rsid w:val="00586E3C"/>
    <w:rsid w:val="00586E64"/>
    <w:rsid w:val="00586EBD"/>
    <w:rsid w:val="00586FC0"/>
    <w:rsid w:val="005870A1"/>
    <w:rsid w:val="005873E9"/>
    <w:rsid w:val="005873F0"/>
    <w:rsid w:val="0058752B"/>
    <w:rsid w:val="005875A6"/>
    <w:rsid w:val="00587672"/>
    <w:rsid w:val="00587686"/>
    <w:rsid w:val="00587759"/>
    <w:rsid w:val="005877E8"/>
    <w:rsid w:val="00587809"/>
    <w:rsid w:val="0058787A"/>
    <w:rsid w:val="0058788B"/>
    <w:rsid w:val="005879EF"/>
    <w:rsid w:val="00587A3A"/>
    <w:rsid w:val="00587A3B"/>
    <w:rsid w:val="00587A6D"/>
    <w:rsid w:val="00587B52"/>
    <w:rsid w:val="00587C17"/>
    <w:rsid w:val="00587D70"/>
    <w:rsid w:val="00587D7B"/>
    <w:rsid w:val="00587E67"/>
    <w:rsid w:val="005900BA"/>
    <w:rsid w:val="005901BA"/>
    <w:rsid w:val="005901EC"/>
    <w:rsid w:val="00590276"/>
    <w:rsid w:val="005902F6"/>
    <w:rsid w:val="00590496"/>
    <w:rsid w:val="00590557"/>
    <w:rsid w:val="005905FB"/>
    <w:rsid w:val="00590744"/>
    <w:rsid w:val="00590748"/>
    <w:rsid w:val="005907F6"/>
    <w:rsid w:val="00590804"/>
    <w:rsid w:val="0059084C"/>
    <w:rsid w:val="00590ABD"/>
    <w:rsid w:val="00590B02"/>
    <w:rsid w:val="00590C59"/>
    <w:rsid w:val="00590DDA"/>
    <w:rsid w:val="00590DEF"/>
    <w:rsid w:val="005910BB"/>
    <w:rsid w:val="005910EB"/>
    <w:rsid w:val="00591125"/>
    <w:rsid w:val="0059118E"/>
    <w:rsid w:val="005911AA"/>
    <w:rsid w:val="00591325"/>
    <w:rsid w:val="0059132B"/>
    <w:rsid w:val="005913F5"/>
    <w:rsid w:val="00591432"/>
    <w:rsid w:val="0059146D"/>
    <w:rsid w:val="0059157C"/>
    <w:rsid w:val="00591678"/>
    <w:rsid w:val="005916DB"/>
    <w:rsid w:val="0059178C"/>
    <w:rsid w:val="005917A6"/>
    <w:rsid w:val="0059180D"/>
    <w:rsid w:val="00591873"/>
    <w:rsid w:val="005919E1"/>
    <w:rsid w:val="00591B28"/>
    <w:rsid w:val="00591C0D"/>
    <w:rsid w:val="00591D7A"/>
    <w:rsid w:val="0059205D"/>
    <w:rsid w:val="00592132"/>
    <w:rsid w:val="00592261"/>
    <w:rsid w:val="0059229B"/>
    <w:rsid w:val="00592438"/>
    <w:rsid w:val="0059249A"/>
    <w:rsid w:val="005924FD"/>
    <w:rsid w:val="00592559"/>
    <w:rsid w:val="0059256B"/>
    <w:rsid w:val="0059272D"/>
    <w:rsid w:val="005927D0"/>
    <w:rsid w:val="0059286D"/>
    <w:rsid w:val="005929DB"/>
    <w:rsid w:val="00592A3D"/>
    <w:rsid w:val="00592A88"/>
    <w:rsid w:val="00592A94"/>
    <w:rsid w:val="00592D8E"/>
    <w:rsid w:val="00592DF0"/>
    <w:rsid w:val="00592DF1"/>
    <w:rsid w:val="00592F7F"/>
    <w:rsid w:val="00593011"/>
    <w:rsid w:val="0059305F"/>
    <w:rsid w:val="0059309E"/>
    <w:rsid w:val="0059314F"/>
    <w:rsid w:val="00593291"/>
    <w:rsid w:val="005933A5"/>
    <w:rsid w:val="005933C3"/>
    <w:rsid w:val="0059374F"/>
    <w:rsid w:val="005937F3"/>
    <w:rsid w:val="0059398B"/>
    <w:rsid w:val="00593B12"/>
    <w:rsid w:val="00593D2D"/>
    <w:rsid w:val="00593D77"/>
    <w:rsid w:val="00593ED7"/>
    <w:rsid w:val="00593F7B"/>
    <w:rsid w:val="00594060"/>
    <w:rsid w:val="00594162"/>
    <w:rsid w:val="00594504"/>
    <w:rsid w:val="00594578"/>
    <w:rsid w:val="005946FC"/>
    <w:rsid w:val="00594766"/>
    <w:rsid w:val="005949AC"/>
    <w:rsid w:val="00594A03"/>
    <w:rsid w:val="00594AE1"/>
    <w:rsid w:val="00594E15"/>
    <w:rsid w:val="00594F5B"/>
    <w:rsid w:val="00594FB3"/>
    <w:rsid w:val="005950B7"/>
    <w:rsid w:val="005951AF"/>
    <w:rsid w:val="0059538D"/>
    <w:rsid w:val="00595496"/>
    <w:rsid w:val="0059560F"/>
    <w:rsid w:val="00595650"/>
    <w:rsid w:val="0059577F"/>
    <w:rsid w:val="00595BCF"/>
    <w:rsid w:val="00595C1D"/>
    <w:rsid w:val="00595C50"/>
    <w:rsid w:val="00595D10"/>
    <w:rsid w:val="00595D11"/>
    <w:rsid w:val="00595D5D"/>
    <w:rsid w:val="00595D62"/>
    <w:rsid w:val="00595F5D"/>
    <w:rsid w:val="00596077"/>
    <w:rsid w:val="0059607F"/>
    <w:rsid w:val="00596115"/>
    <w:rsid w:val="005961F4"/>
    <w:rsid w:val="00596294"/>
    <w:rsid w:val="005962BD"/>
    <w:rsid w:val="00596312"/>
    <w:rsid w:val="0059646E"/>
    <w:rsid w:val="00596482"/>
    <w:rsid w:val="005965F2"/>
    <w:rsid w:val="005966C3"/>
    <w:rsid w:val="005967BF"/>
    <w:rsid w:val="00596886"/>
    <w:rsid w:val="005968D0"/>
    <w:rsid w:val="0059694D"/>
    <w:rsid w:val="00596AF3"/>
    <w:rsid w:val="00596C2E"/>
    <w:rsid w:val="00596CD7"/>
    <w:rsid w:val="00596D62"/>
    <w:rsid w:val="00596D6A"/>
    <w:rsid w:val="00596E09"/>
    <w:rsid w:val="00596E24"/>
    <w:rsid w:val="00596E6B"/>
    <w:rsid w:val="00596E7C"/>
    <w:rsid w:val="00596EC8"/>
    <w:rsid w:val="00596F12"/>
    <w:rsid w:val="00596F83"/>
    <w:rsid w:val="00597139"/>
    <w:rsid w:val="00597373"/>
    <w:rsid w:val="00597672"/>
    <w:rsid w:val="00597677"/>
    <w:rsid w:val="00597A79"/>
    <w:rsid w:val="00597A82"/>
    <w:rsid w:val="00597B68"/>
    <w:rsid w:val="00597C17"/>
    <w:rsid w:val="00597CC3"/>
    <w:rsid w:val="00597CFD"/>
    <w:rsid w:val="00597D38"/>
    <w:rsid w:val="00597FB3"/>
    <w:rsid w:val="005A0098"/>
    <w:rsid w:val="005A015B"/>
    <w:rsid w:val="005A02F2"/>
    <w:rsid w:val="005A02F8"/>
    <w:rsid w:val="005A0373"/>
    <w:rsid w:val="005A04A6"/>
    <w:rsid w:val="005A053F"/>
    <w:rsid w:val="005A069A"/>
    <w:rsid w:val="005A06A1"/>
    <w:rsid w:val="005A0720"/>
    <w:rsid w:val="005A0810"/>
    <w:rsid w:val="005A0991"/>
    <w:rsid w:val="005A09AA"/>
    <w:rsid w:val="005A0A4B"/>
    <w:rsid w:val="005A0A6A"/>
    <w:rsid w:val="005A0B66"/>
    <w:rsid w:val="005A0B96"/>
    <w:rsid w:val="005A0C25"/>
    <w:rsid w:val="005A0C48"/>
    <w:rsid w:val="005A0D1E"/>
    <w:rsid w:val="005A0D7A"/>
    <w:rsid w:val="005A0E25"/>
    <w:rsid w:val="005A0FAC"/>
    <w:rsid w:val="005A102E"/>
    <w:rsid w:val="005A1170"/>
    <w:rsid w:val="005A1175"/>
    <w:rsid w:val="005A1265"/>
    <w:rsid w:val="005A149F"/>
    <w:rsid w:val="005A14B4"/>
    <w:rsid w:val="005A15DB"/>
    <w:rsid w:val="005A16A9"/>
    <w:rsid w:val="005A16FA"/>
    <w:rsid w:val="005A1700"/>
    <w:rsid w:val="005A1756"/>
    <w:rsid w:val="005A1813"/>
    <w:rsid w:val="005A1848"/>
    <w:rsid w:val="005A19E1"/>
    <w:rsid w:val="005A1A08"/>
    <w:rsid w:val="005A1A4C"/>
    <w:rsid w:val="005A1BAA"/>
    <w:rsid w:val="005A1BB6"/>
    <w:rsid w:val="005A1BD8"/>
    <w:rsid w:val="005A1BFB"/>
    <w:rsid w:val="005A2014"/>
    <w:rsid w:val="005A201C"/>
    <w:rsid w:val="005A20F2"/>
    <w:rsid w:val="005A21DB"/>
    <w:rsid w:val="005A223D"/>
    <w:rsid w:val="005A224A"/>
    <w:rsid w:val="005A24FA"/>
    <w:rsid w:val="005A2506"/>
    <w:rsid w:val="005A26EE"/>
    <w:rsid w:val="005A2751"/>
    <w:rsid w:val="005A27F2"/>
    <w:rsid w:val="005A28B6"/>
    <w:rsid w:val="005A293F"/>
    <w:rsid w:val="005A29A6"/>
    <w:rsid w:val="005A29FC"/>
    <w:rsid w:val="005A2B22"/>
    <w:rsid w:val="005A2B84"/>
    <w:rsid w:val="005A2D2E"/>
    <w:rsid w:val="005A2E77"/>
    <w:rsid w:val="005A2ECC"/>
    <w:rsid w:val="005A301F"/>
    <w:rsid w:val="005A30EA"/>
    <w:rsid w:val="005A3535"/>
    <w:rsid w:val="005A3595"/>
    <w:rsid w:val="005A36E7"/>
    <w:rsid w:val="005A37D5"/>
    <w:rsid w:val="005A381E"/>
    <w:rsid w:val="005A3A20"/>
    <w:rsid w:val="005A3B11"/>
    <w:rsid w:val="005A3B8F"/>
    <w:rsid w:val="005A3C3B"/>
    <w:rsid w:val="005A3C69"/>
    <w:rsid w:val="005A3D8D"/>
    <w:rsid w:val="005A3D98"/>
    <w:rsid w:val="005A3E06"/>
    <w:rsid w:val="005A3FDB"/>
    <w:rsid w:val="005A4005"/>
    <w:rsid w:val="005A4198"/>
    <w:rsid w:val="005A42CE"/>
    <w:rsid w:val="005A4321"/>
    <w:rsid w:val="005A4360"/>
    <w:rsid w:val="005A4483"/>
    <w:rsid w:val="005A4509"/>
    <w:rsid w:val="005A4699"/>
    <w:rsid w:val="005A47D6"/>
    <w:rsid w:val="005A47D7"/>
    <w:rsid w:val="005A4818"/>
    <w:rsid w:val="005A483D"/>
    <w:rsid w:val="005A4926"/>
    <w:rsid w:val="005A49D6"/>
    <w:rsid w:val="005A4B18"/>
    <w:rsid w:val="005A4BD8"/>
    <w:rsid w:val="005A4DBB"/>
    <w:rsid w:val="005A4F21"/>
    <w:rsid w:val="005A4FEC"/>
    <w:rsid w:val="005A5038"/>
    <w:rsid w:val="005A51B7"/>
    <w:rsid w:val="005A51C6"/>
    <w:rsid w:val="005A51DC"/>
    <w:rsid w:val="005A5336"/>
    <w:rsid w:val="005A567E"/>
    <w:rsid w:val="005A5846"/>
    <w:rsid w:val="005A584B"/>
    <w:rsid w:val="005A58BA"/>
    <w:rsid w:val="005A58CF"/>
    <w:rsid w:val="005A58D3"/>
    <w:rsid w:val="005A5A84"/>
    <w:rsid w:val="005A5C36"/>
    <w:rsid w:val="005A5C59"/>
    <w:rsid w:val="005A5DB0"/>
    <w:rsid w:val="005A5DB2"/>
    <w:rsid w:val="005A5DFF"/>
    <w:rsid w:val="005A5E28"/>
    <w:rsid w:val="005A5FB7"/>
    <w:rsid w:val="005A60BF"/>
    <w:rsid w:val="005A60E2"/>
    <w:rsid w:val="005A6176"/>
    <w:rsid w:val="005A620E"/>
    <w:rsid w:val="005A6272"/>
    <w:rsid w:val="005A6289"/>
    <w:rsid w:val="005A628D"/>
    <w:rsid w:val="005A62C4"/>
    <w:rsid w:val="005A63D9"/>
    <w:rsid w:val="005A649E"/>
    <w:rsid w:val="005A64EC"/>
    <w:rsid w:val="005A6512"/>
    <w:rsid w:val="005A652B"/>
    <w:rsid w:val="005A65EF"/>
    <w:rsid w:val="005A661B"/>
    <w:rsid w:val="005A6890"/>
    <w:rsid w:val="005A6A9B"/>
    <w:rsid w:val="005A6B79"/>
    <w:rsid w:val="005A6CF7"/>
    <w:rsid w:val="005A6D8D"/>
    <w:rsid w:val="005A710D"/>
    <w:rsid w:val="005A7118"/>
    <w:rsid w:val="005A7183"/>
    <w:rsid w:val="005A7192"/>
    <w:rsid w:val="005A7453"/>
    <w:rsid w:val="005A7541"/>
    <w:rsid w:val="005A774D"/>
    <w:rsid w:val="005A77C1"/>
    <w:rsid w:val="005A7908"/>
    <w:rsid w:val="005A7956"/>
    <w:rsid w:val="005A7AEC"/>
    <w:rsid w:val="005A7B6B"/>
    <w:rsid w:val="005A7B9B"/>
    <w:rsid w:val="005A7C28"/>
    <w:rsid w:val="005A7D38"/>
    <w:rsid w:val="005A7E4D"/>
    <w:rsid w:val="005A7F48"/>
    <w:rsid w:val="005B0018"/>
    <w:rsid w:val="005B003A"/>
    <w:rsid w:val="005B00BB"/>
    <w:rsid w:val="005B00E7"/>
    <w:rsid w:val="005B017F"/>
    <w:rsid w:val="005B02B6"/>
    <w:rsid w:val="005B02D5"/>
    <w:rsid w:val="005B031F"/>
    <w:rsid w:val="005B03F9"/>
    <w:rsid w:val="005B0473"/>
    <w:rsid w:val="005B08D0"/>
    <w:rsid w:val="005B094E"/>
    <w:rsid w:val="005B09CC"/>
    <w:rsid w:val="005B0A1F"/>
    <w:rsid w:val="005B0A4F"/>
    <w:rsid w:val="005B0A5C"/>
    <w:rsid w:val="005B0A98"/>
    <w:rsid w:val="005B0B33"/>
    <w:rsid w:val="005B0B41"/>
    <w:rsid w:val="005B0D2A"/>
    <w:rsid w:val="005B0D7A"/>
    <w:rsid w:val="005B0E77"/>
    <w:rsid w:val="005B0EEA"/>
    <w:rsid w:val="005B117C"/>
    <w:rsid w:val="005B1214"/>
    <w:rsid w:val="005B12FF"/>
    <w:rsid w:val="005B13CE"/>
    <w:rsid w:val="005B13E5"/>
    <w:rsid w:val="005B1541"/>
    <w:rsid w:val="005B158F"/>
    <w:rsid w:val="005B17A5"/>
    <w:rsid w:val="005B1800"/>
    <w:rsid w:val="005B1985"/>
    <w:rsid w:val="005B19F4"/>
    <w:rsid w:val="005B1A0E"/>
    <w:rsid w:val="005B1AF4"/>
    <w:rsid w:val="005B1B91"/>
    <w:rsid w:val="005B1DC6"/>
    <w:rsid w:val="005B1E7A"/>
    <w:rsid w:val="005B215A"/>
    <w:rsid w:val="005B2197"/>
    <w:rsid w:val="005B2211"/>
    <w:rsid w:val="005B2276"/>
    <w:rsid w:val="005B26B9"/>
    <w:rsid w:val="005B26F0"/>
    <w:rsid w:val="005B2914"/>
    <w:rsid w:val="005B2942"/>
    <w:rsid w:val="005B2A7E"/>
    <w:rsid w:val="005B2B18"/>
    <w:rsid w:val="005B2C40"/>
    <w:rsid w:val="005B2CDB"/>
    <w:rsid w:val="005B2DA4"/>
    <w:rsid w:val="005B2F3D"/>
    <w:rsid w:val="005B30D9"/>
    <w:rsid w:val="005B31F0"/>
    <w:rsid w:val="005B335D"/>
    <w:rsid w:val="005B3360"/>
    <w:rsid w:val="005B355A"/>
    <w:rsid w:val="005B36D3"/>
    <w:rsid w:val="005B3835"/>
    <w:rsid w:val="005B3A43"/>
    <w:rsid w:val="005B3A94"/>
    <w:rsid w:val="005B3C3D"/>
    <w:rsid w:val="005B3C6C"/>
    <w:rsid w:val="005B3C71"/>
    <w:rsid w:val="005B3CE2"/>
    <w:rsid w:val="005B3D6E"/>
    <w:rsid w:val="005B3F12"/>
    <w:rsid w:val="005B3F74"/>
    <w:rsid w:val="005B405E"/>
    <w:rsid w:val="005B4067"/>
    <w:rsid w:val="005B4093"/>
    <w:rsid w:val="005B41EF"/>
    <w:rsid w:val="005B4272"/>
    <w:rsid w:val="005B43AB"/>
    <w:rsid w:val="005B44A8"/>
    <w:rsid w:val="005B44F7"/>
    <w:rsid w:val="005B45F2"/>
    <w:rsid w:val="005B4837"/>
    <w:rsid w:val="005B490B"/>
    <w:rsid w:val="005B4AB2"/>
    <w:rsid w:val="005B4B81"/>
    <w:rsid w:val="005B4BD0"/>
    <w:rsid w:val="005B4E9D"/>
    <w:rsid w:val="005B4EF5"/>
    <w:rsid w:val="005B4FB0"/>
    <w:rsid w:val="005B50B9"/>
    <w:rsid w:val="005B5101"/>
    <w:rsid w:val="005B52AA"/>
    <w:rsid w:val="005B5308"/>
    <w:rsid w:val="005B54B8"/>
    <w:rsid w:val="005B56B0"/>
    <w:rsid w:val="005B5784"/>
    <w:rsid w:val="005B5851"/>
    <w:rsid w:val="005B5857"/>
    <w:rsid w:val="005B5875"/>
    <w:rsid w:val="005B58C8"/>
    <w:rsid w:val="005B5A61"/>
    <w:rsid w:val="005B5A8C"/>
    <w:rsid w:val="005B5AA9"/>
    <w:rsid w:val="005B5AB0"/>
    <w:rsid w:val="005B5B10"/>
    <w:rsid w:val="005B5B25"/>
    <w:rsid w:val="005B5B80"/>
    <w:rsid w:val="005B5B9D"/>
    <w:rsid w:val="005B5D27"/>
    <w:rsid w:val="005B5DBA"/>
    <w:rsid w:val="005B5E58"/>
    <w:rsid w:val="005B5EFB"/>
    <w:rsid w:val="005B5F27"/>
    <w:rsid w:val="005B6078"/>
    <w:rsid w:val="005B60A4"/>
    <w:rsid w:val="005B60AB"/>
    <w:rsid w:val="005B6256"/>
    <w:rsid w:val="005B638B"/>
    <w:rsid w:val="005B6417"/>
    <w:rsid w:val="005B6421"/>
    <w:rsid w:val="005B6467"/>
    <w:rsid w:val="005B6512"/>
    <w:rsid w:val="005B6698"/>
    <w:rsid w:val="005B696B"/>
    <w:rsid w:val="005B6AA0"/>
    <w:rsid w:val="005B6ACB"/>
    <w:rsid w:val="005B6C23"/>
    <w:rsid w:val="005B6CBF"/>
    <w:rsid w:val="005B6D1A"/>
    <w:rsid w:val="005B6D4F"/>
    <w:rsid w:val="005B6D6B"/>
    <w:rsid w:val="005B711E"/>
    <w:rsid w:val="005B7178"/>
    <w:rsid w:val="005B7381"/>
    <w:rsid w:val="005B73AD"/>
    <w:rsid w:val="005B7456"/>
    <w:rsid w:val="005B74F5"/>
    <w:rsid w:val="005B75C3"/>
    <w:rsid w:val="005B7734"/>
    <w:rsid w:val="005B7745"/>
    <w:rsid w:val="005B77CC"/>
    <w:rsid w:val="005B78F7"/>
    <w:rsid w:val="005B7B3E"/>
    <w:rsid w:val="005B7B6A"/>
    <w:rsid w:val="005B7BDC"/>
    <w:rsid w:val="005B7C9E"/>
    <w:rsid w:val="005B7D74"/>
    <w:rsid w:val="005B7D7F"/>
    <w:rsid w:val="005B7DA7"/>
    <w:rsid w:val="005B7E9B"/>
    <w:rsid w:val="005C015D"/>
    <w:rsid w:val="005C01CE"/>
    <w:rsid w:val="005C0271"/>
    <w:rsid w:val="005C05C9"/>
    <w:rsid w:val="005C0703"/>
    <w:rsid w:val="005C073A"/>
    <w:rsid w:val="005C07C4"/>
    <w:rsid w:val="005C07D6"/>
    <w:rsid w:val="005C08B6"/>
    <w:rsid w:val="005C0965"/>
    <w:rsid w:val="005C0A8B"/>
    <w:rsid w:val="005C0AB3"/>
    <w:rsid w:val="005C0BC3"/>
    <w:rsid w:val="005C0C9A"/>
    <w:rsid w:val="005C0DB7"/>
    <w:rsid w:val="005C0F6F"/>
    <w:rsid w:val="005C0F74"/>
    <w:rsid w:val="005C12A4"/>
    <w:rsid w:val="005C1364"/>
    <w:rsid w:val="005C1554"/>
    <w:rsid w:val="005C1582"/>
    <w:rsid w:val="005C1721"/>
    <w:rsid w:val="005C178A"/>
    <w:rsid w:val="005C1842"/>
    <w:rsid w:val="005C1A5A"/>
    <w:rsid w:val="005C1B06"/>
    <w:rsid w:val="005C1B27"/>
    <w:rsid w:val="005C1E36"/>
    <w:rsid w:val="005C1E9C"/>
    <w:rsid w:val="005C1EAC"/>
    <w:rsid w:val="005C1F7B"/>
    <w:rsid w:val="005C2069"/>
    <w:rsid w:val="005C2207"/>
    <w:rsid w:val="005C2233"/>
    <w:rsid w:val="005C226F"/>
    <w:rsid w:val="005C227D"/>
    <w:rsid w:val="005C2342"/>
    <w:rsid w:val="005C2385"/>
    <w:rsid w:val="005C23FB"/>
    <w:rsid w:val="005C2432"/>
    <w:rsid w:val="005C24D8"/>
    <w:rsid w:val="005C261F"/>
    <w:rsid w:val="005C2642"/>
    <w:rsid w:val="005C268D"/>
    <w:rsid w:val="005C2723"/>
    <w:rsid w:val="005C27F3"/>
    <w:rsid w:val="005C28A6"/>
    <w:rsid w:val="005C28E5"/>
    <w:rsid w:val="005C28EA"/>
    <w:rsid w:val="005C2A23"/>
    <w:rsid w:val="005C2ACA"/>
    <w:rsid w:val="005C2B49"/>
    <w:rsid w:val="005C2B9B"/>
    <w:rsid w:val="005C2BAF"/>
    <w:rsid w:val="005C2C53"/>
    <w:rsid w:val="005C2CC5"/>
    <w:rsid w:val="005C2D61"/>
    <w:rsid w:val="005C2FF4"/>
    <w:rsid w:val="005C30E1"/>
    <w:rsid w:val="005C32DC"/>
    <w:rsid w:val="005C349D"/>
    <w:rsid w:val="005C3748"/>
    <w:rsid w:val="005C3920"/>
    <w:rsid w:val="005C3986"/>
    <w:rsid w:val="005C3994"/>
    <w:rsid w:val="005C3BF2"/>
    <w:rsid w:val="005C3DAB"/>
    <w:rsid w:val="005C3DF5"/>
    <w:rsid w:val="005C3EE4"/>
    <w:rsid w:val="005C3F59"/>
    <w:rsid w:val="005C4051"/>
    <w:rsid w:val="005C409B"/>
    <w:rsid w:val="005C4140"/>
    <w:rsid w:val="005C421C"/>
    <w:rsid w:val="005C423D"/>
    <w:rsid w:val="005C425E"/>
    <w:rsid w:val="005C4318"/>
    <w:rsid w:val="005C4377"/>
    <w:rsid w:val="005C4422"/>
    <w:rsid w:val="005C45DD"/>
    <w:rsid w:val="005C4641"/>
    <w:rsid w:val="005C465F"/>
    <w:rsid w:val="005C467A"/>
    <w:rsid w:val="005C480F"/>
    <w:rsid w:val="005C4826"/>
    <w:rsid w:val="005C495E"/>
    <w:rsid w:val="005C495F"/>
    <w:rsid w:val="005C4A3C"/>
    <w:rsid w:val="005C4B52"/>
    <w:rsid w:val="005C4B9F"/>
    <w:rsid w:val="005C4BD6"/>
    <w:rsid w:val="005C4D86"/>
    <w:rsid w:val="005C4EC7"/>
    <w:rsid w:val="005C4F43"/>
    <w:rsid w:val="005C50D4"/>
    <w:rsid w:val="005C52BA"/>
    <w:rsid w:val="005C53E0"/>
    <w:rsid w:val="005C53F3"/>
    <w:rsid w:val="005C5548"/>
    <w:rsid w:val="005C56C3"/>
    <w:rsid w:val="005C56C4"/>
    <w:rsid w:val="005C574C"/>
    <w:rsid w:val="005C5770"/>
    <w:rsid w:val="005C58CD"/>
    <w:rsid w:val="005C58FE"/>
    <w:rsid w:val="005C5922"/>
    <w:rsid w:val="005C59A9"/>
    <w:rsid w:val="005C59DE"/>
    <w:rsid w:val="005C5B5A"/>
    <w:rsid w:val="005C5C24"/>
    <w:rsid w:val="005C5C76"/>
    <w:rsid w:val="005C5E66"/>
    <w:rsid w:val="005C5E70"/>
    <w:rsid w:val="005C5EBD"/>
    <w:rsid w:val="005C5EFF"/>
    <w:rsid w:val="005C5F89"/>
    <w:rsid w:val="005C628E"/>
    <w:rsid w:val="005C636F"/>
    <w:rsid w:val="005C64E4"/>
    <w:rsid w:val="005C658E"/>
    <w:rsid w:val="005C65DD"/>
    <w:rsid w:val="005C669F"/>
    <w:rsid w:val="005C670C"/>
    <w:rsid w:val="005C68AB"/>
    <w:rsid w:val="005C69A1"/>
    <w:rsid w:val="005C6AB0"/>
    <w:rsid w:val="005C6ABD"/>
    <w:rsid w:val="005C6B12"/>
    <w:rsid w:val="005C6BAF"/>
    <w:rsid w:val="005C6BD8"/>
    <w:rsid w:val="005C6CEB"/>
    <w:rsid w:val="005C6DD6"/>
    <w:rsid w:val="005C6E9F"/>
    <w:rsid w:val="005C6F0C"/>
    <w:rsid w:val="005C702B"/>
    <w:rsid w:val="005C7043"/>
    <w:rsid w:val="005C7048"/>
    <w:rsid w:val="005C72AB"/>
    <w:rsid w:val="005C72D0"/>
    <w:rsid w:val="005C7414"/>
    <w:rsid w:val="005C745A"/>
    <w:rsid w:val="005C7577"/>
    <w:rsid w:val="005C7578"/>
    <w:rsid w:val="005C76B4"/>
    <w:rsid w:val="005C7767"/>
    <w:rsid w:val="005C793D"/>
    <w:rsid w:val="005C7C49"/>
    <w:rsid w:val="005C7DE8"/>
    <w:rsid w:val="005D016E"/>
    <w:rsid w:val="005D0297"/>
    <w:rsid w:val="005D02C3"/>
    <w:rsid w:val="005D0320"/>
    <w:rsid w:val="005D0377"/>
    <w:rsid w:val="005D0427"/>
    <w:rsid w:val="005D05C8"/>
    <w:rsid w:val="005D0600"/>
    <w:rsid w:val="005D077F"/>
    <w:rsid w:val="005D078B"/>
    <w:rsid w:val="005D083F"/>
    <w:rsid w:val="005D099C"/>
    <w:rsid w:val="005D0AC1"/>
    <w:rsid w:val="005D0AFF"/>
    <w:rsid w:val="005D0D4E"/>
    <w:rsid w:val="005D0E92"/>
    <w:rsid w:val="005D0FAB"/>
    <w:rsid w:val="005D1050"/>
    <w:rsid w:val="005D106D"/>
    <w:rsid w:val="005D11F6"/>
    <w:rsid w:val="005D13B9"/>
    <w:rsid w:val="005D1609"/>
    <w:rsid w:val="005D16CF"/>
    <w:rsid w:val="005D176F"/>
    <w:rsid w:val="005D184D"/>
    <w:rsid w:val="005D185C"/>
    <w:rsid w:val="005D195D"/>
    <w:rsid w:val="005D19E8"/>
    <w:rsid w:val="005D1A39"/>
    <w:rsid w:val="005D1BA3"/>
    <w:rsid w:val="005D1BA4"/>
    <w:rsid w:val="005D1C47"/>
    <w:rsid w:val="005D1D41"/>
    <w:rsid w:val="005D1EF7"/>
    <w:rsid w:val="005D1F05"/>
    <w:rsid w:val="005D1F4F"/>
    <w:rsid w:val="005D1F98"/>
    <w:rsid w:val="005D1FA1"/>
    <w:rsid w:val="005D21F3"/>
    <w:rsid w:val="005D2285"/>
    <w:rsid w:val="005D2310"/>
    <w:rsid w:val="005D2390"/>
    <w:rsid w:val="005D2563"/>
    <w:rsid w:val="005D2602"/>
    <w:rsid w:val="005D26AA"/>
    <w:rsid w:val="005D271E"/>
    <w:rsid w:val="005D2760"/>
    <w:rsid w:val="005D2793"/>
    <w:rsid w:val="005D27D1"/>
    <w:rsid w:val="005D2900"/>
    <w:rsid w:val="005D2A18"/>
    <w:rsid w:val="005D2A57"/>
    <w:rsid w:val="005D2A81"/>
    <w:rsid w:val="005D2AD4"/>
    <w:rsid w:val="005D2AD6"/>
    <w:rsid w:val="005D2BC2"/>
    <w:rsid w:val="005D2BEC"/>
    <w:rsid w:val="005D2DA7"/>
    <w:rsid w:val="005D2E46"/>
    <w:rsid w:val="005D2F07"/>
    <w:rsid w:val="005D32D4"/>
    <w:rsid w:val="005D332D"/>
    <w:rsid w:val="005D3352"/>
    <w:rsid w:val="005D33B9"/>
    <w:rsid w:val="005D36C6"/>
    <w:rsid w:val="005D372D"/>
    <w:rsid w:val="005D3758"/>
    <w:rsid w:val="005D3809"/>
    <w:rsid w:val="005D3931"/>
    <w:rsid w:val="005D3960"/>
    <w:rsid w:val="005D398B"/>
    <w:rsid w:val="005D3B7F"/>
    <w:rsid w:val="005D3CF7"/>
    <w:rsid w:val="005D3E17"/>
    <w:rsid w:val="005D401E"/>
    <w:rsid w:val="005D4114"/>
    <w:rsid w:val="005D41E1"/>
    <w:rsid w:val="005D4349"/>
    <w:rsid w:val="005D4489"/>
    <w:rsid w:val="005D44F6"/>
    <w:rsid w:val="005D451D"/>
    <w:rsid w:val="005D4598"/>
    <w:rsid w:val="005D4631"/>
    <w:rsid w:val="005D466C"/>
    <w:rsid w:val="005D4C49"/>
    <w:rsid w:val="005D4CBA"/>
    <w:rsid w:val="005D4CD4"/>
    <w:rsid w:val="005D4D89"/>
    <w:rsid w:val="005D4F01"/>
    <w:rsid w:val="005D530C"/>
    <w:rsid w:val="005D5528"/>
    <w:rsid w:val="005D55D1"/>
    <w:rsid w:val="005D5604"/>
    <w:rsid w:val="005D5732"/>
    <w:rsid w:val="005D573F"/>
    <w:rsid w:val="005D5850"/>
    <w:rsid w:val="005D5854"/>
    <w:rsid w:val="005D5A1C"/>
    <w:rsid w:val="005D5B55"/>
    <w:rsid w:val="005D5FA5"/>
    <w:rsid w:val="005D60C4"/>
    <w:rsid w:val="005D6252"/>
    <w:rsid w:val="005D6411"/>
    <w:rsid w:val="005D6414"/>
    <w:rsid w:val="005D6444"/>
    <w:rsid w:val="005D645D"/>
    <w:rsid w:val="005D6598"/>
    <w:rsid w:val="005D6BBF"/>
    <w:rsid w:val="005D6BCE"/>
    <w:rsid w:val="005D6C9F"/>
    <w:rsid w:val="005D6DE5"/>
    <w:rsid w:val="005D6E63"/>
    <w:rsid w:val="005D7138"/>
    <w:rsid w:val="005D713E"/>
    <w:rsid w:val="005D71ED"/>
    <w:rsid w:val="005D7210"/>
    <w:rsid w:val="005D731C"/>
    <w:rsid w:val="005D73B1"/>
    <w:rsid w:val="005D74D7"/>
    <w:rsid w:val="005D74EE"/>
    <w:rsid w:val="005D756F"/>
    <w:rsid w:val="005D7706"/>
    <w:rsid w:val="005D77B4"/>
    <w:rsid w:val="005D7997"/>
    <w:rsid w:val="005D7AE5"/>
    <w:rsid w:val="005D7D16"/>
    <w:rsid w:val="005D7E61"/>
    <w:rsid w:val="005D7E9F"/>
    <w:rsid w:val="005D7F6B"/>
    <w:rsid w:val="005E01B6"/>
    <w:rsid w:val="005E0238"/>
    <w:rsid w:val="005E02D7"/>
    <w:rsid w:val="005E0428"/>
    <w:rsid w:val="005E0513"/>
    <w:rsid w:val="005E066D"/>
    <w:rsid w:val="005E067F"/>
    <w:rsid w:val="005E0731"/>
    <w:rsid w:val="005E07C2"/>
    <w:rsid w:val="005E08CB"/>
    <w:rsid w:val="005E097C"/>
    <w:rsid w:val="005E09FC"/>
    <w:rsid w:val="005E0B65"/>
    <w:rsid w:val="005E0C42"/>
    <w:rsid w:val="005E0C5F"/>
    <w:rsid w:val="005E0CF6"/>
    <w:rsid w:val="005E0DEC"/>
    <w:rsid w:val="005E0DF8"/>
    <w:rsid w:val="005E0E34"/>
    <w:rsid w:val="005E0E9E"/>
    <w:rsid w:val="005E0F94"/>
    <w:rsid w:val="005E1001"/>
    <w:rsid w:val="005E107A"/>
    <w:rsid w:val="005E11CC"/>
    <w:rsid w:val="005E125E"/>
    <w:rsid w:val="005E1337"/>
    <w:rsid w:val="005E1345"/>
    <w:rsid w:val="005E148F"/>
    <w:rsid w:val="005E1517"/>
    <w:rsid w:val="005E1958"/>
    <w:rsid w:val="005E1AD9"/>
    <w:rsid w:val="005E1AFD"/>
    <w:rsid w:val="005E1B62"/>
    <w:rsid w:val="005E1CE3"/>
    <w:rsid w:val="005E1E32"/>
    <w:rsid w:val="005E205E"/>
    <w:rsid w:val="005E207B"/>
    <w:rsid w:val="005E2159"/>
    <w:rsid w:val="005E2178"/>
    <w:rsid w:val="005E2355"/>
    <w:rsid w:val="005E242A"/>
    <w:rsid w:val="005E2461"/>
    <w:rsid w:val="005E2505"/>
    <w:rsid w:val="005E263C"/>
    <w:rsid w:val="005E273C"/>
    <w:rsid w:val="005E28AF"/>
    <w:rsid w:val="005E29A4"/>
    <w:rsid w:val="005E2BED"/>
    <w:rsid w:val="005E2D76"/>
    <w:rsid w:val="005E2DF0"/>
    <w:rsid w:val="005E2F3F"/>
    <w:rsid w:val="005E2F9D"/>
    <w:rsid w:val="005E303C"/>
    <w:rsid w:val="005E30B2"/>
    <w:rsid w:val="005E3152"/>
    <w:rsid w:val="005E32D9"/>
    <w:rsid w:val="005E343D"/>
    <w:rsid w:val="005E3477"/>
    <w:rsid w:val="005E348F"/>
    <w:rsid w:val="005E34BA"/>
    <w:rsid w:val="005E355E"/>
    <w:rsid w:val="005E395C"/>
    <w:rsid w:val="005E3B0C"/>
    <w:rsid w:val="005E3B6E"/>
    <w:rsid w:val="005E3B8F"/>
    <w:rsid w:val="005E3C16"/>
    <w:rsid w:val="005E3C90"/>
    <w:rsid w:val="005E3C98"/>
    <w:rsid w:val="005E3E71"/>
    <w:rsid w:val="005E3F2B"/>
    <w:rsid w:val="005E404E"/>
    <w:rsid w:val="005E40BD"/>
    <w:rsid w:val="005E4311"/>
    <w:rsid w:val="005E4360"/>
    <w:rsid w:val="005E43B1"/>
    <w:rsid w:val="005E4451"/>
    <w:rsid w:val="005E46D0"/>
    <w:rsid w:val="005E472C"/>
    <w:rsid w:val="005E4788"/>
    <w:rsid w:val="005E48F6"/>
    <w:rsid w:val="005E4949"/>
    <w:rsid w:val="005E4A3A"/>
    <w:rsid w:val="005E4AA2"/>
    <w:rsid w:val="005E4B08"/>
    <w:rsid w:val="005E4B54"/>
    <w:rsid w:val="005E4CD0"/>
    <w:rsid w:val="005E4CD9"/>
    <w:rsid w:val="005E4CE1"/>
    <w:rsid w:val="005E4E32"/>
    <w:rsid w:val="005E4EF3"/>
    <w:rsid w:val="005E4F97"/>
    <w:rsid w:val="005E506A"/>
    <w:rsid w:val="005E507B"/>
    <w:rsid w:val="005E50F0"/>
    <w:rsid w:val="005E5353"/>
    <w:rsid w:val="005E53D0"/>
    <w:rsid w:val="005E5466"/>
    <w:rsid w:val="005E553C"/>
    <w:rsid w:val="005E554B"/>
    <w:rsid w:val="005E5781"/>
    <w:rsid w:val="005E587E"/>
    <w:rsid w:val="005E5981"/>
    <w:rsid w:val="005E5987"/>
    <w:rsid w:val="005E5BF7"/>
    <w:rsid w:val="005E5CB9"/>
    <w:rsid w:val="005E6077"/>
    <w:rsid w:val="005E60C0"/>
    <w:rsid w:val="005E62F2"/>
    <w:rsid w:val="005E6300"/>
    <w:rsid w:val="005E6332"/>
    <w:rsid w:val="005E6434"/>
    <w:rsid w:val="005E6480"/>
    <w:rsid w:val="005E6511"/>
    <w:rsid w:val="005E66DC"/>
    <w:rsid w:val="005E66F0"/>
    <w:rsid w:val="005E674A"/>
    <w:rsid w:val="005E6779"/>
    <w:rsid w:val="005E6803"/>
    <w:rsid w:val="005E69AF"/>
    <w:rsid w:val="005E6A11"/>
    <w:rsid w:val="005E6A61"/>
    <w:rsid w:val="005E6B13"/>
    <w:rsid w:val="005E6C17"/>
    <w:rsid w:val="005E6C52"/>
    <w:rsid w:val="005E6CAA"/>
    <w:rsid w:val="005E6D91"/>
    <w:rsid w:val="005E6DC0"/>
    <w:rsid w:val="005E6DCB"/>
    <w:rsid w:val="005E6E37"/>
    <w:rsid w:val="005E6F52"/>
    <w:rsid w:val="005E7034"/>
    <w:rsid w:val="005E70BA"/>
    <w:rsid w:val="005E7169"/>
    <w:rsid w:val="005E71AA"/>
    <w:rsid w:val="005E720C"/>
    <w:rsid w:val="005E72F3"/>
    <w:rsid w:val="005E73CD"/>
    <w:rsid w:val="005E7420"/>
    <w:rsid w:val="005E747A"/>
    <w:rsid w:val="005E75FE"/>
    <w:rsid w:val="005E76A8"/>
    <w:rsid w:val="005E76C2"/>
    <w:rsid w:val="005E7711"/>
    <w:rsid w:val="005E779D"/>
    <w:rsid w:val="005E79DB"/>
    <w:rsid w:val="005E7A63"/>
    <w:rsid w:val="005E7C62"/>
    <w:rsid w:val="005E7DE0"/>
    <w:rsid w:val="005E7E8A"/>
    <w:rsid w:val="005F01B3"/>
    <w:rsid w:val="005F0220"/>
    <w:rsid w:val="005F0335"/>
    <w:rsid w:val="005F0351"/>
    <w:rsid w:val="005F0361"/>
    <w:rsid w:val="005F0389"/>
    <w:rsid w:val="005F03AF"/>
    <w:rsid w:val="005F04D6"/>
    <w:rsid w:val="005F0608"/>
    <w:rsid w:val="005F089F"/>
    <w:rsid w:val="005F091E"/>
    <w:rsid w:val="005F0927"/>
    <w:rsid w:val="005F0A5A"/>
    <w:rsid w:val="005F0AB0"/>
    <w:rsid w:val="005F0B3C"/>
    <w:rsid w:val="005F0BC4"/>
    <w:rsid w:val="005F0C47"/>
    <w:rsid w:val="005F0D0F"/>
    <w:rsid w:val="005F0F51"/>
    <w:rsid w:val="005F0F7D"/>
    <w:rsid w:val="005F1049"/>
    <w:rsid w:val="005F128E"/>
    <w:rsid w:val="005F13B8"/>
    <w:rsid w:val="005F14FA"/>
    <w:rsid w:val="005F165B"/>
    <w:rsid w:val="005F1908"/>
    <w:rsid w:val="005F1940"/>
    <w:rsid w:val="005F196F"/>
    <w:rsid w:val="005F1C7F"/>
    <w:rsid w:val="005F1D3B"/>
    <w:rsid w:val="005F1DE6"/>
    <w:rsid w:val="005F2024"/>
    <w:rsid w:val="005F203F"/>
    <w:rsid w:val="005F20C0"/>
    <w:rsid w:val="005F21AC"/>
    <w:rsid w:val="005F21F1"/>
    <w:rsid w:val="005F238C"/>
    <w:rsid w:val="005F24A6"/>
    <w:rsid w:val="005F256C"/>
    <w:rsid w:val="005F25ED"/>
    <w:rsid w:val="005F26BB"/>
    <w:rsid w:val="005F26C6"/>
    <w:rsid w:val="005F26F7"/>
    <w:rsid w:val="005F293C"/>
    <w:rsid w:val="005F2956"/>
    <w:rsid w:val="005F2B7A"/>
    <w:rsid w:val="005F2BBC"/>
    <w:rsid w:val="005F2BDB"/>
    <w:rsid w:val="005F2CF1"/>
    <w:rsid w:val="005F2D9B"/>
    <w:rsid w:val="005F2FE6"/>
    <w:rsid w:val="005F30BB"/>
    <w:rsid w:val="005F30C1"/>
    <w:rsid w:val="005F30D0"/>
    <w:rsid w:val="005F3142"/>
    <w:rsid w:val="005F3195"/>
    <w:rsid w:val="005F31D5"/>
    <w:rsid w:val="005F3225"/>
    <w:rsid w:val="005F3396"/>
    <w:rsid w:val="005F33B8"/>
    <w:rsid w:val="005F3554"/>
    <w:rsid w:val="005F3612"/>
    <w:rsid w:val="005F3667"/>
    <w:rsid w:val="005F3674"/>
    <w:rsid w:val="005F3744"/>
    <w:rsid w:val="005F37F6"/>
    <w:rsid w:val="005F3A1C"/>
    <w:rsid w:val="005F3A31"/>
    <w:rsid w:val="005F3AD3"/>
    <w:rsid w:val="005F3B1F"/>
    <w:rsid w:val="005F3BFB"/>
    <w:rsid w:val="005F3CF4"/>
    <w:rsid w:val="005F3D63"/>
    <w:rsid w:val="005F3E29"/>
    <w:rsid w:val="005F3FA5"/>
    <w:rsid w:val="005F4142"/>
    <w:rsid w:val="005F4146"/>
    <w:rsid w:val="005F44C3"/>
    <w:rsid w:val="005F4526"/>
    <w:rsid w:val="005F46E7"/>
    <w:rsid w:val="005F494F"/>
    <w:rsid w:val="005F49CE"/>
    <w:rsid w:val="005F49D2"/>
    <w:rsid w:val="005F4A32"/>
    <w:rsid w:val="005F4A7D"/>
    <w:rsid w:val="005F4ADF"/>
    <w:rsid w:val="005F4AE8"/>
    <w:rsid w:val="005F4D3E"/>
    <w:rsid w:val="005F4D78"/>
    <w:rsid w:val="005F4DA5"/>
    <w:rsid w:val="005F4F37"/>
    <w:rsid w:val="005F4F49"/>
    <w:rsid w:val="005F4FFF"/>
    <w:rsid w:val="005F5078"/>
    <w:rsid w:val="005F548A"/>
    <w:rsid w:val="005F54A6"/>
    <w:rsid w:val="005F559F"/>
    <w:rsid w:val="005F571E"/>
    <w:rsid w:val="005F576D"/>
    <w:rsid w:val="005F590A"/>
    <w:rsid w:val="005F59BB"/>
    <w:rsid w:val="005F5C8E"/>
    <w:rsid w:val="005F5D7C"/>
    <w:rsid w:val="005F5DCB"/>
    <w:rsid w:val="005F5F94"/>
    <w:rsid w:val="005F6179"/>
    <w:rsid w:val="005F61A2"/>
    <w:rsid w:val="005F6265"/>
    <w:rsid w:val="005F628D"/>
    <w:rsid w:val="005F637C"/>
    <w:rsid w:val="005F63AF"/>
    <w:rsid w:val="005F64CE"/>
    <w:rsid w:val="005F666F"/>
    <w:rsid w:val="005F6679"/>
    <w:rsid w:val="005F66DC"/>
    <w:rsid w:val="005F6808"/>
    <w:rsid w:val="005F682F"/>
    <w:rsid w:val="005F6970"/>
    <w:rsid w:val="005F6B10"/>
    <w:rsid w:val="005F6C4D"/>
    <w:rsid w:val="005F6D28"/>
    <w:rsid w:val="005F6D4D"/>
    <w:rsid w:val="005F6E2C"/>
    <w:rsid w:val="005F6FC8"/>
    <w:rsid w:val="005F6FED"/>
    <w:rsid w:val="005F707B"/>
    <w:rsid w:val="005F709F"/>
    <w:rsid w:val="005F70D0"/>
    <w:rsid w:val="005F721D"/>
    <w:rsid w:val="005F7327"/>
    <w:rsid w:val="005F734F"/>
    <w:rsid w:val="005F739D"/>
    <w:rsid w:val="005F73C9"/>
    <w:rsid w:val="005F73E7"/>
    <w:rsid w:val="005F751F"/>
    <w:rsid w:val="005F7553"/>
    <w:rsid w:val="005F7565"/>
    <w:rsid w:val="005F7833"/>
    <w:rsid w:val="005F7879"/>
    <w:rsid w:val="005F78EC"/>
    <w:rsid w:val="005F7981"/>
    <w:rsid w:val="005F7AA2"/>
    <w:rsid w:val="005F7B17"/>
    <w:rsid w:val="005F7B5B"/>
    <w:rsid w:val="005F7C9F"/>
    <w:rsid w:val="005F7CCF"/>
    <w:rsid w:val="005F7D0D"/>
    <w:rsid w:val="005F7E5A"/>
    <w:rsid w:val="005F7F1C"/>
    <w:rsid w:val="00600090"/>
    <w:rsid w:val="006000BE"/>
    <w:rsid w:val="00600116"/>
    <w:rsid w:val="006001B0"/>
    <w:rsid w:val="0060020D"/>
    <w:rsid w:val="00600334"/>
    <w:rsid w:val="00600696"/>
    <w:rsid w:val="006008BA"/>
    <w:rsid w:val="00600BCB"/>
    <w:rsid w:val="00600BFB"/>
    <w:rsid w:val="00600D39"/>
    <w:rsid w:val="00600EF7"/>
    <w:rsid w:val="00600F27"/>
    <w:rsid w:val="00600FF8"/>
    <w:rsid w:val="006010A8"/>
    <w:rsid w:val="006010F8"/>
    <w:rsid w:val="0060110F"/>
    <w:rsid w:val="0060115F"/>
    <w:rsid w:val="006011A4"/>
    <w:rsid w:val="0060124E"/>
    <w:rsid w:val="006013CB"/>
    <w:rsid w:val="0060152B"/>
    <w:rsid w:val="0060167D"/>
    <w:rsid w:val="006019E6"/>
    <w:rsid w:val="00601A6F"/>
    <w:rsid w:val="00601B6F"/>
    <w:rsid w:val="00601BFD"/>
    <w:rsid w:val="00601C2F"/>
    <w:rsid w:val="00601D2C"/>
    <w:rsid w:val="00601D75"/>
    <w:rsid w:val="00601E3A"/>
    <w:rsid w:val="00601EC8"/>
    <w:rsid w:val="00601F40"/>
    <w:rsid w:val="00601F60"/>
    <w:rsid w:val="006020C2"/>
    <w:rsid w:val="0060229E"/>
    <w:rsid w:val="006022C4"/>
    <w:rsid w:val="00602345"/>
    <w:rsid w:val="00602376"/>
    <w:rsid w:val="0060237A"/>
    <w:rsid w:val="006023E8"/>
    <w:rsid w:val="00602429"/>
    <w:rsid w:val="006025D5"/>
    <w:rsid w:val="006026E3"/>
    <w:rsid w:val="006026E6"/>
    <w:rsid w:val="006027D3"/>
    <w:rsid w:val="0060284C"/>
    <w:rsid w:val="00602A5A"/>
    <w:rsid w:val="00602A7B"/>
    <w:rsid w:val="00602B78"/>
    <w:rsid w:val="00602B94"/>
    <w:rsid w:val="00602C79"/>
    <w:rsid w:val="00602C8B"/>
    <w:rsid w:val="00602C8C"/>
    <w:rsid w:val="00602CA9"/>
    <w:rsid w:val="00602D28"/>
    <w:rsid w:val="00602EC3"/>
    <w:rsid w:val="00602F85"/>
    <w:rsid w:val="00603054"/>
    <w:rsid w:val="006031F9"/>
    <w:rsid w:val="006031FB"/>
    <w:rsid w:val="00603312"/>
    <w:rsid w:val="00603513"/>
    <w:rsid w:val="0060359B"/>
    <w:rsid w:val="0060362C"/>
    <w:rsid w:val="00603655"/>
    <w:rsid w:val="00603895"/>
    <w:rsid w:val="006038EA"/>
    <w:rsid w:val="006038EE"/>
    <w:rsid w:val="0060391D"/>
    <w:rsid w:val="00603934"/>
    <w:rsid w:val="00603986"/>
    <w:rsid w:val="00603A6E"/>
    <w:rsid w:val="00603B49"/>
    <w:rsid w:val="00603BD2"/>
    <w:rsid w:val="00603C99"/>
    <w:rsid w:val="00603CC4"/>
    <w:rsid w:val="0060404D"/>
    <w:rsid w:val="00604117"/>
    <w:rsid w:val="00604225"/>
    <w:rsid w:val="006042F7"/>
    <w:rsid w:val="00604316"/>
    <w:rsid w:val="00604390"/>
    <w:rsid w:val="0060442D"/>
    <w:rsid w:val="00604480"/>
    <w:rsid w:val="00604649"/>
    <w:rsid w:val="006046F6"/>
    <w:rsid w:val="00604967"/>
    <w:rsid w:val="00604977"/>
    <w:rsid w:val="0060499D"/>
    <w:rsid w:val="00604B52"/>
    <w:rsid w:val="00604BC6"/>
    <w:rsid w:val="00604BE8"/>
    <w:rsid w:val="00604C4A"/>
    <w:rsid w:val="00604CF8"/>
    <w:rsid w:val="00604DB4"/>
    <w:rsid w:val="00604E06"/>
    <w:rsid w:val="00604F7F"/>
    <w:rsid w:val="006051DC"/>
    <w:rsid w:val="0060539F"/>
    <w:rsid w:val="00605436"/>
    <w:rsid w:val="00605561"/>
    <w:rsid w:val="00605639"/>
    <w:rsid w:val="006056A0"/>
    <w:rsid w:val="00605721"/>
    <w:rsid w:val="0060587B"/>
    <w:rsid w:val="006058EA"/>
    <w:rsid w:val="0060591C"/>
    <w:rsid w:val="00605933"/>
    <w:rsid w:val="00605AE5"/>
    <w:rsid w:val="00605B14"/>
    <w:rsid w:val="00605B46"/>
    <w:rsid w:val="00605C19"/>
    <w:rsid w:val="00605CA0"/>
    <w:rsid w:val="00605CB1"/>
    <w:rsid w:val="00605D87"/>
    <w:rsid w:val="00605DAE"/>
    <w:rsid w:val="00605DCD"/>
    <w:rsid w:val="00605F1D"/>
    <w:rsid w:val="00606020"/>
    <w:rsid w:val="00606134"/>
    <w:rsid w:val="00606159"/>
    <w:rsid w:val="00606391"/>
    <w:rsid w:val="006063EB"/>
    <w:rsid w:val="006064AC"/>
    <w:rsid w:val="00606578"/>
    <w:rsid w:val="006065C9"/>
    <w:rsid w:val="00606659"/>
    <w:rsid w:val="00606879"/>
    <w:rsid w:val="00606945"/>
    <w:rsid w:val="00606994"/>
    <w:rsid w:val="00606B24"/>
    <w:rsid w:val="00606BD6"/>
    <w:rsid w:val="00606CF5"/>
    <w:rsid w:val="00606DFC"/>
    <w:rsid w:val="00606E05"/>
    <w:rsid w:val="00606F29"/>
    <w:rsid w:val="00607007"/>
    <w:rsid w:val="00607012"/>
    <w:rsid w:val="00607281"/>
    <w:rsid w:val="00607373"/>
    <w:rsid w:val="00607554"/>
    <w:rsid w:val="00607569"/>
    <w:rsid w:val="006075B1"/>
    <w:rsid w:val="0060772F"/>
    <w:rsid w:val="0060779D"/>
    <w:rsid w:val="0060794B"/>
    <w:rsid w:val="00607A34"/>
    <w:rsid w:val="00607C21"/>
    <w:rsid w:val="00607C81"/>
    <w:rsid w:val="00607DC2"/>
    <w:rsid w:val="00607E26"/>
    <w:rsid w:val="00607F2D"/>
    <w:rsid w:val="0061006F"/>
    <w:rsid w:val="006100AC"/>
    <w:rsid w:val="006100DE"/>
    <w:rsid w:val="00610279"/>
    <w:rsid w:val="0061034F"/>
    <w:rsid w:val="006103CF"/>
    <w:rsid w:val="00610622"/>
    <w:rsid w:val="00610657"/>
    <w:rsid w:val="0061081D"/>
    <w:rsid w:val="00610968"/>
    <w:rsid w:val="00610994"/>
    <w:rsid w:val="00610A59"/>
    <w:rsid w:val="00610AFA"/>
    <w:rsid w:val="00610B32"/>
    <w:rsid w:val="00610BE1"/>
    <w:rsid w:val="00610DC4"/>
    <w:rsid w:val="00610E87"/>
    <w:rsid w:val="00610F0B"/>
    <w:rsid w:val="00611015"/>
    <w:rsid w:val="006112C1"/>
    <w:rsid w:val="0061137C"/>
    <w:rsid w:val="006113C7"/>
    <w:rsid w:val="00611444"/>
    <w:rsid w:val="006115BB"/>
    <w:rsid w:val="0061160C"/>
    <w:rsid w:val="00611621"/>
    <w:rsid w:val="0061172C"/>
    <w:rsid w:val="00611734"/>
    <w:rsid w:val="00611774"/>
    <w:rsid w:val="006117FE"/>
    <w:rsid w:val="006118CF"/>
    <w:rsid w:val="006118EC"/>
    <w:rsid w:val="00611993"/>
    <w:rsid w:val="00611B20"/>
    <w:rsid w:val="00611D11"/>
    <w:rsid w:val="00611FDC"/>
    <w:rsid w:val="0061211D"/>
    <w:rsid w:val="00612253"/>
    <w:rsid w:val="0061226B"/>
    <w:rsid w:val="00612349"/>
    <w:rsid w:val="006123CE"/>
    <w:rsid w:val="006124E3"/>
    <w:rsid w:val="006124F8"/>
    <w:rsid w:val="006124FE"/>
    <w:rsid w:val="00612625"/>
    <w:rsid w:val="00612686"/>
    <w:rsid w:val="00612787"/>
    <w:rsid w:val="006127BE"/>
    <w:rsid w:val="006127CE"/>
    <w:rsid w:val="00612882"/>
    <w:rsid w:val="0061288F"/>
    <w:rsid w:val="00612A46"/>
    <w:rsid w:val="00612AD1"/>
    <w:rsid w:val="00612B24"/>
    <w:rsid w:val="00612B46"/>
    <w:rsid w:val="00612BD9"/>
    <w:rsid w:val="00612BEA"/>
    <w:rsid w:val="00612D04"/>
    <w:rsid w:val="00612E5F"/>
    <w:rsid w:val="00612E94"/>
    <w:rsid w:val="00612F49"/>
    <w:rsid w:val="00612FC8"/>
    <w:rsid w:val="0061301A"/>
    <w:rsid w:val="0061314C"/>
    <w:rsid w:val="00613278"/>
    <w:rsid w:val="006132E4"/>
    <w:rsid w:val="006132F9"/>
    <w:rsid w:val="006133F7"/>
    <w:rsid w:val="00613407"/>
    <w:rsid w:val="0061341A"/>
    <w:rsid w:val="00613528"/>
    <w:rsid w:val="0061370A"/>
    <w:rsid w:val="0061383B"/>
    <w:rsid w:val="006138D5"/>
    <w:rsid w:val="00613A60"/>
    <w:rsid w:val="00613AF6"/>
    <w:rsid w:val="00613B1B"/>
    <w:rsid w:val="00613BED"/>
    <w:rsid w:val="00613C2A"/>
    <w:rsid w:val="00613D96"/>
    <w:rsid w:val="00613E84"/>
    <w:rsid w:val="00613E9B"/>
    <w:rsid w:val="00613FC1"/>
    <w:rsid w:val="0061403F"/>
    <w:rsid w:val="006140F6"/>
    <w:rsid w:val="006144B9"/>
    <w:rsid w:val="006144BC"/>
    <w:rsid w:val="0061458A"/>
    <w:rsid w:val="00614643"/>
    <w:rsid w:val="0061473A"/>
    <w:rsid w:val="00614749"/>
    <w:rsid w:val="006147A3"/>
    <w:rsid w:val="006147D1"/>
    <w:rsid w:val="006147D4"/>
    <w:rsid w:val="0061481F"/>
    <w:rsid w:val="00614905"/>
    <w:rsid w:val="00614A63"/>
    <w:rsid w:val="00614CC2"/>
    <w:rsid w:val="00614CF5"/>
    <w:rsid w:val="00614D19"/>
    <w:rsid w:val="00614D93"/>
    <w:rsid w:val="00614E42"/>
    <w:rsid w:val="00614FE7"/>
    <w:rsid w:val="0061510F"/>
    <w:rsid w:val="006151EE"/>
    <w:rsid w:val="0061524D"/>
    <w:rsid w:val="006152A2"/>
    <w:rsid w:val="006152BB"/>
    <w:rsid w:val="00615369"/>
    <w:rsid w:val="006154D3"/>
    <w:rsid w:val="0061559C"/>
    <w:rsid w:val="006155F4"/>
    <w:rsid w:val="006158E2"/>
    <w:rsid w:val="00615950"/>
    <w:rsid w:val="0061597A"/>
    <w:rsid w:val="006159F4"/>
    <w:rsid w:val="00615C9A"/>
    <w:rsid w:val="00615D85"/>
    <w:rsid w:val="00615E1B"/>
    <w:rsid w:val="00615E3B"/>
    <w:rsid w:val="00615EA9"/>
    <w:rsid w:val="00615FCC"/>
    <w:rsid w:val="006160B7"/>
    <w:rsid w:val="0061619C"/>
    <w:rsid w:val="006161AC"/>
    <w:rsid w:val="006162D1"/>
    <w:rsid w:val="006162DF"/>
    <w:rsid w:val="00616377"/>
    <w:rsid w:val="00616461"/>
    <w:rsid w:val="00616622"/>
    <w:rsid w:val="0061673F"/>
    <w:rsid w:val="00616AB3"/>
    <w:rsid w:val="00616B7C"/>
    <w:rsid w:val="00616D3A"/>
    <w:rsid w:val="00616D5C"/>
    <w:rsid w:val="00617036"/>
    <w:rsid w:val="006170B5"/>
    <w:rsid w:val="006170BF"/>
    <w:rsid w:val="00617164"/>
    <w:rsid w:val="0061727F"/>
    <w:rsid w:val="0061743A"/>
    <w:rsid w:val="00617617"/>
    <w:rsid w:val="00617738"/>
    <w:rsid w:val="0061793E"/>
    <w:rsid w:val="006179E2"/>
    <w:rsid w:val="00617AE1"/>
    <w:rsid w:val="00617B3A"/>
    <w:rsid w:val="00617B87"/>
    <w:rsid w:val="00617D53"/>
    <w:rsid w:val="00617DC9"/>
    <w:rsid w:val="00617DE6"/>
    <w:rsid w:val="0062001F"/>
    <w:rsid w:val="006200BC"/>
    <w:rsid w:val="00620153"/>
    <w:rsid w:val="0062019C"/>
    <w:rsid w:val="00620382"/>
    <w:rsid w:val="00620412"/>
    <w:rsid w:val="00620463"/>
    <w:rsid w:val="00620483"/>
    <w:rsid w:val="00620563"/>
    <w:rsid w:val="006207B4"/>
    <w:rsid w:val="006207FE"/>
    <w:rsid w:val="006208A5"/>
    <w:rsid w:val="006208B9"/>
    <w:rsid w:val="00620A21"/>
    <w:rsid w:val="00620A26"/>
    <w:rsid w:val="00620AA7"/>
    <w:rsid w:val="00620BD7"/>
    <w:rsid w:val="00620E18"/>
    <w:rsid w:val="00620E41"/>
    <w:rsid w:val="00620EC7"/>
    <w:rsid w:val="00620EDB"/>
    <w:rsid w:val="00620FFC"/>
    <w:rsid w:val="00621017"/>
    <w:rsid w:val="00621035"/>
    <w:rsid w:val="00621189"/>
    <w:rsid w:val="0062130D"/>
    <w:rsid w:val="00621362"/>
    <w:rsid w:val="0062152C"/>
    <w:rsid w:val="006215D3"/>
    <w:rsid w:val="006216A8"/>
    <w:rsid w:val="006216C3"/>
    <w:rsid w:val="00621922"/>
    <w:rsid w:val="00621976"/>
    <w:rsid w:val="00621983"/>
    <w:rsid w:val="00621B30"/>
    <w:rsid w:val="00621BA3"/>
    <w:rsid w:val="00621BAD"/>
    <w:rsid w:val="00621C7B"/>
    <w:rsid w:val="00621DD5"/>
    <w:rsid w:val="0062208B"/>
    <w:rsid w:val="0062213F"/>
    <w:rsid w:val="0062222C"/>
    <w:rsid w:val="00622356"/>
    <w:rsid w:val="0062237B"/>
    <w:rsid w:val="0062242B"/>
    <w:rsid w:val="006224B8"/>
    <w:rsid w:val="0062252C"/>
    <w:rsid w:val="006226AA"/>
    <w:rsid w:val="00622757"/>
    <w:rsid w:val="00622A3E"/>
    <w:rsid w:val="00622A41"/>
    <w:rsid w:val="00622C80"/>
    <w:rsid w:val="00622D9B"/>
    <w:rsid w:val="00622DAA"/>
    <w:rsid w:val="00623030"/>
    <w:rsid w:val="0062323E"/>
    <w:rsid w:val="00623289"/>
    <w:rsid w:val="006232D8"/>
    <w:rsid w:val="00623312"/>
    <w:rsid w:val="0062340A"/>
    <w:rsid w:val="006234D4"/>
    <w:rsid w:val="006234DB"/>
    <w:rsid w:val="0062371A"/>
    <w:rsid w:val="0062373E"/>
    <w:rsid w:val="006237A3"/>
    <w:rsid w:val="0062388A"/>
    <w:rsid w:val="006238AE"/>
    <w:rsid w:val="006239D1"/>
    <w:rsid w:val="00623A06"/>
    <w:rsid w:val="00623BB8"/>
    <w:rsid w:val="00623C6E"/>
    <w:rsid w:val="00623D5A"/>
    <w:rsid w:val="00623DCB"/>
    <w:rsid w:val="00623E06"/>
    <w:rsid w:val="00623E4A"/>
    <w:rsid w:val="00623EEC"/>
    <w:rsid w:val="00623F2E"/>
    <w:rsid w:val="00623F5B"/>
    <w:rsid w:val="00624019"/>
    <w:rsid w:val="00624101"/>
    <w:rsid w:val="006241B7"/>
    <w:rsid w:val="00624200"/>
    <w:rsid w:val="00624223"/>
    <w:rsid w:val="00624254"/>
    <w:rsid w:val="0062435E"/>
    <w:rsid w:val="0062443C"/>
    <w:rsid w:val="0062453D"/>
    <w:rsid w:val="0062456A"/>
    <w:rsid w:val="00624752"/>
    <w:rsid w:val="00624A61"/>
    <w:rsid w:val="00624AF5"/>
    <w:rsid w:val="00624D67"/>
    <w:rsid w:val="00625146"/>
    <w:rsid w:val="006251A1"/>
    <w:rsid w:val="00625343"/>
    <w:rsid w:val="006253E9"/>
    <w:rsid w:val="00625438"/>
    <w:rsid w:val="00625599"/>
    <w:rsid w:val="00625636"/>
    <w:rsid w:val="00625717"/>
    <w:rsid w:val="006257EA"/>
    <w:rsid w:val="00625807"/>
    <w:rsid w:val="00625CC1"/>
    <w:rsid w:val="00625D42"/>
    <w:rsid w:val="00625FAA"/>
    <w:rsid w:val="00625FD4"/>
    <w:rsid w:val="0062626C"/>
    <w:rsid w:val="006263A5"/>
    <w:rsid w:val="006263DE"/>
    <w:rsid w:val="00626430"/>
    <w:rsid w:val="0062668E"/>
    <w:rsid w:val="006266F2"/>
    <w:rsid w:val="00626809"/>
    <w:rsid w:val="0062696A"/>
    <w:rsid w:val="0062699C"/>
    <w:rsid w:val="00626A48"/>
    <w:rsid w:val="00626A59"/>
    <w:rsid w:val="00626A9D"/>
    <w:rsid w:val="00626B90"/>
    <w:rsid w:val="00626C09"/>
    <w:rsid w:val="00626D8F"/>
    <w:rsid w:val="00626DC2"/>
    <w:rsid w:val="00626DFD"/>
    <w:rsid w:val="00626E7B"/>
    <w:rsid w:val="00626F37"/>
    <w:rsid w:val="00626FEF"/>
    <w:rsid w:val="006271A7"/>
    <w:rsid w:val="006271E5"/>
    <w:rsid w:val="00627262"/>
    <w:rsid w:val="0062733C"/>
    <w:rsid w:val="0062760E"/>
    <w:rsid w:val="0062765B"/>
    <w:rsid w:val="00627690"/>
    <w:rsid w:val="006276FE"/>
    <w:rsid w:val="0062772B"/>
    <w:rsid w:val="006278D9"/>
    <w:rsid w:val="00627922"/>
    <w:rsid w:val="00627AFA"/>
    <w:rsid w:val="00627BE7"/>
    <w:rsid w:val="00627D6A"/>
    <w:rsid w:val="00627DA1"/>
    <w:rsid w:val="00627DF9"/>
    <w:rsid w:val="00627E10"/>
    <w:rsid w:val="00627E71"/>
    <w:rsid w:val="00627EE7"/>
    <w:rsid w:val="00627FBD"/>
    <w:rsid w:val="00627FFE"/>
    <w:rsid w:val="006300A1"/>
    <w:rsid w:val="0063015E"/>
    <w:rsid w:val="006301F8"/>
    <w:rsid w:val="00630206"/>
    <w:rsid w:val="00630257"/>
    <w:rsid w:val="00630298"/>
    <w:rsid w:val="0063040A"/>
    <w:rsid w:val="00630520"/>
    <w:rsid w:val="00630533"/>
    <w:rsid w:val="00630546"/>
    <w:rsid w:val="00630567"/>
    <w:rsid w:val="00630697"/>
    <w:rsid w:val="00630700"/>
    <w:rsid w:val="00630915"/>
    <w:rsid w:val="006309BE"/>
    <w:rsid w:val="006309E8"/>
    <w:rsid w:val="00630A62"/>
    <w:rsid w:val="00630B74"/>
    <w:rsid w:val="00630C5A"/>
    <w:rsid w:val="00630C6C"/>
    <w:rsid w:val="00630E1B"/>
    <w:rsid w:val="00630E56"/>
    <w:rsid w:val="00630F22"/>
    <w:rsid w:val="00630F6C"/>
    <w:rsid w:val="00631031"/>
    <w:rsid w:val="00631397"/>
    <w:rsid w:val="0063140E"/>
    <w:rsid w:val="00631453"/>
    <w:rsid w:val="00631653"/>
    <w:rsid w:val="00631669"/>
    <w:rsid w:val="006316BE"/>
    <w:rsid w:val="0063180D"/>
    <w:rsid w:val="006319EC"/>
    <w:rsid w:val="00631A87"/>
    <w:rsid w:val="00631A8E"/>
    <w:rsid w:val="00631C2F"/>
    <w:rsid w:val="00631CBE"/>
    <w:rsid w:val="00631EE1"/>
    <w:rsid w:val="00631F50"/>
    <w:rsid w:val="00631FA9"/>
    <w:rsid w:val="00632181"/>
    <w:rsid w:val="0063219E"/>
    <w:rsid w:val="006321A4"/>
    <w:rsid w:val="006321B6"/>
    <w:rsid w:val="00632314"/>
    <w:rsid w:val="006323E4"/>
    <w:rsid w:val="00632432"/>
    <w:rsid w:val="00632583"/>
    <w:rsid w:val="006326EB"/>
    <w:rsid w:val="00632740"/>
    <w:rsid w:val="006328E8"/>
    <w:rsid w:val="00632A72"/>
    <w:rsid w:val="00632A76"/>
    <w:rsid w:val="00632C88"/>
    <w:rsid w:val="00632CAE"/>
    <w:rsid w:val="00632E2E"/>
    <w:rsid w:val="00632E8D"/>
    <w:rsid w:val="00633078"/>
    <w:rsid w:val="006331B6"/>
    <w:rsid w:val="00633254"/>
    <w:rsid w:val="0063331C"/>
    <w:rsid w:val="00633381"/>
    <w:rsid w:val="006333C2"/>
    <w:rsid w:val="0063345B"/>
    <w:rsid w:val="00633487"/>
    <w:rsid w:val="006335DA"/>
    <w:rsid w:val="00633822"/>
    <w:rsid w:val="00633B1C"/>
    <w:rsid w:val="00633B5C"/>
    <w:rsid w:val="00633B9C"/>
    <w:rsid w:val="00633C4E"/>
    <w:rsid w:val="006340FD"/>
    <w:rsid w:val="00634174"/>
    <w:rsid w:val="006343CD"/>
    <w:rsid w:val="00634405"/>
    <w:rsid w:val="00634459"/>
    <w:rsid w:val="00634704"/>
    <w:rsid w:val="0063481F"/>
    <w:rsid w:val="00634849"/>
    <w:rsid w:val="00634A4E"/>
    <w:rsid w:val="00634B17"/>
    <w:rsid w:val="00634CAF"/>
    <w:rsid w:val="00634D0D"/>
    <w:rsid w:val="00634E5A"/>
    <w:rsid w:val="00634E95"/>
    <w:rsid w:val="00634F09"/>
    <w:rsid w:val="00634F80"/>
    <w:rsid w:val="00635009"/>
    <w:rsid w:val="0063502C"/>
    <w:rsid w:val="00635140"/>
    <w:rsid w:val="0063520F"/>
    <w:rsid w:val="00635219"/>
    <w:rsid w:val="0063541B"/>
    <w:rsid w:val="00635584"/>
    <w:rsid w:val="00635744"/>
    <w:rsid w:val="00635859"/>
    <w:rsid w:val="0063591C"/>
    <w:rsid w:val="0063594A"/>
    <w:rsid w:val="00635A0A"/>
    <w:rsid w:val="00635B15"/>
    <w:rsid w:val="00635B32"/>
    <w:rsid w:val="00635B4F"/>
    <w:rsid w:val="00635B8E"/>
    <w:rsid w:val="00635C4F"/>
    <w:rsid w:val="00635D93"/>
    <w:rsid w:val="00635E79"/>
    <w:rsid w:val="00635FFE"/>
    <w:rsid w:val="00636088"/>
    <w:rsid w:val="006361AA"/>
    <w:rsid w:val="00636208"/>
    <w:rsid w:val="00636346"/>
    <w:rsid w:val="006363A6"/>
    <w:rsid w:val="0063650B"/>
    <w:rsid w:val="006365A4"/>
    <w:rsid w:val="006365CB"/>
    <w:rsid w:val="00636719"/>
    <w:rsid w:val="006367AD"/>
    <w:rsid w:val="006367C8"/>
    <w:rsid w:val="006369B8"/>
    <w:rsid w:val="006369E6"/>
    <w:rsid w:val="00636A5A"/>
    <w:rsid w:val="00636C2F"/>
    <w:rsid w:val="00636E26"/>
    <w:rsid w:val="00636F54"/>
    <w:rsid w:val="00636F93"/>
    <w:rsid w:val="00637030"/>
    <w:rsid w:val="00637254"/>
    <w:rsid w:val="00637300"/>
    <w:rsid w:val="00637508"/>
    <w:rsid w:val="00637694"/>
    <w:rsid w:val="00637742"/>
    <w:rsid w:val="00637A03"/>
    <w:rsid w:val="00637BBF"/>
    <w:rsid w:val="00637C00"/>
    <w:rsid w:val="00637C49"/>
    <w:rsid w:val="00637D50"/>
    <w:rsid w:val="00637D5E"/>
    <w:rsid w:val="00637F1A"/>
    <w:rsid w:val="006401CA"/>
    <w:rsid w:val="006402FF"/>
    <w:rsid w:val="006403A9"/>
    <w:rsid w:val="00640420"/>
    <w:rsid w:val="0064043B"/>
    <w:rsid w:val="00640A55"/>
    <w:rsid w:val="00640A78"/>
    <w:rsid w:val="00640AA6"/>
    <w:rsid w:val="00640ABD"/>
    <w:rsid w:val="00640C5B"/>
    <w:rsid w:val="00640C5C"/>
    <w:rsid w:val="00640E79"/>
    <w:rsid w:val="00640EDB"/>
    <w:rsid w:val="00640F7D"/>
    <w:rsid w:val="00641110"/>
    <w:rsid w:val="006411BE"/>
    <w:rsid w:val="0064120F"/>
    <w:rsid w:val="00641235"/>
    <w:rsid w:val="00641249"/>
    <w:rsid w:val="00641531"/>
    <w:rsid w:val="00641929"/>
    <w:rsid w:val="00641940"/>
    <w:rsid w:val="00641ACA"/>
    <w:rsid w:val="00641BCF"/>
    <w:rsid w:val="00641C5C"/>
    <w:rsid w:val="00641F84"/>
    <w:rsid w:val="00641FB0"/>
    <w:rsid w:val="006422C2"/>
    <w:rsid w:val="00642456"/>
    <w:rsid w:val="00642482"/>
    <w:rsid w:val="006425A2"/>
    <w:rsid w:val="006427A9"/>
    <w:rsid w:val="00642915"/>
    <w:rsid w:val="00642939"/>
    <w:rsid w:val="0064293A"/>
    <w:rsid w:val="0064293F"/>
    <w:rsid w:val="00642977"/>
    <w:rsid w:val="00642984"/>
    <w:rsid w:val="006429D1"/>
    <w:rsid w:val="006429D7"/>
    <w:rsid w:val="00642A85"/>
    <w:rsid w:val="00642AF4"/>
    <w:rsid w:val="00642C0C"/>
    <w:rsid w:val="00642CAC"/>
    <w:rsid w:val="00642CD9"/>
    <w:rsid w:val="00642D37"/>
    <w:rsid w:val="00642D39"/>
    <w:rsid w:val="0064300D"/>
    <w:rsid w:val="0064301F"/>
    <w:rsid w:val="0064305F"/>
    <w:rsid w:val="00643101"/>
    <w:rsid w:val="006431A1"/>
    <w:rsid w:val="006433BB"/>
    <w:rsid w:val="006434B7"/>
    <w:rsid w:val="00643624"/>
    <w:rsid w:val="0064365F"/>
    <w:rsid w:val="006438A4"/>
    <w:rsid w:val="00643BCA"/>
    <w:rsid w:val="00643BF0"/>
    <w:rsid w:val="00643C00"/>
    <w:rsid w:val="00643C0E"/>
    <w:rsid w:val="00643C24"/>
    <w:rsid w:val="00643C46"/>
    <w:rsid w:val="00644159"/>
    <w:rsid w:val="0064434A"/>
    <w:rsid w:val="006445C9"/>
    <w:rsid w:val="0064496B"/>
    <w:rsid w:val="00644B3D"/>
    <w:rsid w:val="00644C47"/>
    <w:rsid w:val="00644C5F"/>
    <w:rsid w:val="006450AD"/>
    <w:rsid w:val="006451AA"/>
    <w:rsid w:val="006451BF"/>
    <w:rsid w:val="006452A3"/>
    <w:rsid w:val="0064538C"/>
    <w:rsid w:val="0064568C"/>
    <w:rsid w:val="006456B8"/>
    <w:rsid w:val="0064577F"/>
    <w:rsid w:val="006457D6"/>
    <w:rsid w:val="006458FF"/>
    <w:rsid w:val="00645C49"/>
    <w:rsid w:val="00645C4B"/>
    <w:rsid w:val="00645C7C"/>
    <w:rsid w:val="00645CE0"/>
    <w:rsid w:val="006460D7"/>
    <w:rsid w:val="00646124"/>
    <w:rsid w:val="00646151"/>
    <w:rsid w:val="0064616F"/>
    <w:rsid w:val="0064618D"/>
    <w:rsid w:val="00646245"/>
    <w:rsid w:val="00646292"/>
    <w:rsid w:val="00646396"/>
    <w:rsid w:val="00646462"/>
    <w:rsid w:val="0064663E"/>
    <w:rsid w:val="00646946"/>
    <w:rsid w:val="006469B4"/>
    <w:rsid w:val="00646A85"/>
    <w:rsid w:val="00646B02"/>
    <w:rsid w:val="00646C76"/>
    <w:rsid w:val="00646D40"/>
    <w:rsid w:val="00646D4E"/>
    <w:rsid w:val="00646EA9"/>
    <w:rsid w:val="00646F2E"/>
    <w:rsid w:val="00646F35"/>
    <w:rsid w:val="00646F42"/>
    <w:rsid w:val="0064705C"/>
    <w:rsid w:val="00647108"/>
    <w:rsid w:val="006471E3"/>
    <w:rsid w:val="0064725F"/>
    <w:rsid w:val="00647285"/>
    <w:rsid w:val="00647511"/>
    <w:rsid w:val="0064753C"/>
    <w:rsid w:val="0064760B"/>
    <w:rsid w:val="0064781D"/>
    <w:rsid w:val="006478C9"/>
    <w:rsid w:val="00647976"/>
    <w:rsid w:val="006479CA"/>
    <w:rsid w:val="00647A37"/>
    <w:rsid w:val="00647BC3"/>
    <w:rsid w:val="00647C99"/>
    <w:rsid w:val="00647FF8"/>
    <w:rsid w:val="0065018A"/>
    <w:rsid w:val="006501EE"/>
    <w:rsid w:val="00650229"/>
    <w:rsid w:val="006502BE"/>
    <w:rsid w:val="00650455"/>
    <w:rsid w:val="006507E6"/>
    <w:rsid w:val="00650897"/>
    <w:rsid w:val="006508EA"/>
    <w:rsid w:val="00650B03"/>
    <w:rsid w:val="00650B27"/>
    <w:rsid w:val="00650C32"/>
    <w:rsid w:val="00650C37"/>
    <w:rsid w:val="00650D3E"/>
    <w:rsid w:val="00650D9F"/>
    <w:rsid w:val="00650DAE"/>
    <w:rsid w:val="00650E34"/>
    <w:rsid w:val="0065105D"/>
    <w:rsid w:val="0065106E"/>
    <w:rsid w:val="00651112"/>
    <w:rsid w:val="00651136"/>
    <w:rsid w:val="00651186"/>
    <w:rsid w:val="006513B8"/>
    <w:rsid w:val="006513E7"/>
    <w:rsid w:val="0065154B"/>
    <w:rsid w:val="0065182C"/>
    <w:rsid w:val="00651833"/>
    <w:rsid w:val="006519DD"/>
    <w:rsid w:val="00651A2E"/>
    <w:rsid w:val="00651AC0"/>
    <w:rsid w:val="00651BBA"/>
    <w:rsid w:val="00651BD6"/>
    <w:rsid w:val="00651CC7"/>
    <w:rsid w:val="00651F17"/>
    <w:rsid w:val="00651FAA"/>
    <w:rsid w:val="0065207B"/>
    <w:rsid w:val="006520B2"/>
    <w:rsid w:val="00652116"/>
    <w:rsid w:val="00652522"/>
    <w:rsid w:val="0065255E"/>
    <w:rsid w:val="006527CB"/>
    <w:rsid w:val="006528DD"/>
    <w:rsid w:val="0065290E"/>
    <w:rsid w:val="00652947"/>
    <w:rsid w:val="00652A5A"/>
    <w:rsid w:val="00652AC0"/>
    <w:rsid w:val="00652BA7"/>
    <w:rsid w:val="00652BCD"/>
    <w:rsid w:val="00652BE6"/>
    <w:rsid w:val="00652C41"/>
    <w:rsid w:val="00652C45"/>
    <w:rsid w:val="00652C49"/>
    <w:rsid w:val="00652D09"/>
    <w:rsid w:val="00652D56"/>
    <w:rsid w:val="00652E39"/>
    <w:rsid w:val="00652F3C"/>
    <w:rsid w:val="00653036"/>
    <w:rsid w:val="0065334B"/>
    <w:rsid w:val="0065348A"/>
    <w:rsid w:val="00653682"/>
    <w:rsid w:val="006536E9"/>
    <w:rsid w:val="0065377A"/>
    <w:rsid w:val="006537B3"/>
    <w:rsid w:val="00653AC5"/>
    <w:rsid w:val="00653BD1"/>
    <w:rsid w:val="00653C57"/>
    <w:rsid w:val="00653CDD"/>
    <w:rsid w:val="00653E18"/>
    <w:rsid w:val="00653E49"/>
    <w:rsid w:val="00653E6D"/>
    <w:rsid w:val="00653EB2"/>
    <w:rsid w:val="00653F4F"/>
    <w:rsid w:val="00653FBB"/>
    <w:rsid w:val="006540DC"/>
    <w:rsid w:val="00654323"/>
    <w:rsid w:val="006543DE"/>
    <w:rsid w:val="006543F0"/>
    <w:rsid w:val="00654479"/>
    <w:rsid w:val="00654552"/>
    <w:rsid w:val="006545AE"/>
    <w:rsid w:val="0065467C"/>
    <w:rsid w:val="00654868"/>
    <w:rsid w:val="006549B1"/>
    <w:rsid w:val="00654AD2"/>
    <w:rsid w:val="00654C16"/>
    <w:rsid w:val="00654C24"/>
    <w:rsid w:val="00654C2B"/>
    <w:rsid w:val="00654C40"/>
    <w:rsid w:val="00654C46"/>
    <w:rsid w:val="00654C7F"/>
    <w:rsid w:val="00654CA1"/>
    <w:rsid w:val="00654E47"/>
    <w:rsid w:val="00654E64"/>
    <w:rsid w:val="00654F5E"/>
    <w:rsid w:val="00654F94"/>
    <w:rsid w:val="006550B0"/>
    <w:rsid w:val="00655100"/>
    <w:rsid w:val="00655149"/>
    <w:rsid w:val="006552F2"/>
    <w:rsid w:val="006554DA"/>
    <w:rsid w:val="0065583D"/>
    <w:rsid w:val="006559FF"/>
    <w:rsid w:val="00655A0B"/>
    <w:rsid w:val="00655B09"/>
    <w:rsid w:val="00655BF1"/>
    <w:rsid w:val="00655C3C"/>
    <w:rsid w:val="00655C4B"/>
    <w:rsid w:val="00655CA7"/>
    <w:rsid w:val="00655CAE"/>
    <w:rsid w:val="00655D7F"/>
    <w:rsid w:val="00655DC2"/>
    <w:rsid w:val="00655DDD"/>
    <w:rsid w:val="00655F62"/>
    <w:rsid w:val="00655FE2"/>
    <w:rsid w:val="0065623C"/>
    <w:rsid w:val="006564D5"/>
    <w:rsid w:val="00656524"/>
    <w:rsid w:val="00656525"/>
    <w:rsid w:val="00656565"/>
    <w:rsid w:val="0065657D"/>
    <w:rsid w:val="006565F5"/>
    <w:rsid w:val="00656603"/>
    <w:rsid w:val="00656610"/>
    <w:rsid w:val="0065669F"/>
    <w:rsid w:val="0065675E"/>
    <w:rsid w:val="00656838"/>
    <w:rsid w:val="00656938"/>
    <w:rsid w:val="00656975"/>
    <w:rsid w:val="006569FA"/>
    <w:rsid w:val="00656A52"/>
    <w:rsid w:val="00656B4A"/>
    <w:rsid w:val="00656CC4"/>
    <w:rsid w:val="00656CEB"/>
    <w:rsid w:val="00656D5D"/>
    <w:rsid w:val="00656DC0"/>
    <w:rsid w:val="00656EFE"/>
    <w:rsid w:val="00656F00"/>
    <w:rsid w:val="00656FC5"/>
    <w:rsid w:val="00656FEA"/>
    <w:rsid w:val="0065700B"/>
    <w:rsid w:val="00657029"/>
    <w:rsid w:val="0065718E"/>
    <w:rsid w:val="006572B3"/>
    <w:rsid w:val="006573CF"/>
    <w:rsid w:val="0065758C"/>
    <w:rsid w:val="00657596"/>
    <w:rsid w:val="006576C1"/>
    <w:rsid w:val="006576FE"/>
    <w:rsid w:val="0065771F"/>
    <w:rsid w:val="00657764"/>
    <w:rsid w:val="0065780C"/>
    <w:rsid w:val="006578C8"/>
    <w:rsid w:val="00657A7E"/>
    <w:rsid w:val="00657A86"/>
    <w:rsid w:val="00657B07"/>
    <w:rsid w:val="00657CC0"/>
    <w:rsid w:val="00657D14"/>
    <w:rsid w:val="00657ECA"/>
    <w:rsid w:val="00657ED0"/>
    <w:rsid w:val="00660024"/>
    <w:rsid w:val="00660417"/>
    <w:rsid w:val="006604C7"/>
    <w:rsid w:val="00660661"/>
    <w:rsid w:val="006606BA"/>
    <w:rsid w:val="006607A9"/>
    <w:rsid w:val="006607DB"/>
    <w:rsid w:val="006607DE"/>
    <w:rsid w:val="0066089C"/>
    <w:rsid w:val="006609DD"/>
    <w:rsid w:val="00660A37"/>
    <w:rsid w:val="00660AD0"/>
    <w:rsid w:val="00660FF8"/>
    <w:rsid w:val="00661018"/>
    <w:rsid w:val="0066112A"/>
    <w:rsid w:val="0066114C"/>
    <w:rsid w:val="00661150"/>
    <w:rsid w:val="006613C4"/>
    <w:rsid w:val="0066147E"/>
    <w:rsid w:val="006614FC"/>
    <w:rsid w:val="0066150B"/>
    <w:rsid w:val="00661660"/>
    <w:rsid w:val="0066167E"/>
    <w:rsid w:val="00661724"/>
    <w:rsid w:val="0066173C"/>
    <w:rsid w:val="00661AD0"/>
    <w:rsid w:val="00661B96"/>
    <w:rsid w:val="00661DF4"/>
    <w:rsid w:val="00661DF6"/>
    <w:rsid w:val="00661E84"/>
    <w:rsid w:val="0066211D"/>
    <w:rsid w:val="00662173"/>
    <w:rsid w:val="006622BB"/>
    <w:rsid w:val="006622E0"/>
    <w:rsid w:val="006623A6"/>
    <w:rsid w:val="006624EC"/>
    <w:rsid w:val="0066260A"/>
    <w:rsid w:val="0066263E"/>
    <w:rsid w:val="00662652"/>
    <w:rsid w:val="0066284A"/>
    <w:rsid w:val="00662886"/>
    <w:rsid w:val="00662B17"/>
    <w:rsid w:val="00662D42"/>
    <w:rsid w:val="00662DAB"/>
    <w:rsid w:val="00662EE5"/>
    <w:rsid w:val="00663220"/>
    <w:rsid w:val="0066342C"/>
    <w:rsid w:val="0066343A"/>
    <w:rsid w:val="006636C8"/>
    <w:rsid w:val="00663749"/>
    <w:rsid w:val="006637C4"/>
    <w:rsid w:val="006638CB"/>
    <w:rsid w:val="006638F1"/>
    <w:rsid w:val="00663919"/>
    <w:rsid w:val="0066394D"/>
    <w:rsid w:val="00663A01"/>
    <w:rsid w:val="00663A17"/>
    <w:rsid w:val="00663A51"/>
    <w:rsid w:val="00663A8C"/>
    <w:rsid w:val="00663ADD"/>
    <w:rsid w:val="00663B4B"/>
    <w:rsid w:val="00663B9B"/>
    <w:rsid w:val="00663FB8"/>
    <w:rsid w:val="006641A3"/>
    <w:rsid w:val="006641D6"/>
    <w:rsid w:val="00664249"/>
    <w:rsid w:val="006643AB"/>
    <w:rsid w:val="0066452E"/>
    <w:rsid w:val="00664533"/>
    <w:rsid w:val="00664549"/>
    <w:rsid w:val="00664874"/>
    <w:rsid w:val="00664885"/>
    <w:rsid w:val="00664923"/>
    <w:rsid w:val="00664930"/>
    <w:rsid w:val="006649AE"/>
    <w:rsid w:val="00664AE0"/>
    <w:rsid w:val="00664B5B"/>
    <w:rsid w:val="00664E0F"/>
    <w:rsid w:val="00665179"/>
    <w:rsid w:val="00665203"/>
    <w:rsid w:val="00665431"/>
    <w:rsid w:val="006654B5"/>
    <w:rsid w:val="00665575"/>
    <w:rsid w:val="006656E7"/>
    <w:rsid w:val="0066578F"/>
    <w:rsid w:val="006657CB"/>
    <w:rsid w:val="00665825"/>
    <w:rsid w:val="006658C5"/>
    <w:rsid w:val="0066594A"/>
    <w:rsid w:val="00665966"/>
    <w:rsid w:val="006659D7"/>
    <w:rsid w:val="00665A8F"/>
    <w:rsid w:val="00665C82"/>
    <w:rsid w:val="00665CBA"/>
    <w:rsid w:val="00665D87"/>
    <w:rsid w:val="00665F14"/>
    <w:rsid w:val="00665FDD"/>
    <w:rsid w:val="00666001"/>
    <w:rsid w:val="006661FC"/>
    <w:rsid w:val="0066636E"/>
    <w:rsid w:val="006663E4"/>
    <w:rsid w:val="006663FE"/>
    <w:rsid w:val="0066642E"/>
    <w:rsid w:val="00666653"/>
    <w:rsid w:val="0066674F"/>
    <w:rsid w:val="00666811"/>
    <w:rsid w:val="0066682E"/>
    <w:rsid w:val="00666943"/>
    <w:rsid w:val="00666AB7"/>
    <w:rsid w:val="00666C00"/>
    <w:rsid w:val="00666C1B"/>
    <w:rsid w:val="00666E68"/>
    <w:rsid w:val="00666E94"/>
    <w:rsid w:val="00667085"/>
    <w:rsid w:val="0066709F"/>
    <w:rsid w:val="00667137"/>
    <w:rsid w:val="006672E3"/>
    <w:rsid w:val="006674B6"/>
    <w:rsid w:val="00667611"/>
    <w:rsid w:val="00667643"/>
    <w:rsid w:val="006677AA"/>
    <w:rsid w:val="00667B14"/>
    <w:rsid w:val="00667CB9"/>
    <w:rsid w:val="00667D01"/>
    <w:rsid w:val="00667D0F"/>
    <w:rsid w:val="00667FD9"/>
    <w:rsid w:val="00670094"/>
    <w:rsid w:val="00670110"/>
    <w:rsid w:val="00670148"/>
    <w:rsid w:val="006701AB"/>
    <w:rsid w:val="00670321"/>
    <w:rsid w:val="006706AD"/>
    <w:rsid w:val="006706B9"/>
    <w:rsid w:val="00670733"/>
    <w:rsid w:val="006709BF"/>
    <w:rsid w:val="006709E0"/>
    <w:rsid w:val="00670A0B"/>
    <w:rsid w:val="00670AFD"/>
    <w:rsid w:val="00670B2A"/>
    <w:rsid w:val="00670BA9"/>
    <w:rsid w:val="00670BD0"/>
    <w:rsid w:val="00670CBC"/>
    <w:rsid w:val="00670DB6"/>
    <w:rsid w:val="00670E36"/>
    <w:rsid w:val="00670EC7"/>
    <w:rsid w:val="00670FC0"/>
    <w:rsid w:val="00670FC2"/>
    <w:rsid w:val="006711A3"/>
    <w:rsid w:val="00671246"/>
    <w:rsid w:val="006712A0"/>
    <w:rsid w:val="006715F5"/>
    <w:rsid w:val="006716FA"/>
    <w:rsid w:val="006717D0"/>
    <w:rsid w:val="0067180B"/>
    <w:rsid w:val="006719C2"/>
    <w:rsid w:val="006719F5"/>
    <w:rsid w:val="00671ACA"/>
    <w:rsid w:val="00671B45"/>
    <w:rsid w:val="00671C4D"/>
    <w:rsid w:val="00671C9D"/>
    <w:rsid w:val="00671CAE"/>
    <w:rsid w:val="00671CE1"/>
    <w:rsid w:val="00671D44"/>
    <w:rsid w:val="00671D47"/>
    <w:rsid w:val="00671E28"/>
    <w:rsid w:val="00671EF6"/>
    <w:rsid w:val="00671F11"/>
    <w:rsid w:val="00671FBE"/>
    <w:rsid w:val="0067214A"/>
    <w:rsid w:val="00672172"/>
    <w:rsid w:val="006722BB"/>
    <w:rsid w:val="006722F0"/>
    <w:rsid w:val="00672348"/>
    <w:rsid w:val="0067240F"/>
    <w:rsid w:val="00672418"/>
    <w:rsid w:val="00672507"/>
    <w:rsid w:val="006726C7"/>
    <w:rsid w:val="0067270E"/>
    <w:rsid w:val="0067276B"/>
    <w:rsid w:val="006727E4"/>
    <w:rsid w:val="0067291C"/>
    <w:rsid w:val="00672A02"/>
    <w:rsid w:val="00672BD8"/>
    <w:rsid w:val="00672D16"/>
    <w:rsid w:val="00672D7E"/>
    <w:rsid w:val="006730F1"/>
    <w:rsid w:val="0067315D"/>
    <w:rsid w:val="006732A1"/>
    <w:rsid w:val="006732E5"/>
    <w:rsid w:val="006735C0"/>
    <w:rsid w:val="006735DD"/>
    <w:rsid w:val="00673901"/>
    <w:rsid w:val="00673910"/>
    <w:rsid w:val="00673931"/>
    <w:rsid w:val="006739B3"/>
    <w:rsid w:val="00673AE3"/>
    <w:rsid w:val="00673B47"/>
    <w:rsid w:val="00673C85"/>
    <w:rsid w:val="00673D94"/>
    <w:rsid w:val="00673EEE"/>
    <w:rsid w:val="00673F3E"/>
    <w:rsid w:val="00674046"/>
    <w:rsid w:val="00674223"/>
    <w:rsid w:val="006742E8"/>
    <w:rsid w:val="006744A8"/>
    <w:rsid w:val="006744CB"/>
    <w:rsid w:val="0067455B"/>
    <w:rsid w:val="00674636"/>
    <w:rsid w:val="00674702"/>
    <w:rsid w:val="0067478E"/>
    <w:rsid w:val="006747EF"/>
    <w:rsid w:val="0067486A"/>
    <w:rsid w:val="006748B2"/>
    <w:rsid w:val="00674984"/>
    <w:rsid w:val="00674A3A"/>
    <w:rsid w:val="00674B99"/>
    <w:rsid w:val="00674B9A"/>
    <w:rsid w:val="00674DC2"/>
    <w:rsid w:val="00674FA6"/>
    <w:rsid w:val="00675304"/>
    <w:rsid w:val="0067538D"/>
    <w:rsid w:val="006753C9"/>
    <w:rsid w:val="006753F7"/>
    <w:rsid w:val="00675402"/>
    <w:rsid w:val="00675463"/>
    <w:rsid w:val="0067546D"/>
    <w:rsid w:val="006754AC"/>
    <w:rsid w:val="00675657"/>
    <w:rsid w:val="00675661"/>
    <w:rsid w:val="006757F4"/>
    <w:rsid w:val="00675893"/>
    <w:rsid w:val="00675979"/>
    <w:rsid w:val="00675A0A"/>
    <w:rsid w:val="00675AEE"/>
    <w:rsid w:val="00675BEE"/>
    <w:rsid w:val="00675C77"/>
    <w:rsid w:val="00675D8A"/>
    <w:rsid w:val="00675E83"/>
    <w:rsid w:val="0067625F"/>
    <w:rsid w:val="006762EC"/>
    <w:rsid w:val="006766A9"/>
    <w:rsid w:val="006766EB"/>
    <w:rsid w:val="00676764"/>
    <w:rsid w:val="00676997"/>
    <w:rsid w:val="00676A79"/>
    <w:rsid w:val="00676AE1"/>
    <w:rsid w:val="00676B92"/>
    <w:rsid w:val="00676C72"/>
    <w:rsid w:val="00676DB1"/>
    <w:rsid w:val="00676DEA"/>
    <w:rsid w:val="00676E8E"/>
    <w:rsid w:val="00676E9E"/>
    <w:rsid w:val="00676FEF"/>
    <w:rsid w:val="0067707B"/>
    <w:rsid w:val="00677187"/>
    <w:rsid w:val="00677254"/>
    <w:rsid w:val="006772AD"/>
    <w:rsid w:val="0067734D"/>
    <w:rsid w:val="006773DC"/>
    <w:rsid w:val="00677598"/>
    <w:rsid w:val="006776B7"/>
    <w:rsid w:val="006777F5"/>
    <w:rsid w:val="00677969"/>
    <w:rsid w:val="0067799A"/>
    <w:rsid w:val="00677CD7"/>
    <w:rsid w:val="00677DE6"/>
    <w:rsid w:val="00677F45"/>
    <w:rsid w:val="00677FC4"/>
    <w:rsid w:val="00680106"/>
    <w:rsid w:val="00680144"/>
    <w:rsid w:val="0068017D"/>
    <w:rsid w:val="006801A1"/>
    <w:rsid w:val="00680243"/>
    <w:rsid w:val="00680345"/>
    <w:rsid w:val="0068037F"/>
    <w:rsid w:val="006803C4"/>
    <w:rsid w:val="00680602"/>
    <w:rsid w:val="006806A8"/>
    <w:rsid w:val="00680A2B"/>
    <w:rsid w:val="00680A90"/>
    <w:rsid w:val="00680B14"/>
    <w:rsid w:val="00680B5E"/>
    <w:rsid w:val="00680B7A"/>
    <w:rsid w:val="00680D2C"/>
    <w:rsid w:val="00680D76"/>
    <w:rsid w:val="0068103E"/>
    <w:rsid w:val="006810A8"/>
    <w:rsid w:val="006812B1"/>
    <w:rsid w:val="006812B2"/>
    <w:rsid w:val="00681345"/>
    <w:rsid w:val="0068149A"/>
    <w:rsid w:val="0068149C"/>
    <w:rsid w:val="006815B8"/>
    <w:rsid w:val="00681698"/>
    <w:rsid w:val="0068178E"/>
    <w:rsid w:val="0068186E"/>
    <w:rsid w:val="00681A4E"/>
    <w:rsid w:val="00681D2F"/>
    <w:rsid w:val="00681DB1"/>
    <w:rsid w:val="00681E9C"/>
    <w:rsid w:val="00681EBC"/>
    <w:rsid w:val="00681ED3"/>
    <w:rsid w:val="00682118"/>
    <w:rsid w:val="00682290"/>
    <w:rsid w:val="006822F0"/>
    <w:rsid w:val="006823E0"/>
    <w:rsid w:val="00682547"/>
    <w:rsid w:val="006825DC"/>
    <w:rsid w:val="00682646"/>
    <w:rsid w:val="006826F1"/>
    <w:rsid w:val="00682700"/>
    <w:rsid w:val="0068278F"/>
    <w:rsid w:val="0068287F"/>
    <w:rsid w:val="00682897"/>
    <w:rsid w:val="006828B8"/>
    <w:rsid w:val="006828B9"/>
    <w:rsid w:val="00682988"/>
    <w:rsid w:val="00682AFE"/>
    <w:rsid w:val="00682B89"/>
    <w:rsid w:val="00682C1C"/>
    <w:rsid w:val="00682DF1"/>
    <w:rsid w:val="00682E0F"/>
    <w:rsid w:val="00682E20"/>
    <w:rsid w:val="00682E2B"/>
    <w:rsid w:val="00682E76"/>
    <w:rsid w:val="00682EAF"/>
    <w:rsid w:val="00682ECA"/>
    <w:rsid w:val="00682EF4"/>
    <w:rsid w:val="0068307C"/>
    <w:rsid w:val="00683096"/>
    <w:rsid w:val="0068309C"/>
    <w:rsid w:val="00683134"/>
    <w:rsid w:val="006831C2"/>
    <w:rsid w:val="00683278"/>
    <w:rsid w:val="0068343C"/>
    <w:rsid w:val="0068370D"/>
    <w:rsid w:val="00683868"/>
    <w:rsid w:val="006838AF"/>
    <w:rsid w:val="00683A35"/>
    <w:rsid w:val="00683A98"/>
    <w:rsid w:val="00683AFC"/>
    <w:rsid w:val="00683CD4"/>
    <w:rsid w:val="00683D77"/>
    <w:rsid w:val="0068403B"/>
    <w:rsid w:val="00684358"/>
    <w:rsid w:val="00684494"/>
    <w:rsid w:val="006845F2"/>
    <w:rsid w:val="00684641"/>
    <w:rsid w:val="00684655"/>
    <w:rsid w:val="00684663"/>
    <w:rsid w:val="0068468F"/>
    <w:rsid w:val="006847C6"/>
    <w:rsid w:val="006847F3"/>
    <w:rsid w:val="0068499C"/>
    <w:rsid w:val="00684AE5"/>
    <w:rsid w:val="00684B53"/>
    <w:rsid w:val="00684C19"/>
    <w:rsid w:val="00684C2B"/>
    <w:rsid w:val="00684D1F"/>
    <w:rsid w:val="00684DB3"/>
    <w:rsid w:val="00684E17"/>
    <w:rsid w:val="00684E78"/>
    <w:rsid w:val="00684E79"/>
    <w:rsid w:val="00684E8B"/>
    <w:rsid w:val="00684EEF"/>
    <w:rsid w:val="00684F1F"/>
    <w:rsid w:val="00684F70"/>
    <w:rsid w:val="006850A5"/>
    <w:rsid w:val="0068526C"/>
    <w:rsid w:val="00685287"/>
    <w:rsid w:val="006852AB"/>
    <w:rsid w:val="0068530B"/>
    <w:rsid w:val="006853DD"/>
    <w:rsid w:val="0068541B"/>
    <w:rsid w:val="0068546B"/>
    <w:rsid w:val="006854E4"/>
    <w:rsid w:val="006855A8"/>
    <w:rsid w:val="006856FF"/>
    <w:rsid w:val="00685737"/>
    <w:rsid w:val="006858C4"/>
    <w:rsid w:val="00685919"/>
    <w:rsid w:val="00685942"/>
    <w:rsid w:val="00685946"/>
    <w:rsid w:val="00685ACF"/>
    <w:rsid w:val="00685BFE"/>
    <w:rsid w:val="00685C6A"/>
    <w:rsid w:val="00685CD0"/>
    <w:rsid w:val="00685D32"/>
    <w:rsid w:val="00685D45"/>
    <w:rsid w:val="00685D93"/>
    <w:rsid w:val="00685FB0"/>
    <w:rsid w:val="0068623F"/>
    <w:rsid w:val="00686327"/>
    <w:rsid w:val="00686381"/>
    <w:rsid w:val="00686386"/>
    <w:rsid w:val="006863CA"/>
    <w:rsid w:val="0068644E"/>
    <w:rsid w:val="0068647B"/>
    <w:rsid w:val="0068648B"/>
    <w:rsid w:val="006864D5"/>
    <w:rsid w:val="006869D2"/>
    <w:rsid w:val="00686AE3"/>
    <w:rsid w:val="00686AF8"/>
    <w:rsid w:val="00686CE4"/>
    <w:rsid w:val="00686E86"/>
    <w:rsid w:val="00686F51"/>
    <w:rsid w:val="0068700F"/>
    <w:rsid w:val="0068701C"/>
    <w:rsid w:val="00687194"/>
    <w:rsid w:val="00687418"/>
    <w:rsid w:val="0068747D"/>
    <w:rsid w:val="006874C7"/>
    <w:rsid w:val="00687510"/>
    <w:rsid w:val="0068752D"/>
    <w:rsid w:val="006875D7"/>
    <w:rsid w:val="00687696"/>
    <w:rsid w:val="0068777C"/>
    <w:rsid w:val="006878F7"/>
    <w:rsid w:val="006879FB"/>
    <w:rsid w:val="00687A13"/>
    <w:rsid w:val="00687C50"/>
    <w:rsid w:val="00687D24"/>
    <w:rsid w:val="00687D5F"/>
    <w:rsid w:val="00687E4E"/>
    <w:rsid w:val="00687EA4"/>
    <w:rsid w:val="00687EF0"/>
    <w:rsid w:val="00690114"/>
    <w:rsid w:val="006901E8"/>
    <w:rsid w:val="0069046A"/>
    <w:rsid w:val="00690479"/>
    <w:rsid w:val="006904DB"/>
    <w:rsid w:val="0069062E"/>
    <w:rsid w:val="0069070F"/>
    <w:rsid w:val="00690881"/>
    <w:rsid w:val="0069092D"/>
    <w:rsid w:val="006909D1"/>
    <w:rsid w:val="00690A95"/>
    <w:rsid w:val="00690B2F"/>
    <w:rsid w:val="00690B9E"/>
    <w:rsid w:val="00690C56"/>
    <w:rsid w:val="00690C7F"/>
    <w:rsid w:val="00690E41"/>
    <w:rsid w:val="00691062"/>
    <w:rsid w:val="006912BF"/>
    <w:rsid w:val="006912FF"/>
    <w:rsid w:val="00691449"/>
    <w:rsid w:val="00691476"/>
    <w:rsid w:val="006914DA"/>
    <w:rsid w:val="00691512"/>
    <w:rsid w:val="0069152D"/>
    <w:rsid w:val="00691540"/>
    <w:rsid w:val="0069156D"/>
    <w:rsid w:val="0069166B"/>
    <w:rsid w:val="006918D8"/>
    <w:rsid w:val="00691929"/>
    <w:rsid w:val="00691B2A"/>
    <w:rsid w:val="00691B38"/>
    <w:rsid w:val="00691B8B"/>
    <w:rsid w:val="00691BBB"/>
    <w:rsid w:val="00692122"/>
    <w:rsid w:val="006921E4"/>
    <w:rsid w:val="00692309"/>
    <w:rsid w:val="00692335"/>
    <w:rsid w:val="006924AC"/>
    <w:rsid w:val="0069259E"/>
    <w:rsid w:val="006925FB"/>
    <w:rsid w:val="00692644"/>
    <w:rsid w:val="0069293D"/>
    <w:rsid w:val="006929A2"/>
    <w:rsid w:val="006929B5"/>
    <w:rsid w:val="00692A68"/>
    <w:rsid w:val="00692B44"/>
    <w:rsid w:val="00692BD9"/>
    <w:rsid w:val="00692C82"/>
    <w:rsid w:val="00692DB7"/>
    <w:rsid w:val="00692DC6"/>
    <w:rsid w:val="00692E8A"/>
    <w:rsid w:val="00692EEA"/>
    <w:rsid w:val="00692F43"/>
    <w:rsid w:val="00692F56"/>
    <w:rsid w:val="00692F92"/>
    <w:rsid w:val="0069304F"/>
    <w:rsid w:val="00693218"/>
    <w:rsid w:val="006936ED"/>
    <w:rsid w:val="00693734"/>
    <w:rsid w:val="0069374E"/>
    <w:rsid w:val="0069391A"/>
    <w:rsid w:val="00693BE0"/>
    <w:rsid w:val="0069400B"/>
    <w:rsid w:val="006943DA"/>
    <w:rsid w:val="006943E8"/>
    <w:rsid w:val="00694420"/>
    <w:rsid w:val="00694437"/>
    <w:rsid w:val="0069453C"/>
    <w:rsid w:val="00694551"/>
    <w:rsid w:val="00694684"/>
    <w:rsid w:val="006947F8"/>
    <w:rsid w:val="00694806"/>
    <w:rsid w:val="00694918"/>
    <w:rsid w:val="00694A23"/>
    <w:rsid w:val="00694A48"/>
    <w:rsid w:val="00694B2E"/>
    <w:rsid w:val="00694C0D"/>
    <w:rsid w:val="00694C2B"/>
    <w:rsid w:val="00694C64"/>
    <w:rsid w:val="00694D4D"/>
    <w:rsid w:val="00694D78"/>
    <w:rsid w:val="00694D91"/>
    <w:rsid w:val="00694EA9"/>
    <w:rsid w:val="00694F74"/>
    <w:rsid w:val="00694F99"/>
    <w:rsid w:val="00694FEC"/>
    <w:rsid w:val="0069539F"/>
    <w:rsid w:val="006955B7"/>
    <w:rsid w:val="00695646"/>
    <w:rsid w:val="00695699"/>
    <w:rsid w:val="006956ED"/>
    <w:rsid w:val="0069571D"/>
    <w:rsid w:val="00695986"/>
    <w:rsid w:val="00695B03"/>
    <w:rsid w:val="00695CA9"/>
    <w:rsid w:val="00695D4E"/>
    <w:rsid w:val="00695D62"/>
    <w:rsid w:val="00695D84"/>
    <w:rsid w:val="00695E58"/>
    <w:rsid w:val="00695E75"/>
    <w:rsid w:val="0069606B"/>
    <w:rsid w:val="0069606D"/>
    <w:rsid w:val="00696183"/>
    <w:rsid w:val="006961F0"/>
    <w:rsid w:val="00696227"/>
    <w:rsid w:val="006965F1"/>
    <w:rsid w:val="006965F5"/>
    <w:rsid w:val="006966F1"/>
    <w:rsid w:val="006967D9"/>
    <w:rsid w:val="006967FA"/>
    <w:rsid w:val="00696822"/>
    <w:rsid w:val="00696893"/>
    <w:rsid w:val="00696946"/>
    <w:rsid w:val="00696A86"/>
    <w:rsid w:val="00696D80"/>
    <w:rsid w:val="00696E7C"/>
    <w:rsid w:val="00696EF6"/>
    <w:rsid w:val="006970BA"/>
    <w:rsid w:val="006970E6"/>
    <w:rsid w:val="006970F8"/>
    <w:rsid w:val="00697157"/>
    <w:rsid w:val="0069716D"/>
    <w:rsid w:val="006971A2"/>
    <w:rsid w:val="006971C1"/>
    <w:rsid w:val="0069739F"/>
    <w:rsid w:val="006973D9"/>
    <w:rsid w:val="00697506"/>
    <w:rsid w:val="0069751D"/>
    <w:rsid w:val="00697620"/>
    <w:rsid w:val="006976DE"/>
    <w:rsid w:val="006977A7"/>
    <w:rsid w:val="00697846"/>
    <w:rsid w:val="00697862"/>
    <w:rsid w:val="00697929"/>
    <w:rsid w:val="0069796F"/>
    <w:rsid w:val="00697ABC"/>
    <w:rsid w:val="00697B48"/>
    <w:rsid w:val="00697B87"/>
    <w:rsid w:val="00697BF1"/>
    <w:rsid w:val="00697E4D"/>
    <w:rsid w:val="00697EA5"/>
    <w:rsid w:val="006A0079"/>
    <w:rsid w:val="006A01AB"/>
    <w:rsid w:val="006A01E8"/>
    <w:rsid w:val="006A0632"/>
    <w:rsid w:val="006A068E"/>
    <w:rsid w:val="006A0739"/>
    <w:rsid w:val="006A075B"/>
    <w:rsid w:val="006A0784"/>
    <w:rsid w:val="006A09EB"/>
    <w:rsid w:val="006A09FC"/>
    <w:rsid w:val="006A0A27"/>
    <w:rsid w:val="006A0AC4"/>
    <w:rsid w:val="006A0B14"/>
    <w:rsid w:val="006A0BDF"/>
    <w:rsid w:val="006A0C58"/>
    <w:rsid w:val="006A0CB4"/>
    <w:rsid w:val="006A0CC5"/>
    <w:rsid w:val="006A0CD1"/>
    <w:rsid w:val="006A0D6A"/>
    <w:rsid w:val="006A0DE9"/>
    <w:rsid w:val="006A0DEE"/>
    <w:rsid w:val="006A0EB7"/>
    <w:rsid w:val="006A1100"/>
    <w:rsid w:val="006A11AE"/>
    <w:rsid w:val="006A1225"/>
    <w:rsid w:val="006A1235"/>
    <w:rsid w:val="006A12DE"/>
    <w:rsid w:val="006A1344"/>
    <w:rsid w:val="006A140C"/>
    <w:rsid w:val="006A151A"/>
    <w:rsid w:val="006A15B0"/>
    <w:rsid w:val="006A1704"/>
    <w:rsid w:val="006A177A"/>
    <w:rsid w:val="006A1785"/>
    <w:rsid w:val="006A183A"/>
    <w:rsid w:val="006A1ADB"/>
    <w:rsid w:val="006A1BA8"/>
    <w:rsid w:val="006A1C5B"/>
    <w:rsid w:val="006A1D0E"/>
    <w:rsid w:val="006A1DAF"/>
    <w:rsid w:val="006A1E14"/>
    <w:rsid w:val="006A2004"/>
    <w:rsid w:val="006A21A6"/>
    <w:rsid w:val="006A21FA"/>
    <w:rsid w:val="006A2278"/>
    <w:rsid w:val="006A22C6"/>
    <w:rsid w:val="006A22E5"/>
    <w:rsid w:val="006A230C"/>
    <w:rsid w:val="006A232D"/>
    <w:rsid w:val="006A23F2"/>
    <w:rsid w:val="006A2423"/>
    <w:rsid w:val="006A2535"/>
    <w:rsid w:val="006A25D1"/>
    <w:rsid w:val="006A26A6"/>
    <w:rsid w:val="006A2738"/>
    <w:rsid w:val="006A2820"/>
    <w:rsid w:val="006A289F"/>
    <w:rsid w:val="006A28F6"/>
    <w:rsid w:val="006A2A38"/>
    <w:rsid w:val="006A2A89"/>
    <w:rsid w:val="006A2DBE"/>
    <w:rsid w:val="006A2F2E"/>
    <w:rsid w:val="006A304A"/>
    <w:rsid w:val="006A3051"/>
    <w:rsid w:val="006A3088"/>
    <w:rsid w:val="006A30D8"/>
    <w:rsid w:val="006A3297"/>
    <w:rsid w:val="006A34A2"/>
    <w:rsid w:val="006A38A9"/>
    <w:rsid w:val="006A3955"/>
    <w:rsid w:val="006A3B38"/>
    <w:rsid w:val="006A3E3E"/>
    <w:rsid w:val="006A3F22"/>
    <w:rsid w:val="006A3F89"/>
    <w:rsid w:val="006A4254"/>
    <w:rsid w:val="006A438D"/>
    <w:rsid w:val="006A43A3"/>
    <w:rsid w:val="006A4497"/>
    <w:rsid w:val="006A45AF"/>
    <w:rsid w:val="006A45C5"/>
    <w:rsid w:val="006A47DA"/>
    <w:rsid w:val="006A47E7"/>
    <w:rsid w:val="006A4821"/>
    <w:rsid w:val="006A482A"/>
    <w:rsid w:val="006A4880"/>
    <w:rsid w:val="006A499C"/>
    <w:rsid w:val="006A4A33"/>
    <w:rsid w:val="006A4A48"/>
    <w:rsid w:val="006A4AFD"/>
    <w:rsid w:val="006A4BAD"/>
    <w:rsid w:val="006A4BAE"/>
    <w:rsid w:val="006A4BB1"/>
    <w:rsid w:val="006A4BF7"/>
    <w:rsid w:val="006A4E40"/>
    <w:rsid w:val="006A4F2C"/>
    <w:rsid w:val="006A4F7C"/>
    <w:rsid w:val="006A508C"/>
    <w:rsid w:val="006A515C"/>
    <w:rsid w:val="006A516B"/>
    <w:rsid w:val="006A5282"/>
    <w:rsid w:val="006A5291"/>
    <w:rsid w:val="006A52F1"/>
    <w:rsid w:val="006A5301"/>
    <w:rsid w:val="006A5346"/>
    <w:rsid w:val="006A53BA"/>
    <w:rsid w:val="006A5465"/>
    <w:rsid w:val="006A55E8"/>
    <w:rsid w:val="006A562F"/>
    <w:rsid w:val="006A5749"/>
    <w:rsid w:val="006A58D2"/>
    <w:rsid w:val="006A5A97"/>
    <w:rsid w:val="006A5B21"/>
    <w:rsid w:val="006A5B2B"/>
    <w:rsid w:val="006A5B6D"/>
    <w:rsid w:val="006A5BB8"/>
    <w:rsid w:val="006A5DD8"/>
    <w:rsid w:val="006A5E04"/>
    <w:rsid w:val="006A5E3C"/>
    <w:rsid w:val="006A5F0C"/>
    <w:rsid w:val="006A5F49"/>
    <w:rsid w:val="006A5F4A"/>
    <w:rsid w:val="006A5F5E"/>
    <w:rsid w:val="006A606F"/>
    <w:rsid w:val="006A60E0"/>
    <w:rsid w:val="006A62FF"/>
    <w:rsid w:val="006A6321"/>
    <w:rsid w:val="006A63D6"/>
    <w:rsid w:val="006A63ED"/>
    <w:rsid w:val="006A63F2"/>
    <w:rsid w:val="006A64A6"/>
    <w:rsid w:val="006A65F6"/>
    <w:rsid w:val="006A6728"/>
    <w:rsid w:val="006A6897"/>
    <w:rsid w:val="006A68F4"/>
    <w:rsid w:val="006A6B09"/>
    <w:rsid w:val="006A6B78"/>
    <w:rsid w:val="006A6BD4"/>
    <w:rsid w:val="006A6D1F"/>
    <w:rsid w:val="006A6DA1"/>
    <w:rsid w:val="006A6DC5"/>
    <w:rsid w:val="006A6EC8"/>
    <w:rsid w:val="006A6FDB"/>
    <w:rsid w:val="006A7098"/>
    <w:rsid w:val="006A7125"/>
    <w:rsid w:val="006A7141"/>
    <w:rsid w:val="006A7316"/>
    <w:rsid w:val="006A7347"/>
    <w:rsid w:val="006A746D"/>
    <w:rsid w:val="006A750F"/>
    <w:rsid w:val="006A77C7"/>
    <w:rsid w:val="006A77D2"/>
    <w:rsid w:val="006A7899"/>
    <w:rsid w:val="006A79F4"/>
    <w:rsid w:val="006A7BAE"/>
    <w:rsid w:val="006A7BDD"/>
    <w:rsid w:val="006A7D16"/>
    <w:rsid w:val="006A7D21"/>
    <w:rsid w:val="006A7D31"/>
    <w:rsid w:val="006A7E5E"/>
    <w:rsid w:val="006B0275"/>
    <w:rsid w:val="006B039B"/>
    <w:rsid w:val="006B03F1"/>
    <w:rsid w:val="006B0426"/>
    <w:rsid w:val="006B04A5"/>
    <w:rsid w:val="006B055D"/>
    <w:rsid w:val="006B05CE"/>
    <w:rsid w:val="006B0655"/>
    <w:rsid w:val="006B0733"/>
    <w:rsid w:val="006B0782"/>
    <w:rsid w:val="006B07AA"/>
    <w:rsid w:val="006B0881"/>
    <w:rsid w:val="006B09C3"/>
    <w:rsid w:val="006B0A7B"/>
    <w:rsid w:val="006B0C55"/>
    <w:rsid w:val="006B0CD1"/>
    <w:rsid w:val="006B0F39"/>
    <w:rsid w:val="006B0F83"/>
    <w:rsid w:val="006B0FD6"/>
    <w:rsid w:val="006B0FEC"/>
    <w:rsid w:val="006B1071"/>
    <w:rsid w:val="006B10CF"/>
    <w:rsid w:val="006B10F4"/>
    <w:rsid w:val="006B11C4"/>
    <w:rsid w:val="006B1342"/>
    <w:rsid w:val="006B1402"/>
    <w:rsid w:val="006B153C"/>
    <w:rsid w:val="006B1559"/>
    <w:rsid w:val="006B1693"/>
    <w:rsid w:val="006B16F3"/>
    <w:rsid w:val="006B16F9"/>
    <w:rsid w:val="006B187A"/>
    <w:rsid w:val="006B18B1"/>
    <w:rsid w:val="006B1AFD"/>
    <w:rsid w:val="006B1B79"/>
    <w:rsid w:val="006B1BB7"/>
    <w:rsid w:val="006B1C3F"/>
    <w:rsid w:val="006B1E7D"/>
    <w:rsid w:val="006B208F"/>
    <w:rsid w:val="006B217C"/>
    <w:rsid w:val="006B2356"/>
    <w:rsid w:val="006B2368"/>
    <w:rsid w:val="006B23D7"/>
    <w:rsid w:val="006B2484"/>
    <w:rsid w:val="006B2499"/>
    <w:rsid w:val="006B2602"/>
    <w:rsid w:val="006B2688"/>
    <w:rsid w:val="006B2714"/>
    <w:rsid w:val="006B276B"/>
    <w:rsid w:val="006B2799"/>
    <w:rsid w:val="006B280B"/>
    <w:rsid w:val="006B2994"/>
    <w:rsid w:val="006B2A1D"/>
    <w:rsid w:val="006B2B48"/>
    <w:rsid w:val="006B2BA7"/>
    <w:rsid w:val="006B2D21"/>
    <w:rsid w:val="006B2EE7"/>
    <w:rsid w:val="006B2F2E"/>
    <w:rsid w:val="006B3157"/>
    <w:rsid w:val="006B3575"/>
    <w:rsid w:val="006B35AF"/>
    <w:rsid w:val="006B3749"/>
    <w:rsid w:val="006B3795"/>
    <w:rsid w:val="006B37A1"/>
    <w:rsid w:val="006B3815"/>
    <w:rsid w:val="006B38F5"/>
    <w:rsid w:val="006B3F15"/>
    <w:rsid w:val="006B3F29"/>
    <w:rsid w:val="006B3F3A"/>
    <w:rsid w:val="006B3FF7"/>
    <w:rsid w:val="006B40F8"/>
    <w:rsid w:val="006B42BE"/>
    <w:rsid w:val="006B43D5"/>
    <w:rsid w:val="006B4402"/>
    <w:rsid w:val="006B44BE"/>
    <w:rsid w:val="006B44F8"/>
    <w:rsid w:val="006B45B1"/>
    <w:rsid w:val="006B45ED"/>
    <w:rsid w:val="006B46BC"/>
    <w:rsid w:val="006B4746"/>
    <w:rsid w:val="006B47D3"/>
    <w:rsid w:val="006B491F"/>
    <w:rsid w:val="006B49D7"/>
    <w:rsid w:val="006B4AFB"/>
    <w:rsid w:val="006B4BE8"/>
    <w:rsid w:val="006B4C95"/>
    <w:rsid w:val="006B4DF1"/>
    <w:rsid w:val="006B4E6B"/>
    <w:rsid w:val="006B4F44"/>
    <w:rsid w:val="006B5278"/>
    <w:rsid w:val="006B5429"/>
    <w:rsid w:val="006B549C"/>
    <w:rsid w:val="006B551C"/>
    <w:rsid w:val="006B55C6"/>
    <w:rsid w:val="006B564D"/>
    <w:rsid w:val="006B56A4"/>
    <w:rsid w:val="006B5718"/>
    <w:rsid w:val="006B581B"/>
    <w:rsid w:val="006B58D3"/>
    <w:rsid w:val="006B5958"/>
    <w:rsid w:val="006B59A2"/>
    <w:rsid w:val="006B5ACD"/>
    <w:rsid w:val="006B5B12"/>
    <w:rsid w:val="006B5B35"/>
    <w:rsid w:val="006B5B83"/>
    <w:rsid w:val="006B5B8E"/>
    <w:rsid w:val="006B5BBA"/>
    <w:rsid w:val="006B5DAC"/>
    <w:rsid w:val="006B5ECD"/>
    <w:rsid w:val="006B5F3B"/>
    <w:rsid w:val="006B601E"/>
    <w:rsid w:val="006B6141"/>
    <w:rsid w:val="006B615A"/>
    <w:rsid w:val="006B623D"/>
    <w:rsid w:val="006B62FD"/>
    <w:rsid w:val="006B63FB"/>
    <w:rsid w:val="006B657B"/>
    <w:rsid w:val="006B6752"/>
    <w:rsid w:val="006B67BC"/>
    <w:rsid w:val="006B6A3B"/>
    <w:rsid w:val="006B6A4C"/>
    <w:rsid w:val="006B6A6F"/>
    <w:rsid w:val="006B6B61"/>
    <w:rsid w:val="006B6BCB"/>
    <w:rsid w:val="006B6E13"/>
    <w:rsid w:val="006B6E74"/>
    <w:rsid w:val="006B6EF4"/>
    <w:rsid w:val="006B6F0B"/>
    <w:rsid w:val="006B6F7E"/>
    <w:rsid w:val="006B714B"/>
    <w:rsid w:val="006B7192"/>
    <w:rsid w:val="006B7586"/>
    <w:rsid w:val="006B761A"/>
    <w:rsid w:val="006B76C6"/>
    <w:rsid w:val="006B794B"/>
    <w:rsid w:val="006B7B66"/>
    <w:rsid w:val="006B7BB3"/>
    <w:rsid w:val="006B7D3F"/>
    <w:rsid w:val="006B7D53"/>
    <w:rsid w:val="006B7D83"/>
    <w:rsid w:val="006B7F84"/>
    <w:rsid w:val="006B7FD0"/>
    <w:rsid w:val="006B7FD2"/>
    <w:rsid w:val="006C0035"/>
    <w:rsid w:val="006C0157"/>
    <w:rsid w:val="006C05E2"/>
    <w:rsid w:val="006C0780"/>
    <w:rsid w:val="006C09E5"/>
    <w:rsid w:val="006C0A08"/>
    <w:rsid w:val="006C0C21"/>
    <w:rsid w:val="006C0E4E"/>
    <w:rsid w:val="006C0E7B"/>
    <w:rsid w:val="006C0EDD"/>
    <w:rsid w:val="006C0F1F"/>
    <w:rsid w:val="006C0F2B"/>
    <w:rsid w:val="006C0F4E"/>
    <w:rsid w:val="006C10F9"/>
    <w:rsid w:val="006C11D9"/>
    <w:rsid w:val="006C12BE"/>
    <w:rsid w:val="006C12E8"/>
    <w:rsid w:val="006C1448"/>
    <w:rsid w:val="006C1578"/>
    <w:rsid w:val="006C179D"/>
    <w:rsid w:val="006C1804"/>
    <w:rsid w:val="006C1A6E"/>
    <w:rsid w:val="006C1BDA"/>
    <w:rsid w:val="006C1C63"/>
    <w:rsid w:val="006C1CD5"/>
    <w:rsid w:val="006C1D04"/>
    <w:rsid w:val="006C1DBE"/>
    <w:rsid w:val="006C1E41"/>
    <w:rsid w:val="006C1F27"/>
    <w:rsid w:val="006C1F73"/>
    <w:rsid w:val="006C21BE"/>
    <w:rsid w:val="006C21F1"/>
    <w:rsid w:val="006C2218"/>
    <w:rsid w:val="006C22FB"/>
    <w:rsid w:val="006C23F1"/>
    <w:rsid w:val="006C2437"/>
    <w:rsid w:val="006C2461"/>
    <w:rsid w:val="006C2491"/>
    <w:rsid w:val="006C2630"/>
    <w:rsid w:val="006C2677"/>
    <w:rsid w:val="006C26A3"/>
    <w:rsid w:val="006C29E0"/>
    <w:rsid w:val="006C2A5B"/>
    <w:rsid w:val="006C2BB7"/>
    <w:rsid w:val="006C2C18"/>
    <w:rsid w:val="006C2DDF"/>
    <w:rsid w:val="006C2E08"/>
    <w:rsid w:val="006C2E28"/>
    <w:rsid w:val="006C2EE6"/>
    <w:rsid w:val="006C3104"/>
    <w:rsid w:val="006C3114"/>
    <w:rsid w:val="006C3156"/>
    <w:rsid w:val="006C31BF"/>
    <w:rsid w:val="006C3217"/>
    <w:rsid w:val="006C322F"/>
    <w:rsid w:val="006C33C7"/>
    <w:rsid w:val="006C34B6"/>
    <w:rsid w:val="006C36A3"/>
    <w:rsid w:val="006C381E"/>
    <w:rsid w:val="006C3893"/>
    <w:rsid w:val="006C38B1"/>
    <w:rsid w:val="006C3970"/>
    <w:rsid w:val="006C3A67"/>
    <w:rsid w:val="006C3B29"/>
    <w:rsid w:val="006C3C6B"/>
    <w:rsid w:val="006C3CE5"/>
    <w:rsid w:val="006C3E66"/>
    <w:rsid w:val="006C3EA2"/>
    <w:rsid w:val="006C3EED"/>
    <w:rsid w:val="006C3FE2"/>
    <w:rsid w:val="006C4077"/>
    <w:rsid w:val="006C40D9"/>
    <w:rsid w:val="006C4209"/>
    <w:rsid w:val="006C4276"/>
    <w:rsid w:val="006C432D"/>
    <w:rsid w:val="006C4519"/>
    <w:rsid w:val="006C46C6"/>
    <w:rsid w:val="006C4711"/>
    <w:rsid w:val="006C4759"/>
    <w:rsid w:val="006C47B1"/>
    <w:rsid w:val="006C47CA"/>
    <w:rsid w:val="006C4820"/>
    <w:rsid w:val="006C4835"/>
    <w:rsid w:val="006C48C6"/>
    <w:rsid w:val="006C4AB2"/>
    <w:rsid w:val="006C4AD6"/>
    <w:rsid w:val="006C4B3B"/>
    <w:rsid w:val="006C4BB9"/>
    <w:rsid w:val="006C4D22"/>
    <w:rsid w:val="006C4E15"/>
    <w:rsid w:val="006C4E51"/>
    <w:rsid w:val="006C4E8B"/>
    <w:rsid w:val="006C5090"/>
    <w:rsid w:val="006C50ED"/>
    <w:rsid w:val="006C5144"/>
    <w:rsid w:val="006C51A0"/>
    <w:rsid w:val="006C51F5"/>
    <w:rsid w:val="006C5274"/>
    <w:rsid w:val="006C5322"/>
    <w:rsid w:val="006C55D1"/>
    <w:rsid w:val="006C56B1"/>
    <w:rsid w:val="006C56C2"/>
    <w:rsid w:val="006C56F0"/>
    <w:rsid w:val="006C5852"/>
    <w:rsid w:val="006C585F"/>
    <w:rsid w:val="006C58E2"/>
    <w:rsid w:val="006C5B14"/>
    <w:rsid w:val="006C5C81"/>
    <w:rsid w:val="006C5CB2"/>
    <w:rsid w:val="006C5CF0"/>
    <w:rsid w:val="006C5D02"/>
    <w:rsid w:val="006C5DF4"/>
    <w:rsid w:val="006C5EB5"/>
    <w:rsid w:val="006C5EE4"/>
    <w:rsid w:val="006C6022"/>
    <w:rsid w:val="006C60A1"/>
    <w:rsid w:val="006C60BB"/>
    <w:rsid w:val="006C6178"/>
    <w:rsid w:val="006C61D6"/>
    <w:rsid w:val="006C627B"/>
    <w:rsid w:val="006C63F6"/>
    <w:rsid w:val="006C6573"/>
    <w:rsid w:val="006C66ED"/>
    <w:rsid w:val="006C68F9"/>
    <w:rsid w:val="006C6AE0"/>
    <w:rsid w:val="006C6AE4"/>
    <w:rsid w:val="006C6BBF"/>
    <w:rsid w:val="006C6C2A"/>
    <w:rsid w:val="006C6D9B"/>
    <w:rsid w:val="006C6DA6"/>
    <w:rsid w:val="006C6E7F"/>
    <w:rsid w:val="006C6F00"/>
    <w:rsid w:val="006C6F9B"/>
    <w:rsid w:val="006C7082"/>
    <w:rsid w:val="006C70CB"/>
    <w:rsid w:val="006C712B"/>
    <w:rsid w:val="006C7212"/>
    <w:rsid w:val="006C7223"/>
    <w:rsid w:val="006C7335"/>
    <w:rsid w:val="006C7376"/>
    <w:rsid w:val="006C7385"/>
    <w:rsid w:val="006C739B"/>
    <w:rsid w:val="006C74D0"/>
    <w:rsid w:val="006C79C3"/>
    <w:rsid w:val="006C7A3F"/>
    <w:rsid w:val="006C7B87"/>
    <w:rsid w:val="006C7C00"/>
    <w:rsid w:val="006C7C06"/>
    <w:rsid w:val="006C7CE8"/>
    <w:rsid w:val="006C7E77"/>
    <w:rsid w:val="006C7F82"/>
    <w:rsid w:val="006C7F97"/>
    <w:rsid w:val="006D000B"/>
    <w:rsid w:val="006D008A"/>
    <w:rsid w:val="006D0137"/>
    <w:rsid w:val="006D017E"/>
    <w:rsid w:val="006D01AD"/>
    <w:rsid w:val="006D02A4"/>
    <w:rsid w:val="006D02FC"/>
    <w:rsid w:val="006D0402"/>
    <w:rsid w:val="006D067D"/>
    <w:rsid w:val="006D06BC"/>
    <w:rsid w:val="006D0708"/>
    <w:rsid w:val="006D0768"/>
    <w:rsid w:val="006D0940"/>
    <w:rsid w:val="006D0ADA"/>
    <w:rsid w:val="006D0C7A"/>
    <w:rsid w:val="006D0D08"/>
    <w:rsid w:val="006D0E35"/>
    <w:rsid w:val="006D1065"/>
    <w:rsid w:val="006D10A1"/>
    <w:rsid w:val="006D11D0"/>
    <w:rsid w:val="006D1279"/>
    <w:rsid w:val="006D13CE"/>
    <w:rsid w:val="006D1429"/>
    <w:rsid w:val="006D1483"/>
    <w:rsid w:val="006D14DF"/>
    <w:rsid w:val="006D14FF"/>
    <w:rsid w:val="006D1523"/>
    <w:rsid w:val="006D17E7"/>
    <w:rsid w:val="006D1A11"/>
    <w:rsid w:val="006D1C56"/>
    <w:rsid w:val="006D1C63"/>
    <w:rsid w:val="006D1C9E"/>
    <w:rsid w:val="006D2133"/>
    <w:rsid w:val="006D2149"/>
    <w:rsid w:val="006D2213"/>
    <w:rsid w:val="006D2350"/>
    <w:rsid w:val="006D2428"/>
    <w:rsid w:val="006D2749"/>
    <w:rsid w:val="006D2871"/>
    <w:rsid w:val="006D2887"/>
    <w:rsid w:val="006D2988"/>
    <w:rsid w:val="006D312A"/>
    <w:rsid w:val="006D31DF"/>
    <w:rsid w:val="006D32E9"/>
    <w:rsid w:val="006D33AE"/>
    <w:rsid w:val="006D34E4"/>
    <w:rsid w:val="006D3565"/>
    <w:rsid w:val="006D35FE"/>
    <w:rsid w:val="006D3767"/>
    <w:rsid w:val="006D37D9"/>
    <w:rsid w:val="006D3814"/>
    <w:rsid w:val="006D382D"/>
    <w:rsid w:val="006D3885"/>
    <w:rsid w:val="006D3A60"/>
    <w:rsid w:val="006D3AB9"/>
    <w:rsid w:val="006D3CCC"/>
    <w:rsid w:val="006D3D3B"/>
    <w:rsid w:val="006D3DB0"/>
    <w:rsid w:val="006D3FD2"/>
    <w:rsid w:val="006D40D3"/>
    <w:rsid w:val="006D4238"/>
    <w:rsid w:val="006D423D"/>
    <w:rsid w:val="006D42B2"/>
    <w:rsid w:val="006D4487"/>
    <w:rsid w:val="006D454C"/>
    <w:rsid w:val="006D468F"/>
    <w:rsid w:val="006D4690"/>
    <w:rsid w:val="006D46F4"/>
    <w:rsid w:val="006D477F"/>
    <w:rsid w:val="006D4AFA"/>
    <w:rsid w:val="006D4B70"/>
    <w:rsid w:val="006D4D89"/>
    <w:rsid w:val="006D4DFC"/>
    <w:rsid w:val="006D4E50"/>
    <w:rsid w:val="006D4F1B"/>
    <w:rsid w:val="006D4FC0"/>
    <w:rsid w:val="006D5006"/>
    <w:rsid w:val="006D5048"/>
    <w:rsid w:val="006D51F3"/>
    <w:rsid w:val="006D524F"/>
    <w:rsid w:val="006D5280"/>
    <w:rsid w:val="006D533A"/>
    <w:rsid w:val="006D542E"/>
    <w:rsid w:val="006D57E9"/>
    <w:rsid w:val="006D5808"/>
    <w:rsid w:val="006D5906"/>
    <w:rsid w:val="006D5B30"/>
    <w:rsid w:val="006D5B85"/>
    <w:rsid w:val="006D5BD5"/>
    <w:rsid w:val="006D5BFE"/>
    <w:rsid w:val="006D5DAD"/>
    <w:rsid w:val="006D5E58"/>
    <w:rsid w:val="006D5EBC"/>
    <w:rsid w:val="006D5EE8"/>
    <w:rsid w:val="006D60C9"/>
    <w:rsid w:val="006D6109"/>
    <w:rsid w:val="006D6206"/>
    <w:rsid w:val="006D648E"/>
    <w:rsid w:val="006D64AB"/>
    <w:rsid w:val="006D6554"/>
    <w:rsid w:val="006D65C8"/>
    <w:rsid w:val="006D6634"/>
    <w:rsid w:val="006D6693"/>
    <w:rsid w:val="006D66BD"/>
    <w:rsid w:val="006D6874"/>
    <w:rsid w:val="006D6893"/>
    <w:rsid w:val="006D691C"/>
    <w:rsid w:val="006D6994"/>
    <w:rsid w:val="006D6AD3"/>
    <w:rsid w:val="006D6B7E"/>
    <w:rsid w:val="006D6BC0"/>
    <w:rsid w:val="006D6BE0"/>
    <w:rsid w:val="006D6C27"/>
    <w:rsid w:val="006D6E05"/>
    <w:rsid w:val="006D6E27"/>
    <w:rsid w:val="006D6E7A"/>
    <w:rsid w:val="006D6FF8"/>
    <w:rsid w:val="006D732D"/>
    <w:rsid w:val="006D7412"/>
    <w:rsid w:val="006D74CD"/>
    <w:rsid w:val="006D7716"/>
    <w:rsid w:val="006D77CE"/>
    <w:rsid w:val="006D788B"/>
    <w:rsid w:val="006D7A72"/>
    <w:rsid w:val="006D7B59"/>
    <w:rsid w:val="006D7B79"/>
    <w:rsid w:val="006D7D94"/>
    <w:rsid w:val="006D7FE2"/>
    <w:rsid w:val="006E01A7"/>
    <w:rsid w:val="006E01E5"/>
    <w:rsid w:val="006E03DE"/>
    <w:rsid w:val="006E054B"/>
    <w:rsid w:val="006E0661"/>
    <w:rsid w:val="006E0756"/>
    <w:rsid w:val="006E0794"/>
    <w:rsid w:val="006E07A3"/>
    <w:rsid w:val="006E0AD8"/>
    <w:rsid w:val="006E0B51"/>
    <w:rsid w:val="006E0BD4"/>
    <w:rsid w:val="006E0C32"/>
    <w:rsid w:val="006E0D0C"/>
    <w:rsid w:val="006E0D96"/>
    <w:rsid w:val="006E0E5A"/>
    <w:rsid w:val="006E0EAB"/>
    <w:rsid w:val="006E0F0B"/>
    <w:rsid w:val="006E0FFD"/>
    <w:rsid w:val="006E1051"/>
    <w:rsid w:val="006E1082"/>
    <w:rsid w:val="006E1099"/>
    <w:rsid w:val="006E10E0"/>
    <w:rsid w:val="006E10E2"/>
    <w:rsid w:val="006E127A"/>
    <w:rsid w:val="006E129E"/>
    <w:rsid w:val="006E14BC"/>
    <w:rsid w:val="006E14F3"/>
    <w:rsid w:val="006E16A3"/>
    <w:rsid w:val="006E174F"/>
    <w:rsid w:val="006E1963"/>
    <w:rsid w:val="006E1967"/>
    <w:rsid w:val="006E1A3D"/>
    <w:rsid w:val="006E1AAC"/>
    <w:rsid w:val="006E1C53"/>
    <w:rsid w:val="006E1D4F"/>
    <w:rsid w:val="006E1DAF"/>
    <w:rsid w:val="006E1DE3"/>
    <w:rsid w:val="006E1EE6"/>
    <w:rsid w:val="006E1F2F"/>
    <w:rsid w:val="006E1F36"/>
    <w:rsid w:val="006E1F9E"/>
    <w:rsid w:val="006E1FE8"/>
    <w:rsid w:val="006E2044"/>
    <w:rsid w:val="006E221B"/>
    <w:rsid w:val="006E227E"/>
    <w:rsid w:val="006E2367"/>
    <w:rsid w:val="006E2408"/>
    <w:rsid w:val="006E240D"/>
    <w:rsid w:val="006E25E9"/>
    <w:rsid w:val="006E25F2"/>
    <w:rsid w:val="006E2A0D"/>
    <w:rsid w:val="006E2BA5"/>
    <w:rsid w:val="006E2C67"/>
    <w:rsid w:val="006E2E17"/>
    <w:rsid w:val="006E2EEA"/>
    <w:rsid w:val="006E30E0"/>
    <w:rsid w:val="006E3169"/>
    <w:rsid w:val="006E31BA"/>
    <w:rsid w:val="006E3212"/>
    <w:rsid w:val="006E3375"/>
    <w:rsid w:val="006E349F"/>
    <w:rsid w:val="006E3529"/>
    <w:rsid w:val="006E3784"/>
    <w:rsid w:val="006E386B"/>
    <w:rsid w:val="006E387B"/>
    <w:rsid w:val="006E3977"/>
    <w:rsid w:val="006E3A45"/>
    <w:rsid w:val="006E3A78"/>
    <w:rsid w:val="006E3AF0"/>
    <w:rsid w:val="006E3B46"/>
    <w:rsid w:val="006E3C8A"/>
    <w:rsid w:val="006E3CA2"/>
    <w:rsid w:val="006E3CAC"/>
    <w:rsid w:val="006E3CB9"/>
    <w:rsid w:val="006E3DB5"/>
    <w:rsid w:val="006E3E17"/>
    <w:rsid w:val="006E3E96"/>
    <w:rsid w:val="006E3FA4"/>
    <w:rsid w:val="006E407F"/>
    <w:rsid w:val="006E4129"/>
    <w:rsid w:val="006E45AF"/>
    <w:rsid w:val="006E45C8"/>
    <w:rsid w:val="006E45EC"/>
    <w:rsid w:val="006E463F"/>
    <w:rsid w:val="006E4A02"/>
    <w:rsid w:val="006E4A88"/>
    <w:rsid w:val="006E4C1F"/>
    <w:rsid w:val="006E4CC9"/>
    <w:rsid w:val="006E4D2F"/>
    <w:rsid w:val="006E4E49"/>
    <w:rsid w:val="006E4EC2"/>
    <w:rsid w:val="006E4F88"/>
    <w:rsid w:val="006E55E4"/>
    <w:rsid w:val="006E57C6"/>
    <w:rsid w:val="006E581A"/>
    <w:rsid w:val="006E59CB"/>
    <w:rsid w:val="006E59DD"/>
    <w:rsid w:val="006E5B2C"/>
    <w:rsid w:val="006E5B8B"/>
    <w:rsid w:val="006E5BEA"/>
    <w:rsid w:val="006E5C91"/>
    <w:rsid w:val="006E5C9C"/>
    <w:rsid w:val="006E5D4E"/>
    <w:rsid w:val="006E5D52"/>
    <w:rsid w:val="006E6073"/>
    <w:rsid w:val="006E617D"/>
    <w:rsid w:val="006E62A8"/>
    <w:rsid w:val="006E62C4"/>
    <w:rsid w:val="006E63AD"/>
    <w:rsid w:val="006E647F"/>
    <w:rsid w:val="006E64CB"/>
    <w:rsid w:val="006E666A"/>
    <w:rsid w:val="006E6716"/>
    <w:rsid w:val="006E6A9A"/>
    <w:rsid w:val="006E6ABA"/>
    <w:rsid w:val="006E6B65"/>
    <w:rsid w:val="006E6B75"/>
    <w:rsid w:val="006E6C1C"/>
    <w:rsid w:val="006E6C37"/>
    <w:rsid w:val="006E6C92"/>
    <w:rsid w:val="006E6F71"/>
    <w:rsid w:val="006E7087"/>
    <w:rsid w:val="006E710D"/>
    <w:rsid w:val="006E712E"/>
    <w:rsid w:val="006E73B3"/>
    <w:rsid w:val="006E755C"/>
    <w:rsid w:val="006E75D5"/>
    <w:rsid w:val="006E771E"/>
    <w:rsid w:val="006E78A2"/>
    <w:rsid w:val="006E78A6"/>
    <w:rsid w:val="006E79F9"/>
    <w:rsid w:val="006E7AD5"/>
    <w:rsid w:val="006E7B3F"/>
    <w:rsid w:val="006E7C8C"/>
    <w:rsid w:val="006E7F75"/>
    <w:rsid w:val="006F0117"/>
    <w:rsid w:val="006F025F"/>
    <w:rsid w:val="006F028E"/>
    <w:rsid w:val="006F02D5"/>
    <w:rsid w:val="006F0377"/>
    <w:rsid w:val="006F050C"/>
    <w:rsid w:val="006F05DB"/>
    <w:rsid w:val="006F0941"/>
    <w:rsid w:val="006F09C7"/>
    <w:rsid w:val="006F0A1B"/>
    <w:rsid w:val="006F0AC8"/>
    <w:rsid w:val="006F0BAE"/>
    <w:rsid w:val="006F0DC3"/>
    <w:rsid w:val="006F0E06"/>
    <w:rsid w:val="006F0E82"/>
    <w:rsid w:val="006F10FF"/>
    <w:rsid w:val="006F11D0"/>
    <w:rsid w:val="006F125F"/>
    <w:rsid w:val="006F1289"/>
    <w:rsid w:val="006F13BA"/>
    <w:rsid w:val="006F149F"/>
    <w:rsid w:val="006F14BB"/>
    <w:rsid w:val="006F1568"/>
    <w:rsid w:val="006F156B"/>
    <w:rsid w:val="006F1681"/>
    <w:rsid w:val="006F170F"/>
    <w:rsid w:val="006F17DA"/>
    <w:rsid w:val="006F17E7"/>
    <w:rsid w:val="006F1AA4"/>
    <w:rsid w:val="006F1BAA"/>
    <w:rsid w:val="006F1BD0"/>
    <w:rsid w:val="006F1BFC"/>
    <w:rsid w:val="006F1C15"/>
    <w:rsid w:val="006F1C3F"/>
    <w:rsid w:val="006F1C50"/>
    <w:rsid w:val="006F20A6"/>
    <w:rsid w:val="006F2247"/>
    <w:rsid w:val="006F225C"/>
    <w:rsid w:val="006F2541"/>
    <w:rsid w:val="006F2623"/>
    <w:rsid w:val="006F26DD"/>
    <w:rsid w:val="006F2709"/>
    <w:rsid w:val="006F2764"/>
    <w:rsid w:val="006F2829"/>
    <w:rsid w:val="006F2905"/>
    <w:rsid w:val="006F2B10"/>
    <w:rsid w:val="006F2C98"/>
    <w:rsid w:val="006F2E27"/>
    <w:rsid w:val="006F2E66"/>
    <w:rsid w:val="006F2EE3"/>
    <w:rsid w:val="006F30C9"/>
    <w:rsid w:val="006F3135"/>
    <w:rsid w:val="006F33DD"/>
    <w:rsid w:val="006F3405"/>
    <w:rsid w:val="006F3694"/>
    <w:rsid w:val="006F3724"/>
    <w:rsid w:val="006F37E5"/>
    <w:rsid w:val="006F3804"/>
    <w:rsid w:val="006F3ACC"/>
    <w:rsid w:val="006F3AEE"/>
    <w:rsid w:val="006F3B34"/>
    <w:rsid w:val="006F3BDA"/>
    <w:rsid w:val="006F3D96"/>
    <w:rsid w:val="006F3F33"/>
    <w:rsid w:val="006F3F4E"/>
    <w:rsid w:val="006F410B"/>
    <w:rsid w:val="006F4132"/>
    <w:rsid w:val="006F4229"/>
    <w:rsid w:val="006F4256"/>
    <w:rsid w:val="006F42CB"/>
    <w:rsid w:val="006F4400"/>
    <w:rsid w:val="006F449D"/>
    <w:rsid w:val="006F47DA"/>
    <w:rsid w:val="006F48C1"/>
    <w:rsid w:val="006F48CE"/>
    <w:rsid w:val="006F4AF9"/>
    <w:rsid w:val="006F4B5C"/>
    <w:rsid w:val="006F4D3A"/>
    <w:rsid w:val="006F4DC8"/>
    <w:rsid w:val="006F4E65"/>
    <w:rsid w:val="006F4EC2"/>
    <w:rsid w:val="006F4FE2"/>
    <w:rsid w:val="006F52C4"/>
    <w:rsid w:val="006F53B8"/>
    <w:rsid w:val="006F5477"/>
    <w:rsid w:val="006F54D7"/>
    <w:rsid w:val="006F55E7"/>
    <w:rsid w:val="006F56A9"/>
    <w:rsid w:val="006F56D6"/>
    <w:rsid w:val="006F59F4"/>
    <w:rsid w:val="006F59F8"/>
    <w:rsid w:val="006F5AAA"/>
    <w:rsid w:val="006F5BDB"/>
    <w:rsid w:val="006F5C59"/>
    <w:rsid w:val="006F5C80"/>
    <w:rsid w:val="006F5CAB"/>
    <w:rsid w:val="006F5CE9"/>
    <w:rsid w:val="006F5DB4"/>
    <w:rsid w:val="006F5EDD"/>
    <w:rsid w:val="006F601F"/>
    <w:rsid w:val="006F6228"/>
    <w:rsid w:val="006F63EA"/>
    <w:rsid w:val="006F650E"/>
    <w:rsid w:val="006F652E"/>
    <w:rsid w:val="006F65FB"/>
    <w:rsid w:val="006F66FA"/>
    <w:rsid w:val="006F6764"/>
    <w:rsid w:val="006F68B9"/>
    <w:rsid w:val="006F6933"/>
    <w:rsid w:val="006F6A22"/>
    <w:rsid w:val="006F6A2E"/>
    <w:rsid w:val="006F6A3F"/>
    <w:rsid w:val="006F6AD4"/>
    <w:rsid w:val="006F6B9B"/>
    <w:rsid w:val="006F6C15"/>
    <w:rsid w:val="006F6CA4"/>
    <w:rsid w:val="006F6CDC"/>
    <w:rsid w:val="006F6F81"/>
    <w:rsid w:val="006F74D0"/>
    <w:rsid w:val="006F74D8"/>
    <w:rsid w:val="006F7569"/>
    <w:rsid w:val="006F75BE"/>
    <w:rsid w:val="006F7651"/>
    <w:rsid w:val="006F76B0"/>
    <w:rsid w:val="006F77A9"/>
    <w:rsid w:val="006F785C"/>
    <w:rsid w:val="006F789B"/>
    <w:rsid w:val="006F7A48"/>
    <w:rsid w:val="006F7A7F"/>
    <w:rsid w:val="006F7DAE"/>
    <w:rsid w:val="006F7FFE"/>
    <w:rsid w:val="00700003"/>
    <w:rsid w:val="007001A3"/>
    <w:rsid w:val="00700208"/>
    <w:rsid w:val="00700241"/>
    <w:rsid w:val="007002F0"/>
    <w:rsid w:val="0070042E"/>
    <w:rsid w:val="00700486"/>
    <w:rsid w:val="007004B1"/>
    <w:rsid w:val="00700568"/>
    <w:rsid w:val="0070077E"/>
    <w:rsid w:val="0070096B"/>
    <w:rsid w:val="007009A1"/>
    <w:rsid w:val="007009DC"/>
    <w:rsid w:val="00700A0D"/>
    <w:rsid w:val="00700A4D"/>
    <w:rsid w:val="00700BE2"/>
    <w:rsid w:val="00700C6B"/>
    <w:rsid w:val="00700E47"/>
    <w:rsid w:val="00700EE9"/>
    <w:rsid w:val="00700EF2"/>
    <w:rsid w:val="00700FFA"/>
    <w:rsid w:val="00700FFF"/>
    <w:rsid w:val="007011A8"/>
    <w:rsid w:val="007012AD"/>
    <w:rsid w:val="007013FB"/>
    <w:rsid w:val="007013FE"/>
    <w:rsid w:val="0070140D"/>
    <w:rsid w:val="00701432"/>
    <w:rsid w:val="007014A7"/>
    <w:rsid w:val="007015A1"/>
    <w:rsid w:val="007015C7"/>
    <w:rsid w:val="00701654"/>
    <w:rsid w:val="00701663"/>
    <w:rsid w:val="00701690"/>
    <w:rsid w:val="0070188B"/>
    <w:rsid w:val="007018FC"/>
    <w:rsid w:val="0070193D"/>
    <w:rsid w:val="00701A34"/>
    <w:rsid w:val="00701C8A"/>
    <w:rsid w:val="00701D62"/>
    <w:rsid w:val="00701E97"/>
    <w:rsid w:val="007020C4"/>
    <w:rsid w:val="00702272"/>
    <w:rsid w:val="007022AC"/>
    <w:rsid w:val="007022D5"/>
    <w:rsid w:val="00702326"/>
    <w:rsid w:val="0070264C"/>
    <w:rsid w:val="00702781"/>
    <w:rsid w:val="00702980"/>
    <w:rsid w:val="00702C38"/>
    <w:rsid w:val="00702C5D"/>
    <w:rsid w:val="00702CE9"/>
    <w:rsid w:val="00702D3F"/>
    <w:rsid w:val="00702D6A"/>
    <w:rsid w:val="00702DAE"/>
    <w:rsid w:val="00702DF0"/>
    <w:rsid w:val="00702E53"/>
    <w:rsid w:val="00702EEF"/>
    <w:rsid w:val="00702F03"/>
    <w:rsid w:val="00702F52"/>
    <w:rsid w:val="0070321B"/>
    <w:rsid w:val="0070324E"/>
    <w:rsid w:val="00703254"/>
    <w:rsid w:val="007033B3"/>
    <w:rsid w:val="007033B9"/>
    <w:rsid w:val="0070349F"/>
    <w:rsid w:val="00703721"/>
    <w:rsid w:val="0070383F"/>
    <w:rsid w:val="00703857"/>
    <w:rsid w:val="00703908"/>
    <w:rsid w:val="00703B66"/>
    <w:rsid w:val="00703C78"/>
    <w:rsid w:val="00703D9C"/>
    <w:rsid w:val="00703E26"/>
    <w:rsid w:val="00703FC1"/>
    <w:rsid w:val="007040B6"/>
    <w:rsid w:val="007041F7"/>
    <w:rsid w:val="0070428A"/>
    <w:rsid w:val="00704290"/>
    <w:rsid w:val="0070438F"/>
    <w:rsid w:val="0070441F"/>
    <w:rsid w:val="007044A6"/>
    <w:rsid w:val="007045E6"/>
    <w:rsid w:val="007046E3"/>
    <w:rsid w:val="00704726"/>
    <w:rsid w:val="007047D7"/>
    <w:rsid w:val="007048AC"/>
    <w:rsid w:val="007048E7"/>
    <w:rsid w:val="00704904"/>
    <w:rsid w:val="00704AFB"/>
    <w:rsid w:val="00704E4D"/>
    <w:rsid w:val="00705266"/>
    <w:rsid w:val="00705347"/>
    <w:rsid w:val="00705B36"/>
    <w:rsid w:val="00705BEC"/>
    <w:rsid w:val="00705C3A"/>
    <w:rsid w:val="00705E62"/>
    <w:rsid w:val="00705F40"/>
    <w:rsid w:val="00705FDF"/>
    <w:rsid w:val="007062C1"/>
    <w:rsid w:val="007064DC"/>
    <w:rsid w:val="0070657E"/>
    <w:rsid w:val="007065D1"/>
    <w:rsid w:val="00706663"/>
    <w:rsid w:val="007066CC"/>
    <w:rsid w:val="0070670E"/>
    <w:rsid w:val="00706BC8"/>
    <w:rsid w:val="00706C64"/>
    <w:rsid w:val="00706D8E"/>
    <w:rsid w:val="00706DFF"/>
    <w:rsid w:val="00706E78"/>
    <w:rsid w:val="00706EC1"/>
    <w:rsid w:val="00706EDD"/>
    <w:rsid w:val="00707074"/>
    <w:rsid w:val="00707207"/>
    <w:rsid w:val="007072C0"/>
    <w:rsid w:val="00707369"/>
    <w:rsid w:val="007073F7"/>
    <w:rsid w:val="00707554"/>
    <w:rsid w:val="007075E8"/>
    <w:rsid w:val="007075F2"/>
    <w:rsid w:val="007075FC"/>
    <w:rsid w:val="0070760D"/>
    <w:rsid w:val="0070767F"/>
    <w:rsid w:val="007077FE"/>
    <w:rsid w:val="00707CB9"/>
    <w:rsid w:val="00707CF0"/>
    <w:rsid w:val="00707D81"/>
    <w:rsid w:val="00707DA9"/>
    <w:rsid w:val="00707E78"/>
    <w:rsid w:val="00707E7A"/>
    <w:rsid w:val="00707FC1"/>
    <w:rsid w:val="00710047"/>
    <w:rsid w:val="0071011D"/>
    <w:rsid w:val="007101BB"/>
    <w:rsid w:val="007102BF"/>
    <w:rsid w:val="007102E9"/>
    <w:rsid w:val="00710321"/>
    <w:rsid w:val="00710346"/>
    <w:rsid w:val="007103BB"/>
    <w:rsid w:val="00710418"/>
    <w:rsid w:val="00710496"/>
    <w:rsid w:val="00710526"/>
    <w:rsid w:val="007105FA"/>
    <w:rsid w:val="00710645"/>
    <w:rsid w:val="00710650"/>
    <w:rsid w:val="0071071A"/>
    <w:rsid w:val="0071071D"/>
    <w:rsid w:val="007108BB"/>
    <w:rsid w:val="00710A33"/>
    <w:rsid w:val="00710BC8"/>
    <w:rsid w:val="00710C25"/>
    <w:rsid w:val="00710C5E"/>
    <w:rsid w:val="00710E20"/>
    <w:rsid w:val="00710E86"/>
    <w:rsid w:val="00710E9E"/>
    <w:rsid w:val="00710F1A"/>
    <w:rsid w:val="00710FAB"/>
    <w:rsid w:val="00710FC7"/>
    <w:rsid w:val="00710FDA"/>
    <w:rsid w:val="00711154"/>
    <w:rsid w:val="0071128A"/>
    <w:rsid w:val="007113E4"/>
    <w:rsid w:val="00711438"/>
    <w:rsid w:val="007114E3"/>
    <w:rsid w:val="0071157F"/>
    <w:rsid w:val="007117F0"/>
    <w:rsid w:val="00711994"/>
    <w:rsid w:val="007119E5"/>
    <w:rsid w:val="00711AEB"/>
    <w:rsid w:val="00711BAF"/>
    <w:rsid w:val="00711D0C"/>
    <w:rsid w:val="00711D3F"/>
    <w:rsid w:val="00711D46"/>
    <w:rsid w:val="00711EB2"/>
    <w:rsid w:val="00711EB8"/>
    <w:rsid w:val="00711ECF"/>
    <w:rsid w:val="007120FF"/>
    <w:rsid w:val="0071220A"/>
    <w:rsid w:val="00712248"/>
    <w:rsid w:val="0071228B"/>
    <w:rsid w:val="007122F9"/>
    <w:rsid w:val="00712319"/>
    <w:rsid w:val="007123B5"/>
    <w:rsid w:val="0071255B"/>
    <w:rsid w:val="0071267B"/>
    <w:rsid w:val="00712723"/>
    <w:rsid w:val="00712735"/>
    <w:rsid w:val="00712788"/>
    <w:rsid w:val="007128AE"/>
    <w:rsid w:val="0071298B"/>
    <w:rsid w:val="007129CC"/>
    <w:rsid w:val="00712C34"/>
    <w:rsid w:val="00712D4C"/>
    <w:rsid w:val="00712DA4"/>
    <w:rsid w:val="00712EEA"/>
    <w:rsid w:val="00713035"/>
    <w:rsid w:val="00713040"/>
    <w:rsid w:val="00713134"/>
    <w:rsid w:val="00713554"/>
    <w:rsid w:val="0071366C"/>
    <w:rsid w:val="00713976"/>
    <w:rsid w:val="007139BE"/>
    <w:rsid w:val="00713A23"/>
    <w:rsid w:val="00713BF3"/>
    <w:rsid w:val="00713C75"/>
    <w:rsid w:val="00713C7D"/>
    <w:rsid w:val="00713D5B"/>
    <w:rsid w:val="00713E7F"/>
    <w:rsid w:val="00713E88"/>
    <w:rsid w:val="00713EC3"/>
    <w:rsid w:val="00713F30"/>
    <w:rsid w:val="007141C2"/>
    <w:rsid w:val="00714261"/>
    <w:rsid w:val="007142C7"/>
    <w:rsid w:val="00714301"/>
    <w:rsid w:val="00714303"/>
    <w:rsid w:val="00714311"/>
    <w:rsid w:val="007145A6"/>
    <w:rsid w:val="0071483E"/>
    <w:rsid w:val="00714B27"/>
    <w:rsid w:val="00714BA9"/>
    <w:rsid w:val="00714BCE"/>
    <w:rsid w:val="00714BED"/>
    <w:rsid w:val="00714E7E"/>
    <w:rsid w:val="00714FD1"/>
    <w:rsid w:val="007150D9"/>
    <w:rsid w:val="007150DB"/>
    <w:rsid w:val="007150DF"/>
    <w:rsid w:val="0071510C"/>
    <w:rsid w:val="00715163"/>
    <w:rsid w:val="00715211"/>
    <w:rsid w:val="00715227"/>
    <w:rsid w:val="007153DE"/>
    <w:rsid w:val="0071540C"/>
    <w:rsid w:val="00715428"/>
    <w:rsid w:val="007154FA"/>
    <w:rsid w:val="0071577D"/>
    <w:rsid w:val="007157A4"/>
    <w:rsid w:val="007158EB"/>
    <w:rsid w:val="00715950"/>
    <w:rsid w:val="00715B1D"/>
    <w:rsid w:val="00715BB9"/>
    <w:rsid w:val="00715BC8"/>
    <w:rsid w:val="00715BDF"/>
    <w:rsid w:val="00715C2E"/>
    <w:rsid w:val="00715CA0"/>
    <w:rsid w:val="00715D7D"/>
    <w:rsid w:val="00715DC2"/>
    <w:rsid w:val="00715DE3"/>
    <w:rsid w:val="00715E03"/>
    <w:rsid w:val="00716201"/>
    <w:rsid w:val="0071628C"/>
    <w:rsid w:val="007163FD"/>
    <w:rsid w:val="0071655A"/>
    <w:rsid w:val="00716574"/>
    <w:rsid w:val="0071666F"/>
    <w:rsid w:val="00716810"/>
    <w:rsid w:val="00716830"/>
    <w:rsid w:val="0071685C"/>
    <w:rsid w:val="0071686C"/>
    <w:rsid w:val="00716926"/>
    <w:rsid w:val="00716969"/>
    <w:rsid w:val="007169A2"/>
    <w:rsid w:val="00716CDD"/>
    <w:rsid w:val="00716D45"/>
    <w:rsid w:val="00716D51"/>
    <w:rsid w:val="00716DFD"/>
    <w:rsid w:val="00716F09"/>
    <w:rsid w:val="00716FA2"/>
    <w:rsid w:val="00717015"/>
    <w:rsid w:val="00717025"/>
    <w:rsid w:val="0071709E"/>
    <w:rsid w:val="007171A7"/>
    <w:rsid w:val="00717232"/>
    <w:rsid w:val="0071735B"/>
    <w:rsid w:val="00717618"/>
    <w:rsid w:val="007177FA"/>
    <w:rsid w:val="00717844"/>
    <w:rsid w:val="007178C8"/>
    <w:rsid w:val="007178E2"/>
    <w:rsid w:val="00717966"/>
    <w:rsid w:val="007179BF"/>
    <w:rsid w:val="00717A0B"/>
    <w:rsid w:val="00717A2F"/>
    <w:rsid w:val="00717A7D"/>
    <w:rsid w:val="00717BA5"/>
    <w:rsid w:val="00717D08"/>
    <w:rsid w:val="00717DD2"/>
    <w:rsid w:val="00717DEF"/>
    <w:rsid w:val="00717E34"/>
    <w:rsid w:val="00717E53"/>
    <w:rsid w:val="00717F47"/>
    <w:rsid w:val="0072018E"/>
    <w:rsid w:val="00720196"/>
    <w:rsid w:val="0072026F"/>
    <w:rsid w:val="007204A9"/>
    <w:rsid w:val="00720681"/>
    <w:rsid w:val="00720754"/>
    <w:rsid w:val="00720755"/>
    <w:rsid w:val="00720982"/>
    <w:rsid w:val="00720B76"/>
    <w:rsid w:val="00720CEB"/>
    <w:rsid w:val="00720DD3"/>
    <w:rsid w:val="00720F09"/>
    <w:rsid w:val="00720F22"/>
    <w:rsid w:val="00720F36"/>
    <w:rsid w:val="00721042"/>
    <w:rsid w:val="00721111"/>
    <w:rsid w:val="007211C2"/>
    <w:rsid w:val="00721207"/>
    <w:rsid w:val="00721223"/>
    <w:rsid w:val="0072126E"/>
    <w:rsid w:val="00721282"/>
    <w:rsid w:val="00721586"/>
    <w:rsid w:val="007216E4"/>
    <w:rsid w:val="00721811"/>
    <w:rsid w:val="007218B7"/>
    <w:rsid w:val="007218FD"/>
    <w:rsid w:val="00721939"/>
    <w:rsid w:val="00721962"/>
    <w:rsid w:val="007219A9"/>
    <w:rsid w:val="00721A2E"/>
    <w:rsid w:val="00721BCA"/>
    <w:rsid w:val="00721BCC"/>
    <w:rsid w:val="00721C4F"/>
    <w:rsid w:val="00721D47"/>
    <w:rsid w:val="00721D55"/>
    <w:rsid w:val="00721E13"/>
    <w:rsid w:val="00721F5A"/>
    <w:rsid w:val="007220F2"/>
    <w:rsid w:val="0072219E"/>
    <w:rsid w:val="007223B9"/>
    <w:rsid w:val="007223E2"/>
    <w:rsid w:val="007225F9"/>
    <w:rsid w:val="007226ED"/>
    <w:rsid w:val="0072273D"/>
    <w:rsid w:val="007227E8"/>
    <w:rsid w:val="00722966"/>
    <w:rsid w:val="00722A11"/>
    <w:rsid w:val="00722BC0"/>
    <w:rsid w:val="00722E93"/>
    <w:rsid w:val="00722ED5"/>
    <w:rsid w:val="00722EE4"/>
    <w:rsid w:val="00723029"/>
    <w:rsid w:val="00723138"/>
    <w:rsid w:val="0072327F"/>
    <w:rsid w:val="007232C1"/>
    <w:rsid w:val="007233F0"/>
    <w:rsid w:val="007235B6"/>
    <w:rsid w:val="0072360B"/>
    <w:rsid w:val="007237B1"/>
    <w:rsid w:val="007238E4"/>
    <w:rsid w:val="00723935"/>
    <w:rsid w:val="00723A76"/>
    <w:rsid w:val="00723B9B"/>
    <w:rsid w:val="00723BD8"/>
    <w:rsid w:val="00723BDF"/>
    <w:rsid w:val="00723C02"/>
    <w:rsid w:val="00723CC8"/>
    <w:rsid w:val="00723CEB"/>
    <w:rsid w:val="00723D08"/>
    <w:rsid w:val="00723D0B"/>
    <w:rsid w:val="00723D55"/>
    <w:rsid w:val="00723F3D"/>
    <w:rsid w:val="0072408F"/>
    <w:rsid w:val="007242E9"/>
    <w:rsid w:val="0072446F"/>
    <w:rsid w:val="00724557"/>
    <w:rsid w:val="0072463F"/>
    <w:rsid w:val="0072464A"/>
    <w:rsid w:val="0072469F"/>
    <w:rsid w:val="007248C6"/>
    <w:rsid w:val="00724B92"/>
    <w:rsid w:val="00724C40"/>
    <w:rsid w:val="00724E0A"/>
    <w:rsid w:val="00724EEA"/>
    <w:rsid w:val="00725252"/>
    <w:rsid w:val="007254FD"/>
    <w:rsid w:val="007256B9"/>
    <w:rsid w:val="00725921"/>
    <w:rsid w:val="00725B89"/>
    <w:rsid w:val="00725C62"/>
    <w:rsid w:val="00725FFD"/>
    <w:rsid w:val="007260C0"/>
    <w:rsid w:val="007260F9"/>
    <w:rsid w:val="007262DC"/>
    <w:rsid w:val="00726386"/>
    <w:rsid w:val="0072643F"/>
    <w:rsid w:val="00726698"/>
    <w:rsid w:val="0072677A"/>
    <w:rsid w:val="0072681A"/>
    <w:rsid w:val="007269A7"/>
    <w:rsid w:val="00726A0E"/>
    <w:rsid w:val="00726A4E"/>
    <w:rsid w:val="00726B5A"/>
    <w:rsid w:val="00726B8D"/>
    <w:rsid w:val="00726BC8"/>
    <w:rsid w:val="00726CAF"/>
    <w:rsid w:val="00726CDB"/>
    <w:rsid w:val="00726E27"/>
    <w:rsid w:val="00726F3A"/>
    <w:rsid w:val="00726FDD"/>
    <w:rsid w:val="007270D6"/>
    <w:rsid w:val="0072730E"/>
    <w:rsid w:val="00727352"/>
    <w:rsid w:val="007273A0"/>
    <w:rsid w:val="0072784C"/>
    <w:rsid w:val="007279CE"/>
    <w:rsid w:val="007279ED"/>
    <w:rsid w:val="00727A1C"/>
    <w:rsid w:val="00727C91"/>
    <w:rsid w:val="00727D38"/>
    <w:rsid w:val="00727DA3"/>
    <w:rsid w:val="00727F79"/>
    <w:rsid w:val="00727FF7"/>
    <w:rsid w:val="00730091"/>
    <w:rsid w:val="00730175"/>
    <w:rsid w:val="007302A0"/>
    <w:rsid w:val="00730342"/>
    <w:rsid w:val="0073035D"/>
    <w:rsid w:val="007303C3"/>
    <w:rsid w:val="007304B2"/>
    <w:rsid w:val="007307A9"/>
    <w:rsid w:val="007307FC"/>
    <w:rsid w:val="00730A58"/>
    <w:rsid w:val="00730A7E"/>
    <w:rsid w:val="00730C4A"/>
    <w:rsid w:val="00730CDE"/>
    <w:rsid w:val="00730CF8"/>
    <w:rsid w:val="00730F4D"/>
    <w:rsid w:val="00731012"/>
    <w:rsid w:val="0073103A"/>
    <w:rsid w:val="007310C0"/>
    <w:rsid w:val="0073115E"/>
    <w:rsid w:val="00731175"/>
    <w:rsid w:val="00731275"/>
    <w:rsid w:val="00731285"/>
    <w:rsid w:val="007313ED"/>
    <w:rsid w:val="00731512"/>
    <w:rsid w:val="00731621"/>
    <w:rsid w:val="007317A5"/>
    <w:rsid w:val="007317B2"/>
    <w:rsid w:val="0073181E"/>
    <w:rsid w:val="0073192C"/>
    <w:rsid w:val="00731B5B"/>
    <w:rsid w:val="00731C17"/>
    <w:rsid w:val="00731C68"/>
    <w:rsid w:val="00731CD2"/>
    <w:rsid w:val="00731F38"/>
    <w:rsid w:val="00732082"/>
    <w:rsid w:val="00732222"/>
    <w:rsid w:val="0073224D"/>
    <w:rsid w:val="00732360"/>
    <w:rsid w:val="00732468"/>
    <w:rsid w:val="007324AB"/>
    <w:rsid w:val="007324DB"/>
    <w:rsid w:val="00732534"/>
    <w:rsid w:val="007325D1"/>
    <w:rsid w:val="00732757"/>
    <w:rsid w:val="007327C5"/>
    <w:rsid w:val="00732891"/>
    <w:rsid w:val="00732910"/>
    <w:rsid w:val="00732A25"/>
    <w:rsid w:val="00732BC0"/>
    <w:rsid w:val="00732C91"/>
    <w:rsid w:val="00732CDD"/>
    <w:rsid w:val="00732CFD"/>
    <w:rsid w:val="00732E10"/>
    <w:rsid w:val="00732F08"/>
    <w:rsid w:val="00732F0F"/>
    <w:rsid w:val="00732F6B"/>
    <w:rsid w:val="00732FAF"/>
    <w:rsid w:val="00732FDA"/>
    <w:rsid w:val="0073309E"/>
    <w:rsid w:val="007330ED"/>
    <w:rsid w:val="0073327A"/>
    <w:rsid w:val="00733362"/>
    <w:rsid w:val="00733580"/>
    <w:rsid w:val="007336AD"/>
    <w:rsid w:val="007336EB"/>
    <w:rsid w:val="007337C2"/>
    <w:rsid w:val="00733883"/>
    <w:rsid w:val="00733A1C"/>
    <w:rsid w:val="00733A21"/>
    <w:rsid w:val="00733A76"/>
    <w:rsid w:val="00733AC1"/>
    <w:rsid w:val="00733B35"/>
    <w:rsid w:val="00733B40"/>
    <w:rsid w:val="00733D15"/>
    <w:rsid w:val="00733D2C"/>
    <w:rsid w:val="00733D42"/>
    <w:rsid w:val="00733DEC"/>
    <w:rsid w:val="00733DF2"/>
    <w:rsid w:val="00733E58"/>
    <w:rsid w:val="00733F3F"/>
    <w:rsid w:val="00733FA1"/>
    <w:rsid w:val="007340BE"/>
    <w:rsid w:val="007340E3"/>
    <w:rsid w:val="007340FE"/>
    <w:rsid w:val="0073412A"/>
    <w:rsid w:val="00734151"/>
    <w:rsid w:val="007341F5"/>
    <w:rsid w:val="0073439B"/>
    <w:rsid w:val="007343B8"/>
    <w:rsid w:val="007345D4"/>
    <w:rsid w:val="00734677"/>
    <w:rsid w:val="0073477A"/>
    <w:rsid w:val="007347C3"/>
    <w:rsid w:val="007347FE"/>
    <w:rsid w:val="00734887"/>
    <w:rsid w:val="0073497A"/>
    <w:rsid w:val="007349BF"/>
    <w:rsid w:val="00734BB7"/>
    <w:rsid w:val="00734CAD"/>
    <w:rsid w:val="00734DD2"/>
    <w:rsid w:val="00734FE2"/>
    <w:rsid w:val="00735012"/>
    <w:rsid w:val="00735043"/>
    <w:rsid w:val="007351F8"/>
    <w:rsid w:val="007352D2"/>
    <w:rsid w:val="00735448"/>
    <w:rsid w:val="0073552C"/>
    <w:rsid w:val="007355F7"/>
    <w:rsid w:val="00735701"/>
    <w:rsid w:val="00735824"/>
    <w:rsid w:val="0073587E"/>
    <w:rsid w:val="00735AF4"/>
    <w:rsid w:val="00735B69"/>
    <w:rsid w:val="00735B70"/>
    <w:rsid w:val="00735C72"/>
    <w:rsid w:val="00735C7B"/>
    <w:rsid w:val="00735CE5"/>
    <w:rsid w:val="00735DC7"/>
    <w:rsid w:val="00736146"/>
    <w:rsid w:val="007361AA"/>
    <w:rsid w:val="0073620C"/>
    <w:rsid w:val="00736249"/>
    <w:rsid w:val="0073624B"/>
    <w:rsid w:val="007362BD"/>
    <w:rsid w:val="00736349"/>
    <w:rsid w:val="007363C5"/>
    <w:rsid w:val="007364C5"/>
    <w:rsid w:val="00736672"/>
    <w:rsid w:val="00736704"/>
    <w:rsid w:val="0073672B"/>
    <w:rsid w:val="00736776"/>
    <w:rsid w:val="007367A3"/>
    <w:rsid w:val="007368DE"/>
    <w:rsid w:val="00736A32"/>
    <w:rsid w:val="00736A83"/>
    <w:rsid w:val="00736B43"/>
    <w:rsid w:val="00736C12"/>
    <w:rsid w:val="00736C63"/>
    <w:rsid w:val="00736DE4"/>
    <w:rsid w:val="00736DFE"/>
    <w:rsid w:val="00736F0B"/>
    <w:rsid w:val="00736F2B"/>
    <w:rsid w:val="007370D4"/>
    <w:rsid w:val="00737127"/>
    <w:rsid w:val="0073733B"/>
    <w:rsid w:val="00737523"/>
    <w:rsid w:val="007379C2"/>
    <w:rsid w:val="007379E0"/>
    <w:rsid w:val="00737A41"/>
    <w:rsid w:val="00737B10"/>
    <w:rsid w:val="00737B92"/>
    <w:rsid w:val="00737BC2"/>
    <w:rsid w:val="00737C4C"/>
    <w:rsid w:val="00737F19"/>
    <w:rsid w:val="0074008E"/>
    <w:rsid w:val="00740181"/>
    <w:rsid w:val="0074020B"/>
    <w:rsid w:val="0074024E"/>
    <w:rsid w:val="00740342"/>
    <w:rsid w:val="007404BF"/>
    <w:rsid w:val="00740512"/>
    <w:rsid w:val="00740678"/>
    <w:rsid w:val="00740719"/>
    <w:rsid w:val="0074078E"/>
    <w:rsid w:val="007407A8"/>
    <w:rsid w:val="007407B0"/>
    <w:rsid w:val="007408C1"/>
    <w:rsid w:val="0074090F"/>
    <w:rsid w:val="00740A0F"/>
    <w:rsid w:val="00740A69"/>
    <w:rsid w:val="00740BB7"/>
    <w:rsid w:val="00740BCF"/>
    <w:rsid w:val="00740C70"/>
    <w:rsid w:val="00740CBC"/>
    <w:rsid w:val="00740D66"/>
    <w:rsid w:val="00740E9D"/>
    <w:rsid w:val="00740EE9"/>
    <w:rsid w:val="0074100D"/>
    <w:rsid w:val="0074100E"/>
    <w:rsid w:val="0074102C"/>
    <w:rsid w:val="00741265"/>
    <w:rsid w:val="007412D1"/>
    <w:rsid w:val="0074132C"/>
    <w:rsid w:val="007413FE"/>
    <w:rsid w:val="00741453"/>
    <w:rsid w:val="00741467"/>
    <w:rsid w:val="007414F5"/>
    <w:rsid w:val="007414F9"/>
    <w:rsid w:val="007415CB"/>
    <w:rsid w:val="0074164D"/>
    <w:rsid w:val="00741671"/>
    <w:rsid w:val="00741846"/>
    <w:rsid w:val="007418A0"/>
    <w:rsid w:val="00741917"/>
    <w:rsid w:val="00741AB9"/>
    <w:rsid w:val="00741B45"/>
    <w:rsid w:val="00741B6F"/>
    <w:rsid w:val="00741B93"/>
    <w:rsid w:val="00741BCD"/>
    <w:rsid w:val="007420A4"/>
    <w:rsid w:val="00742116"/>
    <w:rsid w:val="0074216D"/>
    <w:rsid w:val="00742239"/>
    <w:rsid w:val="00742282"/>
    <w:rsid w:val="00742429"/>
    <w:rsid w:val="00742471"/>
    <w:rsid w:val="00742653"/>
    <w:rsid w:val="0074277B"/>
    <w:rsid w:val="00742A11"/>
    <w:rsid w:val="00742B05"/>
    <w:rsid w:val="00742C0A"/>
    <w:rsid w:val="00742EAB"/>
    <w:rsid w:val="00743056"/>
    <w:rsid w:val="007431BC"/>
    <w:rsid w:val="0074322B"/>
    <w:rsid w:val="0074326A"/>
    <w:rsid w:val="007433AE"/>
    <w:rsid w:val="007435D5"/>
    <w:rsid w:val="00743752"/>
    <w:rsid w:val="00743A2D"/>
    <w:rsid w:val="00743D3C"/>
    <w:rsid w:val="00743E51"/>
    <w:rsid w:val="00744026"/>
    <w:rsid w:val="00744041"/>
    <w:rsid w:val="0074409C"/>
    <w:rsid w:val="007440C1"/>
    <w:rsid w:val="0074427F"/>
    <w:rsid w:val="007442DD"/>
    <w:rsid w:val="00744359"/>
    <w:rsid w:val="007444D4"/>
    <w:rsid w:val="007448B7"/>
    <w:rsid w:val="007449E1"/>
    <w:rsid w:val="007449FC"/>
    <w:rsid w:val="00744BA1"/>
    <w:rsid w:val="00744BB8"/>
    <w:rsid w:val="00744C63"/>
    <w:rsid w:val="00744E07"/>
    <w:rsid w:val="00744F7B"/>
    <w:rsid w:val="00744FB7"/>
    <w:rsid w:val="00745006"/>
    <w:rsid w:val="007450A4"/>
    <w:rsid w:val="00745297"/>
    <w:rsid w:val="007455C0"/>
    <w:rsid w:val="007455D0"/>
    <w:rsid w:val="0074564B"/>
    <w:rsid w:val="007456E8"/>
    <w:rsid w:val="0074578D"/>
    <w:rsid w:val="007457C3"/>
    <w:rsid w:val="00745993"/>
    <w:rsid w:val="00745B09"/>
    <w:rsid w:val="00745BBE"/>
    <w:rsid w:val="0074606A"/>
    <w:rsid w:val="00746080"/>
    <w:rsid w:val="00746196"/>
    <w:rsid w:val="007461CE"/>
    <w:rsid w:val="0074622B"/>
    <w:rsid w:val="007462BA"/>
    <w:rsid w:val="00746386"/>
    <w:rsid w:val="00746485"/>
    <w:rsid w:val="007464BF"/>
    <w:rsid w:val="00746535"/>
    <w:rsid w:val="0074658D"/>
    <w:rsid w:val="007466A3"/>
    <w:rsid w:val="0074670C"/>
    <w:rsid w:val="007469B5"/>
    <w:rsid w:val="00746A50"/>
    <w:rsid w:val="00746AC3"/>
    <w:rsid w:val="00746ACE"/>
    <w:rsid w:val="00746B43"/>
    <w:rsid w:val="00746BD7"/>
    <w:rsid w:val="00746BEA"/>
    <w:rsid w:val="00746BFD"/>
    <w:rsid w:val="00746C09"/>
    <w:rsid w:val="00746CEB"/>
    <w:rsid w:val="00746FD1"/>
    <w:rsid w:val="00747017"/>
    <w:rsid w:val="007470D2"/>
    <w:rsid w:val="00747150"/>
    <w:rsid w:val="0074715C"/>
    <w:rsid w:val="007472B6"/>
    <w:rsid w:val="00747442"/>
    <w:rsid w:val="007474DD"/>
    <w:rsid w:val="00747505"/>
    <w:rsid w:val="007475A4"/>
    <w:rsid w:val="0074760A"/>
    <w:rsid w:val="0074783C"/>
    <w:rsid w:val="00747919"/>
    <w:rsid w:val="0074799E"/>
    <w:rsid w:val="007479A0"/>
    <w:rsid w:val="007479F6"/>
    <w:rsid w:val="00747B41"/>
    <w:rsid w:val="00747D63"/>
    <w:rsid w:val="00747D81"/>
    <w:rsid w:val="00747E2A"/>
    <w:rsid w:val="00747E89"/>
    <w:rsid w:val="00747E98"/>
    <w:rsid w:val="00747F6C"/>
    <w:rsid w:val="00750004"/>
    <w:rsid w:val="0075006A"/>
    <w:rsid w:val="007502D5"/>
    <w:rsid w:val="0075047A"/>
    <w:rsid w:val="007504CC"/>
    <w:rsid w:val="007504DD"/>
    <w:rsid w:val="00750543"/>
    <w:rsid w:val="007505E8"/>
    <w:rsid w:val="007506E4"/>
    <w:rsid w:val="0075082D"/>
    <w:rsid w:val="007508D7"/>
    <w:rsid w:val="007508E0"/>
    <w:rsid w:val="00750943"/>
    <w:rsid w:val="007509E7"/>
    <w:rsid w:val="007509F7"/>
    <w:rsid w:val="00750A2F"/>
    <w:rsid w:val="00750A3F"/>
    <w:rsid w:val="00750CBE"/>
    <w:rsid w:val="00750FA0"/>
    <w:rsid w:val="00750FC7"/>
    <w:rsid w:val="007510C7"/>
    <w:rsid w:val="00751267"/>
    <w:rsid w:val="00751314"/>
    <w:rsid w:val="0075139C"/>
    <w:rsid w:val="00751429"/>
    <w:rsid w:val="00751457"/>
    <w:rsid w:val="007515F3"/>
    <w:rsid w:val="00751627"/>
    <w:rsid w:val="007516CD"/>
    <w:rsid w:val="007518B9"/>
    <w:rsid w:val="0075195F"/>
    <w:rsid w:val="00751A22"/>
    <w:rsid w:val="00751CA0"/>
    <w:rsid w:val="00751CAB"/>
    <w:rsid w:val="00751D7F"/>
    <w:rsid w:val="00751E54"/>
    <w:rsid w:val="00751ECE"/>
    <w:rsid w:val="00751F33"/>
    <w:rsid w:val="00751FAF"/>
    <w:rsid w:val="00751FD2"/>
    <w:rsid w:val="00752299"/>
    <w:rsid w:val="007524A1"/>
    <w:rsid w:val="0075252A"/>
    <w:rsid w:val="0075254A"/>
    <w:rsid w:val="007527AD"/>
    <w:rsid w:val="007527C3"/>
    <w:rsid w:val="007527DD"/>
    <w:rsid w:val="007527EA"/>
    <w:rsid w:val="00752948"/>
    <w:rsid w:val="00752A55"/>
    <w:rsid w:val="00752A84"/>
    <w:rsid w:val="00752AC9"/>
    <w:rsid w:val="00752AE1"/>
    <w:rsid w:val="00752AFC"/>
    <w:rsid w:val="00752C47"/>
    <w:rsid w:val="00752D4C"/>
    <w:rsid w:val="00752E67"/>
    <w:rsid w:val="00752E7E"/>
    <w:rsid w:val="00752E92"/>
    <w:rsid w:val="0075305E"/>
    <w:rsid w:val="00753115"/>
    <w:rsid w:val="007531BB"/>
    <w:rsid w:val="0075325A"/>
    <w:rsid w:val="00753340"/>
    <w:rsid w:val="007533A8"/>
    <w:rsid w:val="0075342F"/>
    <w:rsid w:val="0075356F"/>
    <w:rsid w:val="007535EA"/>
    <w:rsid w:val="00753813"/>
    <w:rsid w:val="00753856"/>
    <w:rsid w:val="007538D6"/>
    <w:rsid w:val="0075398D"/>
    <w:rsid w:val="00753B07"/>
    <w:rsid w:val="00753B45"/>
    <w:rsid w:val="00753C86"/>
    <w:rsid w:val="00753D51"/>
    <w:rsid w:val="00753DC9"/>
    <w:rsid w:val="00753E49"/>
    <w:rsid w:val="00753EC2"/>
    <w:rsid w:val="00753EFF"/>
    <w:rsid w:val="00753F6A"/>
    <w:rsid w:val="00753FE1"/>
    <w:rsid w:val="00754178"/>
    <w:rsid w:val="00754285"/>
    <w:rsid w:val="00754362"/>
    <w:rsid w:val="007545B0"/>
    <w:rsid w:val="007545D5"/>
    <w:rsid w:val="007545EE"/>
    <w:rsid w:val="00754643"/>
    <w:rsid w:val="0075489F"/>
    <w:rsid w:val="00754A97"/>
    <w:rsid w:val="00754B13"/>
    <w:rsid w:val="00754B20"/>
    <w:rsid w:val="00754CD9"/>
    <w:rsid w:val="00754CEE"/>
    <w:rsid w:val="00754E37"/>
    <w:rsid w:val="00754E58"/>
    <w:rsid w:val="00755060"/>
    <w:rsid w:val="007551DA"/>
    <w:rsid w:val="007552EF"/>
    <w:rsid w:val="00755412"/>
    <w:rsid w:val="00755531"/>
    <w:rsid w:val="007556FF"/>
    <w:rsid w:val="00755795"/>
    <w:rsid w:val="007557E0"/>
    <w:rsid w:val="0075587A"/>
    <w:rsid w:val="00755941"/>
    <w:rsid w:val="00755C69"/>
    <w:rsid w:val="00755CB4"/>
    <w:rsid w:val="00755E22"/>
    <w:rsid w:val="00755E8A"/>
    <w:rsid w:val="0075604F"/>
    <w:rsid w:val="0075616F"/>
    <w:rsid w:val="00756193"/>
    <w:rsid w:val="00756278"/>
    <w:rsid w:val="00756287"/>
    <w:rsid w:val="007564F6"/>
    <w:rsid w:val="0075670F"/>
    <w:rsid w:val="00756850"/>
    <w:rsid w:val="00756910"/>
    <w:rsid w:val="00756E61"/>
    <w:rsid w:val="00756EFA"/>
    <w:rsid w:val="00756F44"/>
    <w:rsid w:val="00756FF1"/>
    <w:rsid w:val="007570BE"/>
    <w:rsid w:val="0075741D"/>
    <w:rsid w:val="007575A3"/>
    <w:rsid w:val="007578EA"/>
    <w:rsid w:val="007579DB"/>
    <w:rsid w:val="00757AC8"/>
    <w:rsid w:val="00757AF4"/>
    <w:rsid w:val="00757B70"/>
    <w:rsid w:val="00757CE2"/>
    <w:rsid w:val="00757CE3"/>
    <w:rsid w:val="00757D4B"/>
    <w:rsid w:val="00757FDF"/>
    <w:rsid w:val="0076002F"/>
    <w:rsid w:val="0076029A"/>
    <w:rsid w:val="0076036F"/>
    <w:rsid w:val="00760435"/>
    <w:rsid w:val="007604CC"/>
    <w:rsid w:val="007604FD"/>
    <w:rsid w:val="00760680"/>
    <w:rsid w:val="007606CF"/>
    <w:rsid w:val="0076074C"/>
    <w:rsid w:val="007607AA"/>
    <w:rsid w:val="00760AD8"/>
    <w:rsid w:val="00760B03"/>
    <w:rsid w:val="00760B79"/>
    <w:rsid w:val="00760CDB"/>
    <w:rsid w:val="00760D63"/>
    <w:rsid w:val="00760DE8"/>
    <w:rsid w:val="00760E32"/>
    <w:rsid w:val="0076106A"/>
    <w:rsid w:val="00761202"/>
    <w:rsid w:val="007615A2"/>
    <w:rsid w:val="0076172E"/>
    <w:rsid w:val="00761735"/>
    <w:rsid w:val="00761884"/>
    <w:rsid w:val="00761A7D"/>
    <w:rsid w:val="00761D85"/>
    <w:rsid w:val="00761F7C"/>
    <w:rsid w:val="007620F7"/>
    <w:rsid w:val="0076211C"/>
    <w:rsid w:val="007623B8"/>
    <w:rsid w:val="007624C6"/>
    <w:rsid w:val="0076287C"/>
    <w:rsid w:val="0076298D"/>
    <w:rsid w:val="00762AA4"/>
    <w:rsid w:val="00762AC4"/>
    <w:rsid w:val="00762B92"/>
    <w:rsid w:val="00762BA3"/>
    <w:rsid w:val="00762C40"/>
    <w:rsid w:val="00762C66"/>
    <w:rsid w:val="00762DC7"/>
    <w:rsid w:val="00762E55"/>
    <w:rsid w:val="00762E6E"/>
    <w:rsid w:val="00762F10"/>
    <w:rsid w:val="00762F4B"/>
    <w:rsid w:val="0076318F"/>
    <w:rsid w:val="007632D2"/>
    <w:rsid w:val="0076358C"/>
    <w:rsid w:val="00763716"/>
    <w:rsid w:val="0076381D"/>
    <w:rsid w:val="00763885"/>
    <w:rsid w:val="007638B6"/>
    <w:rsid w:val="00763909"/>
    <w:rsid w:val="0076399D"/>
    <w:rsid w:val="00763C23"/>
    <w:rsid w:val="00763C99"/>
    <w:rsid w:val="00763D38"/>
    <w:rsid w:val="00763D4A"/>
    <w:rsid w:val="00763D69"/>
    <w:rsid w:val="00763DDA"/>
    <w:rsid w:val="00763F4A"/>
    <w:rsid w:val="00763FDF"/>
    <w:rsid w:val="00764241"/>
    <w:rsid w:val="00764320"/>
    <w:rsid w:val="00764357"/>
    <w:rsid w:val="007645CF"/>
    <w:rsid w:val="0076463C"/>
    <w:rsid w:val="007647AE"/>
    <w:rsid w:val="00764825"/>
    <w:rsid w:val="00764884"/>
    <w:rsid w:val="007649E3"/>
    <w:rsid w:val="00764A06"/>
    <w:rsid w:val="00764BFF"/>
    <w:rsid w:val="00764CB4"/>
    <w:rsid w:val="00764F8B"/>
    <w:rsid w:val="00765051"/>
    <w:rsid w:val="00765052"/>
    <w:rsid w:val="0076511E"/>
    <w:rsid w:val="007651E4"/>
    <w:rsid w:val="007655D3"/>
    <w:rsid w:val="0076567D"/>
    <w:rsid w:val="007658CA"/>
    <w:rsid w:val="007658F5"/>
    <w:rsid w:val="0076599D"/>
    <w:rsid w:val="007659E4"/>
    <w:rsid w:val="00765A1F"/>
    <w:rsid w:val="00765D53"/>
    <w:rsid w:val="00765D67"/>
    <w:rsid w:val="00765E50"/>
    <w:rsid w:val="00765FAF"/>
    <w:rsid w:val="0076619E"/>
    <w:rsid w:val="007662A2"/>
    <w:rsid w:val="007662AF"/>
    <w:rsid w:val="00766362"/>
    <w:rsid w:val="00766498"/>
    <w:rsid w:val="007664F0"/>
    <w:rsid w:val="007665A3"/>
    <w:rsid w:val="007665CC"/>
    <w:rsid w:val="007667B1"/>
    <w:rsid w:val="00766883"/>
    <w:rsid w:val="007668A2"/>
    <w:rsid w:val="007669D2"/>
    <w:rsid w:val="00766A9A"/>
    <w:rsid w:val="00766AE7"/>
    <w:rsid w:val="00766B64"/>
    <w:rsid w:val="00766BD6"/>
    <w:rsid w:val="00766C69"/>
    <w:rsid w:val="00766CA1"/>
    <w:rsid w:val="00766D38"/>
    <w:rsid w:val="00766E08"/>
    <w:rsid w:val="00766F26"/>
    <w:rsid w:val="00766F9E"/>
    <w:rsid w:val="0076709D"/>
    <w:rsid w:val="007671A4"/>
    <w:rsid w:val="007672C7"/>
    <w:rsid w:val="0076732D"/>
    <w:rsid w:val="00767419"/>
    <w:rsid w:val="00767462"/>
    <w:rsid w:val="007674A1"/>
    <w:rsid w:val="0076770A"/>
    <w:rsid w:val="0076785A"/>
    <w:rsid w:val="00767872"/>
    <w:rsid w:val="00767937"/>
    <w:rsid w:val="007679BB"/>
    <w:rsid w:val="007679C9"/>
    <w:rsid w:val="00767A51"/>
    <w:rsid w:val="00767B2B"/>
    <w:rsid w:val="00767E62"/>
    <w:rsid w:val="00767EC9"/>
    <w:rsid w:val="00767EFE"/>
    <w:rsid w:val="00767F5E"/>
    <w:rsid w:val="0077005D"/>
    <w:rsid w:val="007701B0"/>
    <w:rsid w:val="00770331"/>
    <w:rsid w:val="00770418"/>
    <w:rsid w:val="00770439"/>
    <w:rsid w:val="0077048D"/>
    <w:rsid w:val="007704DF"/>
    <w:rsid w:val="00770583"/>
    <w:rsid w:val="0077066F"/>
    <w:rsid w:val="007707DD"/>
    <w:rsid w:val="007708E8"/>
    <w:rsid w:val="00770920"/>
    <w:rsid w:val="007709CB"/>
    <w:rsid w:val="00770C48"/>
    <w:rsid w:val="00770C54"/>
    <w:rsid w:val="00770DFB"/>
    <w:rsid w:val="00770E05"/>
    <w:rsid w:val="00771055"/>
    <w:rsid w:val="007710FA"/>
    <w:rsid w:val="0077116E"/>
    <w:rsid w:val="0077127B"/>
    <w:rsid w:val="007712CE"/>
    <w:rsid w:val="007712EF"/>
    <w:rsid w:val="0077130D"/>
    <w:rsid w:val="0077144A"/>
    <w:rsid w:val="00771456"/>
    <w:rsid w:val="0077146A"/>
    <w:rsid w:val="00771528"/>
    <w:rsid w:val="00771831"/>
    <w:rsid w:val="00771845"/>
    <w:rsid w:val="00771992"/>
    <w:rsid w:val="00771B6B"/>
    <w:rsid w:val="00771B95"/>
    <w:rsid w:val="00771BA4"/>
    <w:rsid w:val="00771BD0"/>
    <w:rsid w:val="00771BD8"/>
    <w:rsid w:val="00771BF7"/>
    <w:rsid w:val="00771D6B"/>
    <w:rsid w:val="00771D93"/>
    <w:rsid w:val="00771E16"/>
    <w:rsid w:val="00771EAD"/>
    <w:rsid w:val="00771FCB"/>
    <w:rsid w:val="007721E3"/>
    <w:rsid w:val="00772321"/>
    <w:rsid w:val="00772404"/>
    <w:rsid w:val="0077246C"/>
    <w:rsid w:val="00772487"/>
    <w:rsid w:val="00772549"/>
    <w:rsid w:val="00772645"/>
    <w:rsid w:val="007726F9"/>
    <w:rsid w:val="007728DF"/>
    <w:rsid w:val="00772A05"/>
    <w:rsid w:val="00772A4F"/>
    <w:rsid w:val="00772BBF"/>
    <w:rsid w:val="00772D9B"/>
    <w:rsid w:val="00772DE1"/>
    <w:rsid w:val="00772EE5"/>
    <w:rsid w:val="00772F56"/>
    <w:rsid w:val="0077312B"/>
    <w:rsid w:val="007734C8"/>
    <w:rsid w:val="00773501"/>
    <w:rsid w:val="007735E4"/>
    <w:rsid w:val="007736A5"/>
    <w:rsid w:val="007736D7"/>
    <w:rsid w:val="00773A93"/>
    <w:rsid w:val="00773BA9"/>
    <w:rsid w:val="00774003"/>
    <w:rsid w:val="007740D2"/>
    <w:rsid w:val="007742A7"/>
    <w:rsid w:val="00774389"/>
    <w:rsid w:val="0077439B"/>
    <w:rsid w:val="00774498"/>
    <w:rsid w:val="007745F6"/>
    <w:rsid w:val="0077460D"/>
    <w:rsid w:val="007747D6"/>
    <w:rsid w:val="0077485A"/>
    <w:rsid w:val="00774B31"/>
    <w:rsid w:val="00774B72"/>
    <w:rsid w:val="00774BFA"/>
    <w:rsid w:val="00774C11"/>
    <w:rsid w:val="00774E7F"/>
    <w:rsid w:val="00774F45"/>
    <w:rsid w:val="00774F5F"/>
    <w:rsid w:val="00774FFB"/>
    <w:rsid w:val="00775087"/>
    <w:rsid w:val="00775158"/>
    <w:rsid w:val="00775207"/>
    <w:rsid w:val="00775286"/>
    <w:rsid w:val="00775289"/>
    <w:rsid w:val="0077531D"/>
    <w:rsid w:val="00775344"/>
    <w:rsid w:val="00775388"/>
    <w:rsid w:val="007753A9"/>
    <w:rsid w:val="00775446"/>
    <w:rsid w:val="00775522"/>
    <w:rsid w:val="00775572"/>
    <w:rsid w:val="00775639"/>
    <w:rsid w:val="00775654"/>
    <w:rsid w:val="00775666"/>
    <w:rsid w:val="00775A68"/>
    <w:rsid w:val="00775D48"/>
    <w:rsid w:val="00775E1B"/>
    <w:rsid w:val="00775E1E"/>
    <w:rsid w:val="00775E77"/>
    <w:rsid w:val="00775EA2"/>
    <w:rsid w:val="00775EE0"/>
    <w:rsid w:val="00775FDA"/>
    <w:rsid w:val="007763D2"/>
    <w:rsid w:val="00776542"/>
    <w:rsid w:val="007766F9"/>
    <w:rsid w:val="007768A1"/>
    <w:rsid w:val="007768DC"/>
    <w:rsid w:val="007769F8"/>
    <w:rsid w:val="00776B0B"/>
    <w:rsid w:val="00776B50"/>
    <w:rsid w:val="00776CC4"/>
    <w:rsid w:val="00776D42"/>
    <w:rsid w:val="00776D4E"/>
    <w:rsid w:val="00776D82"/>
    <w:rsid w:val="00776E0B"/>
    <w:rsid w:val="00776E3F"/>
    <w:rsid w:val="00776F43"/>
    <w:rsid w:val="00777236"/>
    <w:rsid w:val="00777257"/>
    <w:rsid w:val="00777355"/>
    <w:rsid w:val="0077735E"/>
    <w:rsid w:val="0077763E"/>
    <w:rsid w:val="007776DF"/>
    <w:rsid w:val="007777A2"/>
    <w:rsid w:val="0077791C"/>
    <w:rsid w:val="00777986"/>
    <w:rsid w:val="00777A6D"/>
    <w:rsid w:val="00777AF3"/>
    <w:rsid w:val="00777B20"/>
    <w:rsid w:val="00777BA6"/>
    <w:rsid w:val="00777E46"/>
    <w:rsid w:val="00777F8C"/>
    <w:rsid w:val="0078015A"/>
    <w:rsid w:val="0078017C"/>
    <w:rsid w:val="0078019C"/>
    <w:rsid w:val="00780494"/>
    <w:rsid w:val="0078049C"/>
    <w:rsid w:val="00780531"/>
    <w:rsid w:val="007805F6"/>
    <w:rsid w:val="00780754"/>
    <w:rsid w:val="007807B7"/>
    <w:rsid w:val="007808BA"/>
    <w:rsid w:val="007809C2"/>
    <w:rsid w:val="00780B5E"/>
    <w:rsid w:val="00780B9A"/>
    <w:rsid w:val="00780E05"/>
    <w:rsid w:val="00780EC1"/>
    <w:rsid w:val="00780EE1"/>
    <w:rsid w:val="00780F1D"/>
    <w:rsid w:val="00780F4E"/>
    <w:rsid w:val="00780FD1"/>
    <w:rsid w:val="007811A2"/>
    <w:rsid w:val="0078139F"/>
    <w:rsid w:val="007813FE"/>
    <w:rsid w:val="00781448"/>
    <w:rsid w:val="0078152D"/>
    <w:rsid w:val="0078162F"/>
    <w:rsid w:val="00781634"/>
    <w:rsid w:val="007816CB"/>
    <w:rsid w:val="007816F0"/>
    <w:rsid w:val="007818B7"/>
    <w:rsid w:val="007818EC"/>
    <w:rsid w:val="00781C2A"/>
    <w:rsid w:val="00781CDD"/>
    <w:rsid w:val="00781D18"/>
    <w:rsid w:val="00781E27"/>
    <w:rsid w:val="00781EA8"/>
    <w:rsid w:val="00781EF3"/>
    <w:rsid w:val="007821B6"/>
    <w:rsid w:val="007821C1"/>
    <w:rsid w:val="007821DF"/>
    <w:rsid w:val="007821E7"/>
    <w:rsid w:val="007821EB"/>
    <w:rsid w:val="00782228"/>
    <w:rsid w:val="0078223C"/>
    <w:rsid w:val="007823D8"/>
    <w:rsid w:val="007824A2"/>
    <w:rsid w:val="007824AA"/>
    <w:rsid w:val="00782752"/>
    <w:rsid w:val="007827CB"/>
    <w:rsid w:val="0078283D"/>
    <w:rsid w:val="00782906"/>
    <w:rsid w:val="00782994"/>
    <w:rsid w:val="007829D7"/>
    <w:rsid w:val="00782A3B"/>
    <w:rsid w:val="00782AB2"/>
    <w:rsid w:val="00782CCE"/>
    <w:rsid w:val="00782E9D"/>
    <w:rsid w:val="00782EF3"/>
    <w:rsid w:val="00782F9B"/>
    <w:rsid w:val="0078305F"/>
    <w:rsid w:val="0078330A"/>
    <w:rsid w:val="007833CF"/>
    <w:rsid w:val="00783484"/>
    <w:rsid w:val="0078355B"/>
    <w:rsid w:val="007835AA"/>
    <w:rsid w:val="007835F6"/>
    <w:rsid w:val="0078388F"/>
    <w:rsid w:val="00783920"/>
    <w:rsid w:val="00783A9F"/>
    <w:rsid w:val="00783AE2"/>
    <w:rsid w:val="00783D0C"/>
    <w:rsid w:val="00783D11"/>
    <w:rsid w:val="00783D50"/>
    <w:rsid w:val="00783F07"/>
    <w:rsid w:val="0078418C"/>
    <w:rsid w:val="00784191"/>
    <w:rsid w:val="007843DA"/>
    <w:rsid w:val="007844A6"/>
    <w:rsid w:val="00784638"/>
    <w:rsid w:val="00784652"/>
    <w:rsid w:val="00784728"/>
    <w:rsid w:val="00784757"/>
    <w:rsid w:val="00784822"/>
    <w:rsid w:val="00784834"/>
    <w:rsid w:val="007848C7"/>
    <w:rsid w:val="007848FD"/>
    <w:rsid w:val="0078497D"/>
    <w:rsid w:val="00784A89"/>
    <w:rsid w:val="00784F23"/>
    <w:rsid w:val="00784FCA"/>
    <w:rsid w:val="007852AB"/>
    <w:rsid w:val="007852F5"/>
    <w:rsid w:val="007853A3"/>
    <w:rsid w:val="00785476"/>
    <w:rsid w:val="0078557F"/>
    <w:rsid w:val="0078560D"/>
    <w:rsid w:val="00785661"/>
    <w:rsid w:val="007856F7"/>
    <w:rsid w:val="00785848"/>
    <w:rsid w:val="0078594F"/>
    <w:rsid w:val="00785950"/>
    <w:rsid w:val="007859B6"/>
    <w:rsid w:val="00785C55"/>
    <w:rsid w:val="007860A9"/>
    <w:rsid w:val="0078615D"/>
    <w:rsid w:val="007861E8"/>
    <w:rsid w:val="0078625E"/>
    <w:rsid w:val="00786277"/>
    <w:rsid w:val="00786291"/>
    <w:rsid w:val="007863E5"/>
    <w:rsid w:val="00786452"/>
    <w:rsid w:val="007864A2"/>
    <w:rsid w:val="00786516"/>
    <w:rsid w:val="00786517"/>
    <w:rsid w:val="007866AE"/>
    <w:rsid w:val="007866F6"/>
    <w:rsid w:val="00786727"/>
    <w:rsid w:val="00786758"/>
    <w:rsid w:val="00786895"/>
    <w:rsid w:val="00786A36"/>
    <w:rsid w:val="00786AE1"/>
    <w:rsid w:val="00786B16"/>
    <w:rsid w:val="00786CE5"/>
    <w:rsid w:val="00786EED"/>
    <w:rsid w:val="0078700B"/>
    <w:rsid w:val="0078704E"/>
    <w:rsid w:val="007870B9"/>
    <w:rsid w:val="00787108"/>
    <w:rsid w:val="00787166"/>
    <w:rsid w:val="00787179"/>
    <w:rsid w:val="00787215"/>
    <w:rsid w:val="0078730E"/>
    <w:rsid w:val="0078731D"/>
    <w:rsid w:val="007873BD"/>
    <w:rsid w:val="007873E0"/>
    <w:rsid w:val="007874C6"/>
    <w:rsid w:val="00787510"/>
    <w:rsid w:val="00787552"/>
    <w:rsid w:val="0078758A"/>
    <w:rsid w:val="007876FC"/>
    <w:rsid w:val="00787734"/>
    <w:rsid w:val="0078778A"/>
    <w:rsid w:val="007877A1"/>
    <w:rsid w:val="007877AE"/>
    <w:rsid w:val="007877ED"/>
    <w:rsid w:val="007877F4"/>
    <w:rsid w:val="00787B24"/>
    <w:rsid w:val="00787B4E"/>
    <w:rsid w:val="00787B65"/>
    <w:rsid w:val="00787B6F"/>
    <w:rsid w:val="00787D06"/>
    <w:rsid w:val="00787E01"/>
    <w:rsid w:val="00787E32"/>
    <w:rsid w:val="00787EAB"/>
    <w:rsid w:val="00787FEB"/>
    <w:rsid w:val="00790254"/>
    <w:rsid w:val="007902F6"/>
    <w:rsid w:val="00790392"/>
    <w:rsid w:val="00790453"/>
    <w:rsid w:val="007904BB"/>
    <w:rsid w:val="007904BE"/>
    <w:rsid w:val="00790661"/>
    <w:rsid w:val="00790748"/>
    <w:rsid w:val="00790810"/>
    <w:rsid w:val="007908D0"/>
    <w:rsid w:val="007908EE"/>
    <w:rsid w:val="00790B16"/>
    <w:rsid w:val="00790B2A"/>
    <w:rsid w:val="00790BC3"/>
    <w:rsid w:val="00790C1D"/>
    <w:rsid w:val="00790C80"/>
    <w:rsid w:val="00790C89"/>
    <w:rsid w:val="00790E0B"/>
    <w:rsid w:val="00790EAE"/>
    <w:rsid w:val="007910C5"/>
    <w:rsid w:val="007913FB"/>
    <w:rsid w:val="0079147B"/>
    <w:rsid w:val="00791489"/>
    <w:rsid w:val="0079150C"/>
    <w:rsid w:val="00791596"/>
    <w:rsid w:val="007915E3"/>
    <w:rsid w:val="00791600"/>
    <w:rsid w:val="00791733"/>
    <w:rsid w:val="0079173C"/>
    <w:rsid w:val="00791849"/>
    <w:rsid w:val="0079184B"/>
    <w:rsid w:val="0079188E"/>
    <w:rsid w:val="007918F5"/>
    <w:rsid w:val="007919C9"/>
    <w:rsid w:val="00791AD0"/>
    <w:rsid w:val="00791B7C"/>
    <w:rsid w:val="00791BEF"/>
    <w:rsid w:val="00791C82"/>
    <w:rsid w:val="00791D39"/>
    <w:rsid w:val="00791DAA"/>
    <w:rsid w:val="00791DFC"/>
    <w:rsid w:val="00791E26"/>
    <w:rsid w:val="00791ED8"/>
    <w:rsid w:val="00791F60"/>
    <w:rsid w:val="00791F94"/>
    <w:rsid w:val="00791FEE"/>
    <w:rsid w:val="0079202A"/>
    <w:rsid w:val="00792154"/>
    <w:rsid w:val="007921A7"/>
    <w:rsid w:val="007921F6"/>
    <w:rsid w:val="007922DE"/>
    <w:rsid w:val="0079240C"/>
    <w:rsid w:val="007926A2"/>
    <w:rsid w:val="0079278A"/>
    <w:rsid w:val="0079286D"/>
    <w:rsid w:val="00792973"/>
    <w:rsid w:val="007929AF"/>
    <w:rsid w:val="00792A81"/>
    <w:rsid w:val="00792ABF"/>
    <w:rsid w:val="00792AE3"/>
    <w:rsid w:val="00792B50"/>
    <w:rsid w:val="00792DE0"/>
    <w:rsid w:val="007930DB"/>
    <w:rsid w:val="007930E5"/>
    <w:rsid w:val="007931B9"/>
    <w:rsid w:val="00793297"/>
    <w:rsid w:val="007932E8"/>
    <w:rsid w:val="0079331B"/>
    <w:rsid w:val="007933AD"/>
    <w:rsid w:val="0079341D"/>
    <w:rsid w:val="00793472"/>
    <w:rsid w:val="00793637"/>
    <w:rsid w:val="007936D3"/>
    <w:rsid w:val="007937D8"/>
    <w:rsid w:val="00793849"/>
    <w:rsid w:val="007938CA"/>
    <w:rsid w:val="00793946"/>
    <w:rsid w:val="00793B64"/>
    <w:rsid w:val="00793B83"/>
    <w:rsid w:val="00793C63"/>
    <w:rsid w:val="00793CE5"/>
    <w:rsid w:val="00793E14"/>
    <w:rsid w:val="00793ED0"/>
    <w:rsid w:val="00793F06"/>
    <w:rsid w:val="00793F32"/>
    <w:rsid w:val="00793F3F"/>
    <w:rsid w:val="0079414F"/>
    <w:rsid w:val="007942ED"/>
    <w:rsid w:val="0079446E"/>
    <w:rsid w:val="007944CC"/>
    <w:rsid w:val="007945FC"/>
    <w:rsid w:val="0079463F"/>
    <w:rsid w:val="007946CB"/>
    <w:rsid w:val="00794742"/>
    <w:rsid w:val="00794778"/>
    <w:rsid w:val="007947EB"/>
    <w:rsid w:val="00794873"/>
    <w:rsid w:val="007948D9"/>
    <w:rsid w:val="007948DE"/>
    <w:rsid w:val="007948E2"/>
    <w:rsid w:val="00794990"/>
    <w:rsid w:val="00794A35"/>
    <w:rsid w:val="00794C25"/>
    <w:rsid w:val="00794C8C"/>
    <w:rsid w:val="00794CBB"/>
    <w:rsid w:val="00794CBF"/>
    <w:rsid w:val="00794D4E"/>
    <w:rsid w:val="00794E22"/>
    <w:rsid w:val="00794EAD"/>
    <w:rsid w:val="00794FF1"/>
    <w:rsid w:val="007950A1"/>
    <w:rsid w:val="007950FC"/>
    <w:rsid w:val="00795275"/>
    <w:rsid w:val="007953EE"/>
    <w:rsid w:val="00795456"/>
    <w:rsid w:val="007954F7"/>
    <w:rsid w:val="00795822"/>
    <w:rsid w:val="0079586C"/>
    <w:rsid w:val="007959A7"/>
    <w:rsid w:val="00795A18"/>
    <w:rsid w:val="00795AFD"/>
    <w:rsid w:val="00795B4C"/>
    <w:rsid w:val="00795BA8"/>
    <w:rsid w:val="00795C4A"/>
    <w:rsid w:val="00795C5C"/>
    <w:rsid w:val="00795C8E"/>
    <w:rsid w:val="00795DD2"/>
    <w:rsid w:val="00795E1A"/>
    <w:rsid w:val="00796133"/>
    <w:rsid w:val="00796155"/>
    <w:rsid w:val="00796174"/>
    <w:rsid w:val="007961A6"/>
    <w:rsid w:val="00796279"/>
    <w:rsid w:val="0079639D"/>
    <w:rsid w:val="00796510"/>
    <w:rsid w:val="00796553"/>
    <w:rsid w:val="007965A3"/>
    <w:rsid w:val="0079669B"/>
    <w:rsid w:val="007966BF"/>
    <w:rsid w:val="0079674B"/>
    <w:rsid w:val="00796791"/>
    <w:rsid w:val="00796AB9"/>
    <w:rsid w:val="00796B32"/>
    <w:rsid w:val="00796B51"/>
    <w:rsid w:val="00796E1A"/>
    <w:rsid w:val="007970A2"/>
    <w:rsid w:val="007970F6"/>
    <w:rsid w:val="0079732C"/>
    <w:rsid w:val="00797382"/>
    <w:rsid w:val="00797518"/>
    <w:rsid w:val="0079751C"/>
    <w:rsid w:val="007978A5"/>
    <w:rsid w:val="00797AE2"/>
    <w:rsid w:val="00797BC1"/>
    <w:rsid w:val="00797C19"/>
    <w:rsid w:val="00797D10"/>
    <w:rsid w:val="00797D76"/>
    <w:rsid w:val="00797DC8"/>
    <w:rsid w:val="007A0084"/>
    <w:rsid w:val="007A0113"/>
    <w:rsid w:val="007A0204"/>
    <w:rsid w:val="007A025A"/>
    <w:rsid w:val="007A0289"/>
    <w:rsid w:val="007A0434"/>
    <w:rsid w:val="007A04E8"/>
    <w:rsid w:val="007A04E9"/>
    <w:rsid w:val="007A05CF"/>
    <w:rsid w:val="007A05DC"/>
    <w:rsid w:val="007A0655"/>
    <w:rsid w:val="007A0880"/>
    <w:rsid w:val="007A08F8"/>
    <w:rsid w:val="007A0BBD"/>
    <w:rsid w:val="007A0DBC"/>
    <w:rsid w:val="007A0DF7"/>
    <w:rsid w:val="007A0E16"/>
    <w:rsid w:val="007A0F30"/>
    <w:rsid w:val="007A0FEC"/>
    <w:rsid w:val="007A1190"/>
    <w:rsid w:val="007A11EA"/>
    <w:rsid w:val="007A1283"/>
    <w:rsid w:val="007A13C2"/>
    <w:rsid w:val="007A13E8"/>
    <w:rsid w:val="007A161B"/>
    <w:rsid w:val="007A1622"/>
    <w:rsid w:val="007A1694"/>
    <w:rsid w:val="007A1717"/>
    <w:rsid w:val="007A1753"/>
    <w:rsid w:val="007A17A4"/>
    <w:rsid w:val="007A18A9"/>
    <w:rsid w:val="007A18FF"/>
    <w:rsid w:val="007A1913"/>
    <w:rsid w:val="007A197E"/>
    <w:rsid w:val="007A19CE"/>
    <w:rsid w:val="007A1AED"/>
    <w:rsid w:val="007A1AEF"/>
    <w:rsid w:val="007A1AF4"/>
    <w:rsid w:val="007A1B17"/>
    <w:rsid w:val="007A1BF1"/>
    <w:rsid w:val="007A1D80"/>
    <w:rsid w:val="007A1DE0"/>
    <w:rsid w:val="007A1E4E"/>
    <w:rsid w:val="007A1E70"/>
    <w:rsid w:val="007A1EA7"/>
    <w:rsid w:val="007A21A3"/>
    <w:rsid w:val="007A2208"/>
    <w:rsid w:val="007A22C1"/>
    <w:rsid w:val="007A22E4"/>
    <w:rsid w:val="007A240C"/>
    <w:rsid w:val="007A24BF"/>
    <w:rsid w:val="007A253C"/>
    <w:rsid w:val="007A2667"/>
    <w:rsid w:val="007A2702"/>
    <w:rsid w:val="007A283A"/>
    <w:rsid w:val="007A285F"/>
    <w:rsid w:val="007A289C"/>
    <w:rsid w:val="007A28ED"/>
    <w:rsid w:val="007A2A4A"/>
    <w:rsid w:val="007A2A98"/>
    <w:rsid w:val="007A2B22"/>
    <w:rsid w:val="007A2BDD"/>
    <w:rsid w:val="007A2C26"/>
    <w:rsid w:val="007A2C68"/>
    <w:rsid w:val="007A2D84"/>
    <w:rsid w:val="007A2E65"/>
    <w:rsid w:val="007A2ECB"/>
    <w:rsid w:val="007A2EE6"/>
    <w:rsid w:val="007A2F17"/>
    <w:rsid w:val="007A2FE4"/>
    <w:rsid w:val="007A30E5"/>
    <w:rsid w:val="007A310B"/>
    <w:rsid w:val="007A31FD"/>
    <w:rsid w:val="007A3213"/>
    <w:rsid w:val="007A32CA"/>
    <w:rsid w:val="007A332A"/>
    <w:rsid w:val="007A3351"/>
    <w:rsid w:val="007A3513"/>
    <w:rsid w:val="007A3525"/>
    <w:rsid w:val="007A374F"/>
    <w:rsid w:val="007A3851"/>
    <w:rsid w:val="007A38F4"/>
    <w:rsid w:val="007A3938"/>
    <w:rsid w:val="007A3DC8"/>
    <w:rsid w:val="007A3E02"/>
    <w:rsid w:val="007A3F57"/>
    <w:rsid w:val="007A3F5D"/>
    <w:rsid w:val="007A4063"/>
    <w:rsid w:val="007A40D9"/>
    <w:rsid w:val="007A423C"/>
    <w:rsid w:val="007A4298"/>
    <w:rsid w:val="007A42C5"/>
    <w:rsid w:val="007A483F"/>
    <w:rsid w:val="007A484D"/>
    <w:rsid w:val="007A48A3"/>
    <w:rsid w:val="007A493A"/>
    <w:rsid w:val="007A49A0"/>
    <w:rsid w:val="007A4C19"/>
    <w:rsid w:val="007A4CBC"/>
    <w:rsid w:val="007A4DA4"/>
    <w:rsid w:val="007A4E3E"/>
    <w:rsid w:val="007A4E83"/>
    <w:rsid w:val="007A504D"/>
    <w:rsid w:val="007A5051"/>
    <w:rsid w:val="007A50B6"/>
    <w:rsid w:val="007A519A"/>
    <w:rsid w:val="007A5323"/>
    <w:rsid w:val="007A5339"/>
    <w:rsid w:val="007A535B"/>
    <w:rsid w:val="007A53ED"/>
    <w:rsid w:val="007A5489"/>
    <w:rsid w:val="007A5492"/>
    <w:rsid w:val="007A54C3"/>
    <w:rsid w:val="007A5579"/>
    <w:rsid w:val="007A5639"/>
    <w:rsid w:val="007A5640"/>
    <w:rsid w:val="007A5643"/>
    <w:rsid w:val="007A56BE"/>
    <w:rsid w:val="007A574C"/>
    <w:rsid w:val="007A575F"/>
    <w:rsid w:val="007A57D3"/>
    <w:rsid w:val="007A5801"/>
    <w:rsid w:val="007A592E"/>
    <w:rsid w:val="007A59CE"/>
    <w:rsid w:val="007A5C68"/>
    <w:rsid w:val="007A5D04"/>
    <w:rsid w:val="007A5FA7"/>
    <w:rsid w:val="007A6001"/>
    <w:rsid w:val="007A60BC"/>
    <w:rsid w:val="007A60EC"/>
    <w:rsid w:val="007A6363"/>
    <w:rsid w:val="007A639B"/>
    <w:rsid w:val="007A6425"/>
    <w:rsid w:val="007A6474"/>
    <w:rsid w:val="007A663B"/>
    <w:rsid w:val="007A6672"/>
    <w:rsid w:val="007A66E0"/>
    <w:rsid w:val="007A66FE"/>
    <w:rsid w:val="007A6778"/>
    <w:rsid w:val="007A67F2"/>
    <w:rsid w:val="007A694F"/>
    <w:rsid w:val="007A6964"/>
    <w:rsid w:val="007A6AB3"/>
    <w:rsid w:val="007A6B43"/>
    <w:rsid w:val="007A6B66"/>
    <w:rsid w:val="007A6CE8"/>
    <w:rsid w:val="007A6DB2"/>
    <w:rsid w:val="007A6DF1"/>
    <w:rsid w:val="007A6FA7"/>
    <w:rsid w:val="007A6FAA"/>
    <w:rsid w:val="007A7016"/>
    <w:rsid w:val="007A70AD"/>
    <w:rsid w:val="007A7201"/>
    <w:rsid w:val="007A72DF"/>
    <w:rsid w:val="007A741A"/>
    <w:rsid w:val="007A747A"/>
    <w:rsid w:val="007A74D2"/>
    <w:rsid w:val="007A751C"/>
    <w:rsid w:val="007A7548"/>
    <w:rsid w:val="007A7649"/>
    <w:rsid w:val="007A775F"/>
    <w:rsid w:val="007A7974"/>
    <w:rsid w:val="007A7979"/>
    <w:rsid w:val="007A7991"/>
    <w:rsid w:val="007A7AFB"/>
    <w:rsid w:val="007A7BF7"/>
    <w:rsid w:val="007A7E99"/>
    <w:rsid w:val="007B0196"/>
    <w:rsid w:val="007B029A"/>
    <w:rsid w:val="007B03B4"/>
    <w:rsid w:val="007B03CC"/>
    <w:rsid w:val="007B0423"/>
    <w:rsid w:val="007B0476"/>
    <w:rsid w:val="007B051A"/>
    <w:rsid w:val="007B0590"/>
    <w:rsid w:val="007B0742"/>
    <w:rsid w:val="007B0792"/>
    <w:rsid w:val="007B0812"/>
    <w:rsid w:val="007B0966"/>
    <w:rsid w:val="007B09B2"/>
    <w:rsid w:val="007B09C4"/>
    <w:rsid w:val="007B0B57"/>
    <w:rsid w:val="007B0B8B"/>
    <w:rsid w:val="007B0C41"/>
    <w:rsid w:val="007B0C4D"/>
    <w:rsid w:val="007B0E23"/>
    <w:rsid w:val="007B0E74"/>
    <w:rsid w:val="007B0F8D"/>
    <w:rsid w:val="007B1027"/>
    <w:rsid w:val="007B103F"/>
    <w:rsid w:val="007B106A"/>
    <w:rsid w:val="007B1077"/>
    <w:rsid w:val="007B1184"/>
    <w:rsid w:val="007B11AB"/>
    <w:rsid w:val="007B14B6"/>
    <w:rsid w:val="007B14DB"/>
    <w:rsid w:val="007B15C7"/>
    <w:rsid w:val="007B15CD"/>
    <w:rsid w:val="007B17AE"/>
    <w:rsid w:val="007B17C3"/>
    <w:rsid w:val="007B17ED"/>
    <w:rsid w:val="007B18A8"/>
    <w:rsid w:val="007B1982"/>
    <w:rsid w:val="007B1986"/>
    <w:rsid w:val="007B19B1"/>
    <w:rsid w:val="007B19EC"/>
    <w:rsid w:val="007B1AE8"/>
    <w:rsid w:val="007B1B4E"/>
    <w:rsid w:val="007B1BA0"/>
    <w:rsid w:val="007B1C28"/>
    <w:rsid w:val="007B1C69"/>
    <w:rsid w:val="007B1EC9"/>
    <w:rsid w:val="007B1F02"/>
    <w:rsid w:val="007B1FEC"/>
    <w:rsid w:val="007B2110"/>
    <w:rsid w:val="007B21B6"/>
    <w:rsid w:val="007B2202"/>
    <w:rsid w:val="007B2305"/>
    <w:rsid w:val="007B24A7"/>
    <w:rsid w:val="007B2603"/>
    <w:rsid w:val="007B2763"/>
    <w:rsid w:val="007B28B3"/>
    <w:rsid w:val="007B291F"/>
    <w:rsid w:val="007B2968"/>
    <w:rsid w:val="007B2AC1"/>
    <w:rsid w:val="007B2C37"/>
    <w:rsid w:val="007B2C4C"/>
    <w:rsid w:val="007B2C76"/>
    <w:rsid w:val="007B2FC3"/>
    <w:rsid w:val="007B305F"/>
    <w:rsid w:val="007B3157"/>
    <w:rsid w:val="007B32EA"/>
    <w:rsid w:val="007B3456"/>
    <w:rsid w:val="007B3484"/>
    <w:rsid w:val="007B3552"/>
    <w:rsid w:val="007B364F"/>
    <w:rsid w:val="007B382A"/>
    <w:rsid w:val="007B3834"/>
    <w:rsid w:val="007B39DE"/>
    <w:rsid w:val="007B3BF8"/>
    <w:rsid w:val="007B3EB5"/>
    <w:rsid w:val="007B4027"/>
    <w:rsid w:val="007B42B1"/>
    <w:rsid w:val="007B43DD"/>
    <w:rsid w:val="007B4420"/>
    <w:rsid w:val="007B452F"/>
    <w:rsid w:val="007B45AC"/>
    <w:rsid w:val="007B4757"/>
    <w:rsid w:val="007B4961"/>
    <w:rsid w:val="007B4B0B"/>
    <w:rsid w:val="007B4B2D"/>
    <w:rsid w:val="007B4C5D"/>
    <w:rsid w:val="007B4D39"/>
    <w:rsid w:val="007B4EF5"/>
    <w:rsid w:val="007B4FC6"/>
    <w:rsid w:val="007B5172"/>
    <w:rsid w:val="007B52B0"/>
    <w:rsid w:val="007B52FB"/>
    <w:rsid w:val="007B530C"/>
    <w:rsid w:val="007B53D5"/>
    <w:rsid w:val="007B54B5"/>
    <w:rsid w:val="007B54E3"/>
    <w:rsid w:val="007B54FE"/>
    <w:rsid w:val="007B5570"/>
    <w:rsid w:val="007B56FE"/>
    <w:rsid w:val="007B589B"/>
    <w:rsid w:val="007B5ACB"/>
    <w:rsid w:val="007B5AD3"/>
    <w:rsid w:val="007B5B1F"/>
    <w:rsid w:val="007B5BA4"/>
    <w:rsid w:val="007B5C0D"/>
    <w:rsid w:val="007B5C1A"/>
    <w:rsid w:val="007B5C25"/>
    <w:rsid w:val="007B5C80"/>
    <w:rsid w:val="007B5D37"/>
    <w:rsid w:val="007B5E71"/>
    <w:rsid w:val="007B5F28"/>
    <w:rsid w:val="007B6025"/>
    <w:rsid w:val="007B607D"/>
    <w:rsid w:val="007B60BD"/>
    <w:rsid w:val="007B60EA"/>
    <w:rsid w:val="007B60ED"/>
    <w:rsid w:val="007B61D6"/>
    <w:rsid w:val="007B624D"/>
    <w:rsid w:val="007B6330"/>
    <w:rsid w:val="007B64AC"/>
    <w:rsid w:val="007B64C1"/>
    <w:rsid w:val="007B64C5"/>
    <w:rsid w:val="007B65B2"/>
    <w:rsid w:val="007B6695"/>
    <w:rsid w:val="007B67DC"/>
    <w:rsid w:val="007B6813"/>
    <w:rsid w:val="007B6928"/>
    <w:rsid w:val="007B698A"/>
    <w:rsid w:val="007B69F0"/>
    <w:rsid w:val="007B6A90"/>
    <w:rsid w:val="007B6B78"/>
    <w:rsid w:val="007B6BD7"/>
    <w:rsid w:val="007B6C08"/>
    <w:rsid w:val="007B6C2D"/>
    <w:rsid w:val="007B6CAA"/>
    <w:rsid w:val="007B6DDD"/>
    <w:rsid w:val="007B6E57"/>
    <w:rsid w:val="007B700C"/>
    <w:rsid w:val="007B7151"/>
    <w:rsid w:val="007B7235"/>
    <w:rsid w:val="007B7250"/>
    <w:rsid w:val="007B7307"/>
    <w:rsid w:val="007B732B"/>
    <w:rsid w:val="007B73CC"/>
    <w:rsid w:val="007B75B4"/>
    <w:rsid w:val="007B7622"/>
    <w:rsid w:val="007B7659"/>
    <w:rsid w:val="007B77B8"/>
    <w:rsid w:val="007B7879"/>
    <w:rsid w:val="007B796C"/>
    <w:rsid w:val="007B7A43"/>
    <w:rsid w:val="007B7B30"/>
    <w:rsid w:val="007B7B56"/>
    <w:rsid w:val="007B7B6A"/>
    <w:rsid w:val="007B7E07"/>
    <w:rsid w:val="007B7E67"/>
    <w:rsid w:val="007B7F98"/>
    <w:rsid w:val="007B7FC5"/>
    <w:rsid w:val="007C0108"/>
    <w:rsid w:val="007C0148"/>
    <w:rsid w:val="007C0247"/>
    <w:rsid w:val="007C0332"/>
    <w:rsid w:val="007C0356"/>
    <w:rsid w:val="007C0539"/>
    <w:rsid w:val="007C05F6"/>
    <w:rsid w:val="007C07B9"/>
    <w:rsid w:val="007C07BA"/>
    <w:rsid w:val="007C085D"/>
    <w:rsid w:val="007C0A23"/>
    <w:rsid w:val="007C0CC3"/>
    <w:rsid w:val="007C0F0F"/>
    <w:rsid w:val="007C1079"/>
    <w:rsid w:val="007C111F"/>
    <w:rsid w:val="007C1124"/>
    <w:rsid w:val="007C12AD"/>
    <w:rsid w:val="007C1406"/>
    <w:rsid w:val="007C1474"/>
    <w:rsid w:val="007C149E"/>
    <w:rsid w:val="007C14CD"/>
    <w:rsid w:val="007C15B4"/>
    <w:rsid w:val="007C16E1"/>
    <w:rsid w:val="007C18B0"/>
    <w:rsid w:val="007C1B6D"/>
    <w:rsid w:val="007C1C07"/>
    <w:rsid w:val="007C1C91"/>
    <w:rsid w:val="007C1E08"/>
    <w:rsid w:val="007C1EAC"/>
    <w:rsid w:val="007C1F8D"/>
    <w:rsid w:val="007C1FA4"/>
    <w:rsid w:val="007C2035"/>
    <w:rsid w:val="007C214F"/>
    <w:rsid w:val="007C2412"/>
    <w:rsid w:val="007C24C2"/>
    <w:rsid w:val="007C24CB"/>
    <w:rsid w:val="007C24E4"/>
    <w:rsid w:val="007C24F1"/>
    <w:rsid w:val="007C257A"/>
    <w:rsid w:val="007C2595"/>
    <w:rsid w:val="007C26AC"/>
    <w:rsid w:val="007C2743"/>
    <w:rsid w:val="007C27E6"/>
    <w:rsid w:val="007C2A91"/>
    <w:rsid w:val="007C2AFB"/>
    <w:rsid w:val="007C2C40"/>
    <w:rsid w:val="007C2C9F"/>
    <w:rsid w:val="007C3013"/>
    <w:rsid w:val="007C30C0"/>
    <w:rsid w:val="007C30F1"/>
    <w:rsid w:val="007C30FE"/>
    <w:rsid w:val="007C3147"/>
    <w:rsid w:val="007C31F3"/>
    <w:rsid w:val="007C33A9"/>
    <w:rsid w:val="007C3551"/>
    <w:rsid w:val="007C3648"/>
    <w:rsid w:val="007C3744"/>
    <w:rsid w:val="007C374E"/>
    <w:rsid w:val="007C384B"/>
    <w:rsid w:val="007C3934"/>
    <w:rsid w:val="007C3961"/>
    <w:rsid w:val="007C39CF"/>
    <w:rsid w:val="007C3AD1"/>
    <w:rsid w:val="007C3C23"/>
    <w:rsid w:val="007C3D8D"/>
    <w:rsid w:val="007C3ECE"/>
    <w:rsid w:val="007C3F59"/>
    <w:rsid w:val="007C3FC8"/>
    <w:rsid w:val="007C4022"/>
    <w:rsid w:val="007C410F"/>
    <w:rsid w:val="007C4215"/>
    <w:rsid w:val="007C428B"/>
    <w:rsid w:val="007C4351"/>
    <w:rsid w:val="007C4446"/>
    <w:rsid w:val="007C448D"/>
    <w:rsid w:val="007C4509"/>
    <w:rsid w:val="007C4597"/>
    <w:rsid w:val="007C459A"/>
    <w:rsid w:val="007C4683"/>
    <w:rsid w:val="007C46FF"/>
    <w:rsid w:val="007C48C1"/>
    <w:rsid w:val="007C493D"/>
    <w:rsid w:val="007C4A0D"/>
    <w:rsid w:val="007C4ACD"/>
    <w:rsid w:val="007C4AF5"/>
    <w:rsid w:val="007C4BC5"/>
    <w:rsid w:val="007C4CCD"/>
    <w:rsid w:val="007C4D4C"/>
    <w:rsid w:val="007C4DE5"/>
    <w:rsid w:val="007C5019"/>
    <w:rsid w:val="007C5086"/>
    <w:rsid w:val="007C5120"/>
    <w:rsid w:val="007C5135"/>
    <w:rsid w:val="007C51F3"/>
    <w:rsid w:val="007C5316"/>
    <w:rsid w:val="007C5412"/>
    <w:rsid w:val="007C5440"/>
    <w:rsid w:val="007C546B"/>
    <w:rsid w:val="007C54B9"/>
    <w:rsid w:val="007C5518"/>
    <w:rsid w:val="007C5523"/>
    <w:rsid w:val="007C567C"/>
    <w:rsid w:val="007C5694"/>
    <w:rsid w:val="007C574B"/>
    <w:rsid w:val="007C5753"/>
    <w:rsid w:val="007C57BF"/>
    <w:rsid w:val="007C5855"/>
    <w:rsid w:val="007C5B1C"/>
    <w:rsid w:val="007C5D7B"/>
    <w:rsid w:val="007C5D91"/>
    <w:rsid w:val="007C5DB1"/>
    <w:rsid w:val="007C5DD6"/>
    <w:rsid w:val="007C5DE3"/>
    <w:rsid w:val="007C5E28"/>
    <w:rsid w:val="007C5E2A"/>
    <w:rsid w:val="007C6067"/>
    <w:rsid w:val="007C6178"/>
    <w:rsid w:val="007C61DA"/>
    <w:rsid w:val="007C634B"/>
    <w:rsid w:val="007C63A2"/>
    <w:rsid w:val="007C63F1"/>
    <w:rsid w:val="007C6525"/>
    <w:rsid w:val="007C6530"/>
    <w:rsid w:val="007C6566"/>
    <w:rsid w:val="007C656E"/>
    <w:rsid w:val="007C65A3"/>
    <w:rsid w:val="007C66CD"/>
    <w:rsid w:val="007C6725"/>
    <w:rsid w:val="007C67B5"/>
    <w:rsid w:val="007C67B7"/>
    <w:rsid w:val="007C69AF"/>
    <w:rsid w:val="007C69D8"/>
    <w:rsid w:val="007C69F3"/>
    <w:rsid w:val="007C6BD1"/>
    <w:rsid w:val="007C6BFF"/>
    <w:rsid w:val="007C6D5A"/>
    <w:rsid w:val="007C6E0B"/>
    <w:rsid w:val="007C6EDA"/>
    <w:rsid w:val="007C6F5E"/>
    <w:rsid w:val="007C6FE6"/>
    <w:rsid w:val="007C7014"/>
    <w:rsid w:val="007C713A"/>
    <w:rsid w:val="007C71CF"/>
    <w:rsid w:val="007C7266"/>
    <w:rsid w:val="007C7383"/>
    <w:rsid w:val="007C73A1"/>
    <w:rsid w:val="007C7410"/>
    <w:rsid w:val="007C7477"/>
    <w:rsid w:val="007C7602"/>
    <w:rsid w:val="007C7727"/>
    <w:rsid w:val="007C7784"/>
    <w:rsid w:val="007C7834"/>
    <w:rsid w:val="007C788E"/>
    <w:rsid w:val="007C7921"/>
    <w:rsid w:val="007C799E"/>
    <w:rsid w:val="007C79A1"/>
    <w:rsid w:val="007C79BE"/>
    <w:rsid w:val="007C7F58"/>
    <w:rsid w:val="007C7F5C"/>
    <w:rsid w:val="007C7F76"/>
    <w:rsid w:val="007C7FA6"/>
    <w:rsid w:val="007D02D0"/>
    <w:rsid w:val="007D030A"/>
    <w:rsid w:val="007D0516"/>
    <w:rsid w:val="007D0537"/>
    <w:rsid w:val="007D06C8"/>
    <w:rsid w:val="007D074D"/>
    <w:rsid w:val="007D07B7"/>
    <w:rsid w:val="007D08C6"/>
    <w:rsid w:val="007D0993"/>
    <w:rsid w:val="007D0A32"/>
    <w:rsid w:val="007D0A36"/>
    <w:rsid w:val="007D0B13"/>
    <w:rsid w:val="007D0C84"/>
    <w:rsid w:val="007D0CFE"/>
    <w:rsid w:val="007D105F"/>
    <w:rsid w:val="007D1078"/>
    <w:rsid w:val="007D11DE"/>
    <w:rsid w:val="007D12DD"/>
    <w:rsid w:val="007D12DF"/>
    <w:rsid w:val="007D153F"/>
    <w:rsid w:val="007D1681"/>
    <w:rsid w:val="007D16AE"/>
    <w:rsid w:val="007D16CC"/>
    <w:rsid w:val="007D173C"/>
    <w:rsid w:val="007D1774"/>
    <w:rsid w:val="007D1783"/>
    <w:rsid w:val="007D195B"/>
    <w:rsid w:val="007D1ACB"/>
    <w:rsid w:val="007D1CF2"/>
    <w:rsid w:val="007D1DC2"/>
    <w:rsid w:val="007D220B"/>
    <w:rsid w:val="007D22FC"/>
    <w:rsid w:val="007D2302"/>
    <w:rsid w:val="007D2312"/>
    <w:rsid w:val="007D23DE"/>
    <w:rsid w:val="007D24F9"/>
    <w:rsid w:val="007D2528"/>
    <w:rsid w:val="007D2535"/>
    <w:rsid w:val="007D2673"/>
    <w:rsid w:val="007D2733"/>
    <w:rsid w:val="007D28E4"/>
    <w:rsid w:val="007D28E7"/>
    <w:rsid w:val="007D29E3"/>
    <w:rsid w:val="007D2A5D"/>
    <w:rsid w:val="007D2D0F"/>
    <w:rsid w:val="007D2DAF"/>
    <w:rsid w:val="007D2DBB"/>
    <w:rsid w:val="007D2E79"/>
    <w:rsid w:val="007D2EE8"/>
    <w:rsid w:val="007D2F25"/>
    <w:rsid w:val="007D2F89"/>
    <w:rsid w:val="007D302E"/>
    <w:rsid w:val="007D3301"/>
    <w:rsid w:val="007D3326"/>
    <w:rsid w:val="007D3442"/>
    <w:rsid w:val="007D348C"/>
    <w:rsid w:val="007D364C"/>
    <w:rsid w:val="007D366D"/>
    <w:rsid w:val="007D37A3"/>
    <w:rsid w:val="007D385D"/>
    <w:rsid w:val="007D3910"/>
    <w:rsid w:val="007D39A5"/>
    <w:rsid w:val="007D3A36"/>
    <w:rsid w:val="007D3A57"/>
    <w:rsid w:val="007D3C06"/>
    <w:rsid w:val="007D3FC8"/>
    <w:rsid w:val="007D40C1"/>
    <w:rsid w:val="007D415D"/>
    <w:rsid w:val="007D429E"/>
    <w:rsid w:val="007D42AC"/>
    <w:rsid w:val="007D435C"/>
    <w:rsid w:val="007D4506"/>
    <w:rsid w:val="007D46E6"/>
    <w:rsid w:val="007D47E4"/>
    <w:rsid w:val="007D4A83"/>
    <w:rsid w:val="007D4ABC"/>
    <w:rsid w:val="007D4ABD"/>
    <w:rsid w:val="007D4B63"/>
    <w:rsid w:val="007D4BF1"/>
    <w:rsid w:val="007D4C31"/>
    <w:rsid w:val="007D4DDD"/>
    <w:rsid w:val="007D4E20"/>
    <w:rsid w:val="007D4E70"/>
    <w:rsid w:val="007D5018"/>
    <w:rsid w:val="007D512A"/>
    <w:rsid w:val="007D5144"/>
    <w:rsid w:val="007D51FA"/>
    <w:rsid w:val="007D5331"/>
    <w:rsid w:val="007D535E"/>
    <w:rsid w:val="007D540F"/>
    <w:rsid w:val="007D559C"/>
    <w:rsid w:val="007D55CD"/>
    <w:rsid w:val="007D55D6"/>
    <w:rsid w:val="007D55F9"/>
    <w:rsid w:val="007D5668"/>
    <w:rsid w:val="007D57CB"/>
    <w:rsid w:val="007D5869"/>
    <w:rsid w:val="007D5A31"/>
    <w:rsid w:val="007D5B24"/>
    <w:rsid w:val="007D5BAF"/>
    <w:rsid w:val="007D5D2D"/>
    <w:rsid w:val="007D5DAA"/>
    <w:rsid w:val="007D5E7E"/>
    <w:rsid w:val="007D5F01"/>
    <w:rsid w:val="007D6013"/>
    <w:rsid w:val="007D6021"/>
    <w:rsid w:val="007D60FA"/>
    <w:rsid w:val="007D62BB"/>
    <w:rsid w:val="007D62FC"/>
    <w:rsid w:val="007D635D"/>
    <w:rsid w:val="007D63EB"/>
    <w:rsid w:val="007D6411"/>
    <w:rsid w:val="007D648A"/>
    <w:rsid w:val="007D6590"/>
    <w:rsid w:val="007D662A"/>
    <w:rsid w:val="007D663F"/>
    <w:rsid w:val="007D6704"/>
    <w:rsid w:val="007D672E"/>
    <w:rsid w:val="007D6814"/>
    <w:rsid w:val="007D6922"/>
    <w:rsid w:val="007D6A04"/>
    <w:rsid w:val="007D6AB5"/>
    <w:rsid w:val="007D6AF8"/>
    <w:rsid w:val="007D6B43"/>
    <w:rsid w:val="007D6B9B"/>
    <w:rsid w:val="007D6BC9"/>
    <w:rsid w:val="007D6C03"/>
    <w:rsid w:val="007D6C9B"/>
    <w:rsid w:val="007D6D88"/>
    <w:rsid w:val="007D6E92"/>
    <w:rsid w:val="007D6ED4"/>
    <w:rsid w:val="007D6EE8"/>
    <w:rsid w:val="007D6F0E"/>
    <w:rsid w:val="007D6FFC"/>
    <w:rsid w:val="007D7097"/>
    <w:rsid w:val="007D724E"/>
    <w:rsid w:val="007D777A"/>
    <w:rsid w:val="007D7786"/>
    <w:rsid w:val="007D77DA"/>
    <w:rsid w:val="007D78C3"/>
    <w:rsid w:val="007D7A4B"/>
    <w:rsid w:val="007D7B66"/>
    <w:rsid w:val="007D7C7B"/>
    <w:rsid w:val="007D7CA9"/>
    <w:rsid w:val="007D7D9E"/>
    <w:rsid w:val="007D7E3B"/>
    <w:rsid w:val="007D7FBF"/>
    <w:rsid w:val="007E00AE"/>
    <w:rsid w:val="007E0117"/>
    <w:rsid w:val="007E0226"/>
    <w:rsid w:val="007E04CC"/>
    <w:rsid w:val="007E0515"/>
    <w:rsid w:val="007E05B7"/>
    <w:rsid w:val="007E064B"/>
    <w:rsid w:val="007E065A"/>
    <w:rsid w:val="007E0691"/>
    <w:rsid w:val="007E0765"/>
    <w:rsid w:val="007E0789"/>
    <w:rsid w:val="007E09D5"/>
    <w:rsid w:val="007E0A61"/>
    <w:rsid w:val="007E0A73"/>
    <w:rsid w:val="007E0AF3"/>
    <w:rsid w:val="007E0B75"/>
    <w:rsid w:val="007E0C5A"/>
    <w:rsid w:val="007E0DEE"/>
    <w:rsid w:val="007E0DF9"/>
    <w:rsid w:val="007E0E21"/>
    <w:rsid w:val="007E0E8A"/>
    <w:rsid w:val="007E1005"/>
    <w:rsid w:val="007E1019"/>
    <w:rsid w:val="007E131C"/>
    <w:rsid w:val="007E1329"/>
    <w:rsid w:val="007E1356"/>
    <w:rsid w:val="007E136F"/>
    <w:rsid w:val="007E13AF"/>
    <w:rsid w:val="007E13DB"/>
    <w:rsid w:val="007E147C"/>
    <w:rsid w:val="007E15EE"/>
    <w:rsid w:val="007E1698"/>
    <w:rsid w:val="007E16E2"/>
    <w:rsid w:val="007E182D"/>
    <w:rsid w:val="007E187D"/>
    <w:rsid w:val="007E1A52"/>
    <w:rsid w:val="007E1A54"/>
    <w:rsid w:val="007E1DFC"/>
    <w:rsid w:val="007E202A"/>
    <w:rsid w:val="007E204C"/>
    <w:rsid w:val="007E2196"/>
    <w:rsid w:val="007E21D8"/>
    <w:rsid w:val="007E2259"/>
    <w:rsid w:val="007E234A"/>
    <w:rsid w:val="007E2541"/>
    <w:rsid w:val="007E265E"/>
    <w:rsid w:val="007E26B4"/>
    <w:rsid w:val="007E26D2"/>
    <w:rsid w:val="007E26F6"/>
    <w:rsid w:val="007E2762"/>
    <w:rsid w:val="007E2B0E"/>
    <w:rsid w:val="007E2B77"/>
    <w:rsid w:val="007E2FE8"/>
    <w:rsid w:val="007E3209"/>
    <w:rsid w:val="007E32D2"/>
    <w:rsid w:val="007E32E1"/>
    <w:rsid w:val="007E343D"/>
    <w:rsid w:val="007E3451"/>
    <w:rsid w:val="007E34C0"/>
    <w:rsid w:val="007E34E2"/>
    <w:rsid w:val="007E359F"/>
    <w:rsid w:val="007E35A2"/>
    <w:rsid w:val="007E3624"/>
    <w:rsid w:val="007E3638"/>
    <w:rsid w:val="007E369F"/>
    <w:rsid w:val="007E3818"/>
    <w:rsid w:val="007E38E0"/>
    <w:rsid w:val="007E391F"/>
    <w:rsid w:val="007E3963"/>
    <w:rsid w:val="007E3CEF"/>
    <w:rsid w:val="007E3DC0"/>
    <w:rsid w:val="007E3F99"/>
    <w:rsid w:val="007E3FC3"/>
    <w:rsid w:val="007E4000"/>
    <w:rsid w:val="007E403C"/>
    <w:rsid w:val="007E41BE"/>
    <w:rsid w:val="007E420F"/>
    <w:rsid w:val="007E4347"/>
    <w:rsid w:val="007E44BE"/>
    <w:rsid w:val="007E44DB"/>
    <w:rsid w:val="007E453D"/>
    <w:rsid w:val="007E46FB"/>
    <w:rsid w:val="007E48B6"/>
    <w:rsid w:val="007E4A56"/>
    <w:rsid w:val="007E4E58"/>
    <w:rsid w:val="007E500D"/>
    <w:rsid w:val="007E50D4"/>
    <w:rsid w:val="007E523B"/>
    <w:rsid w:val="007E5363"/>
    <w:rsid w:val="007E53CE"/>
    <w:rsid w:val="007E54D3"/>
    <w:rsid w:val="007E5585"/>
    <w:rsid w:val="007E55EF"/>
    <w:rsid w:val="007E575E"/>
    <w:rsid w:val="007E57BF"/>
    <w:rsid w:val="007E588A"/>
    <w:rsid w:val="007E58BA"/>
    <w:rsid w:val="007E58D2"/>
    <w:rsid w:val="007E58FA"/>
    <w:rsid w:val="007E59A2"/>
    <w:rsid w:val="007E5A5C"/>
    <w:rsid w:val="007E5AC1"/>
    <w:rsid w:val="007E5B93"/>
    <w:rsid w:val="007E5C2F"/>
    <w:rsid w:val="007E5C41"/>
    <w:rsid w:val="007E5CE0"/>
    <w:rsid w:val="007E5ED4"/>
    <w:rsid w:val="007E5FA3"/>
    <w:rsid w:val="007E5FF1"/>
    <w:rsid w:val="007E608F"/>
    <w:rsid w:val="007E616A"/>
    <w:rsid w:val="007E6413"/>
    <w:rsid w:val="007E6561"/>
    <w:rsid w:val="007E6604"/>
    <w:rsid w:val="007E67C5"/>
    <w:rsid w:val="007E6890"/>
    <w:rsid w:val="007E696E"/>
    <w:rsid w:val="007E6B7F"/>
    <w:rsid w:val="007E6BCA"/>
    <w:rsid w:val="007E6F4F"/>
    <w:rsid w:val="007E709D"/>
    <w:rsid w:val="007E70A3"/>
    <w:rsid w:val="007E726A"/>
    <w:rsid w:val="007E73FB"/>
    <w:rsid w:val="007E76A7"/>
    <w:rsid w:val="007E76D7"/>
    <w:rsid w:val="007E771F"/>
    <w:rsid w:val="007E77B9"/>
    <w:rsid w:val="007E77CD"/>
    <w:rsid w:val="007E79AB"/>
    <w:rsid w:val="007E79CC"/>
    <w:rsid w:val="007E79FD"/>
    <w:rsid w:val="007E7C81"/>
    <w:rsid w:val="007E7CF2"/>
    <w:rsid w:val="007E7DC5"/>
    <w:rsid w:val="007E7E92"/>
    <w:rsid w:val="007E7F35"/>
    <w:rsid w:val="007E7FEE"/>
    <w:rsid w:val="007F012B"/>
    <w:rsid w:val="007F0281"/>
    <w:rsid w:val="007F02CC"/>
    <w:rsid w:val="007F03F6"/>
    <w:rsid w:val="007F052B"/>
    <w:rsid w:val="007F056C"/>
    <w:rsid w:val="007F0914"/>
    <w:rsid w:val="007F0953"/>
    <w:rsid w:val="007F099C"/>
    <w:rsid w:val="007F0AFB"/>
    <w:rsid w:val="007F0C4C"/>
    <w:rsid w:val="007F0C7D"/>
    <w:rsid w:val="007F0CC3"/>
    <w:rsid w:val="007F0D2A"/>
    <w:rsid w:val="007F0D56"/>
    <w:rsid w:val="007F0E3F"/>
    <w:rsid w:val="007F1043"/>
    <w:rsid w:val="007F1317"/>
    <w:rsid w:val="007F132D"/>
    <w:rsid w:val="007F1475"/>
    <w:rsid w:val="007F148E"/>
    <w:rsid w:val="007F1496"/>
    <w:rsid w:val="007F15BF"/>
    <w:rsid w:val="007F171E"/>
    <w:rsid w:val="007F17D6"/>
    <w:rsid w:val="007F189D"/>
    <w:rsid w:val="007F18DF"/>
    <w:rsid w:val="007F1CF5"/>
    <w:rsid w:val="007F1D54"/>
    <w:rsid w:val="007F1EAB"/>
    <w:rsid w:val="007F1F5A"/>
    <w:rsid w:val="007F209D"/>
    <w:rsid w:val="007F227E"/>
    <w:rsid w:val="007F2292"/>
    <w:rsid w:val="007F22C8"/>
    <w:rsid w:val="007F230D"/>
    <w:rsid w:val="007F231F"/>
    <w:rsid w:val="007F24B7"/>
    <w:rsid w:val="007F260A"/>
    <w:rsid w:val="007F275A"/>
    <w:rsid w:val="007F27DB"/>
    <w:rsid w:val="007F2876"/>
    <w:rsid w:val="007F2882"/>
    <w:rsid w:val="007F295A"/>
    <w:rsid w:val="007F2A71"/>
    <w:rsid w:val="007F2A72"/>
    <w:rsid w:val="007F2A77"/>
    <w:rsid w:val="007F2D5D"/>
    <w:rsid w:val="007F2DC1"/>
    <w:rsid w:val="007F3012"/>
    <w:rsid w:val="007F303E"/>
    <w:rsid w:val="007F3176"/>
    <w:rsid w:val="007F3178"/>
    <w:rsid w:val="007F31FC"/>
    <w:rsid w:val="007F3281"/>
    <w:rsid w:val="007F32DB"/>
    <w:rsid w:val="007F3384"/>
    <w:rsid w:val="007F34A4"/>
    <w:rsid w:val="007F3524"/>
    <w:rsid w:val="007F3700"/>
    <w:rsid w:val="007F37A0"/>
    <w:rsid w:val="007F3944"/>
    <w:rsid w:val="007F3AD7"/>
    <w:rsid w:val="007F3BDD"/>
    <w:rsid w:val="007F3C5A"/>
    <w:rsid w:val="007F3C5E"/>
    <w:rsid w:val="007F3D72"/>
    <w:rsid w:val="007F3DB1"/>
    <w:rsid w:val="007F3DDD"/>
    <w:rsid w:val="007F407F"/>
    <w:rsid w:val="007F4161"/>
    <w:rsid w:val="007F430E"/>
    <w:rsid w:val="007F4672"/>
    <w:rsid w:val="007F474E"/>
    <w:rsid w:val="007F495D"/>
    <w:rsid w:val="007F49AD"/>
    <w:rsid w:val="007F49D7"/>
    <w:rsid w:val="007F49F5"/>
    <w:rsid w:val="007F4A3B"/>
    <w:rsid w:val="007F4A72"/>
    <w:rsid w:val="007F4AE9"/>
    <w:rsid w:val="007F4B05"/>
    <w:rsid w:val="007F4B08"/>
    <w:rsid w:val="007F4B41"/>
    <w:rsid w:val="007F4C00"/>
    <w:rsid w:val="007F4C27"/>
    <w:rsid w:val="007F4C8D"/>
    <w:rsid w:val="007F4D91"/>
    <w:rsid w:val="007F4DBB"/>
    <w:rsid w:val="007F4E86"/>
    <w:rsid w:val="007F4F7B"/>
    <w:rsid w:val="007F5053"/>
    <w:rsid w:val="007F5114"/>
    <w:rsid w:val="007F5116"/>
    <w:rsid w:val="007F5236"/>
    <w:rsid w:val="007F529A"/>
    <w:rsid w:val="007F5333"/>
    <w:rsid w:val="007F53FC"/>
    <w:rsid w:val="007F540D"/>
    <w:rsid w:val="007F545C"/>
    <w:rsid w:val="007F5591"/>
    <w:rsid w:val="007F55E6"/>
    <w:rsid w:val="007F561B"/>
    <w:rsid w:val="007F571F"/>
    <w:rsid w:val="007F58DB"/>
    <w:rsid w:val="007F59AA"/>
    <w:rsid w:val="007F5A07"/>
    <w:rsid w:val="007F5B22"/>
    <w:rsid w:val="007F5B80"/>
    <w:rsid w:val="007F5EB6"/>
    <w:rsid w:val="007F5F2B"/>
    <w:rsid w:val="007F6062"/>
    <w:rsid w:val="007F6069"/>
    <w:rsid w:val="007F630B"/>
    <w:rsid w:val="007F6464"/>
    <w:rsid w:val="007F666C"/>
    <w:rsid w:val="007F66C8"/>
    <w:rsid w:val="007F66CB"/>
    <w:rsid w:val="007F6810"/>
    <w:rsid w:val="007F696B"/>
    <w:rsid w:val="007F69BD"/>
    <w:rsid w:val="007F69E9"/>
    <w:rsid w:val="007F6B12"/>
    <w:rsid w:val="007F6CBE"/>
    <w:rsid w:val="007F6CD1"/>
    <w:rsid w:val="007F6CE4"/>
    <w:rsid w:val="007F6D16"/>
    <w:rsid w:val="007F6D57"/>
    <w:rsid w:val="007F6DA8"/>
    <w:rsid w:val="007F6FBC"/>
    <w:rsid w:val="007F7114"/>
    <w:rsid w:val="007F713C"/>
    <w:rsid w:val="007F72D7"/>
    <w:rsid w:val="007F72EC"/>
    <w:rsid w:val="007F734A"/>
    <w:rsid w:val="007F73B2"/>
    <w:rsid w:val="007F7490"/>
    <w:rsid w:val="007F74C9"/>
    <w:rsid w:val="007F755E"/>
    <w:rsid w:val="007F7582"/>
    <w:rsid w:val="007F75B6"/>
    <w:rsid w:val="007F7660"/>
    <w:rsid w:val="007F7703"/>
    <w:rsid w:val="007F77A7"/>
    <w:rsid w:val="007F787C"/>
    <w:rsid w:val="007F78D5"/>
    <w:rsid w:val="007F78D8"/>
    <w:rsid w:val="007F78F0"/>
    <w:rsid w:val="007F79FF"/>
    <w:rsid w:val="007F7A89"/>
    <w:rsid w:val="007F7AB8"/>
    <w:rsid w:val="007F7AD1"/>
    <w:rsid w:val="007F7BB5"/>
    <w:rsid w:val="007F7D0D"/>
    <w:rsid w:val="007F7DE8"/>
    <w:rsid w:val="0080007A"/>
    <w:rsid w:val="008001F5"/>
    <w:rsid w:val="0080027A"/>
    <w:rsid w:val="00800296"/>
    <w:rsid w:val="008002E8"/>
    <w:rsid w:val="00800479"/>
    <w:rsid w:val="008005CD"/>
    <w:rsid w:val="008005F4"/>
    <w:rsid w:val="0080063C"/>
    <w:rsid w:val="008006DF"/>
    <w:rsid w:val="00800712"/>
    <w:rsid w:val="00800730"/>
    <w:rsid w:val="00800758"/>
    <w:rsid w:val="00800762"/>
    <w:rsid w:val="00800850"/>
    <w:rsid w:val="00800859"/>
    <w:rsid w:val="00800ECD"/>
    <w:rsid w:val="00800F68"/>
    <w:rsid w:val="0080105B"/>
    <w:rsid w:val="00801129"/>
    <w:rsid w:val="008011EA"/>
    <w:rsid w:val="0080130D"/>
    <w:rsid w:val="0080141B"/>
    <w:rsid w:val="00801582"/>
    <w:rsid w:val="00801614"/>
    <w:rsid w:val="0080166D"/>
    <w:rsid w:val="008016AB"/>
    <w:rsid w:val="008016F6"/>
    <w:rsid w:val="0080170F"/>
    <w:rsid w:val="0080188A"/>
    <w:rsid w:val="00801946"/>
    <w:rsid w:val="008019FC"/>
    <w:rsid w:val="00801A9D"/>
    <w:rsid w:val="00801AD6"/>
    <w:rsid w:val="00801B8A"/>
    <w:rsid w:val="00801B8C"/>
    <w:rsid w:val="00801DE0"/>
    <w:rsid w:val="00801F27"/>
    <w:rsid w:val="0080224C"/>
    <w:rsid w:val="00802332"/>
    <w:rsid w:val="0080233F"/>
    <w:rsid w:val="00802401"/>
    <w:rsid w:val="00802433"/>
    <w:rsid w:val="00802462"/>
    <w:rsid w:val="008024BF"/>
    <w:rsid w:val="00802605"/>
    <w:rsid w:val="008027D4"/>
    <w:rsid w:val="00802863"/>
    <w:rsid w:val="008029BA"/>
    <w:rsid w:val="00802BAE"/>
    <w:rsid w:val="00802C01"/>
    <w:rsid w:val="00802D51"/>
    <w:rsid w:val="00802D63"/>
    <w:rsid w:val="00802D73"/>
    <w:rsid w:val="00802DCD"/>
    <w:rsid w:val="00802F04"/>
    <w:rsid w:val="00802FEC"/>
    <w:rsid w:val="00803072"/>
    <w:rsid w:val="008030E8"/>
    <w:rsid w:val="008030F3"/>
    <w:rsid w:val="0080314F"/>
    <w:rsid w:val="0080340A"/>
    <w:rsid w:val="00803473"/>
    <w:rsid w:val="0080351E"/>
    <w:rsid w:val="00803551"/>
    <w:rsid w:val="0080356C"/>
    <w:rsid w:val="00803725"/>
    <w:rsid w:val="0080378C"/>
    <w:rsid w:val="00803AD8"/>
    <w:rsid w:val="00803B34"/>
    <w:rsid w:val="00803B54"/>
    <w:rsid w:val="00803E4B"/>
    <w:rsid w:val="00803FAE"/>
    <w:rsid w:val="00804129"/>
    <w:rsid w:val="008041A4"/>
    <w:rsid w:val="0080422B"/>
    <w:rsid w:val="00804245"/>
    <w:rsid w:val="008042A9"/>
    <w:rsid w:val="008045F0"/>
    <w:rsid w:val="00804658"/>
    <w:rsid w:val="00804749"/>
    <w:rsid w:val="00804799"/>
    <w:rsid w:val="00804821"/>
    <w:rsid w:val="0080497D"/>
    <w:rsid w:val="008049D9"/>
    <w:rsid w:val="00804A7D"/>
    <w:rsid w:val="00804AFB"/>
    <w:rsid w:val="00804E16"/>
    <w:rsid w:val="00804F91"/>
    <w:rsid w:val="00805143"/>
    <w:rsid w:val="008051B1"/>
    <w:rsid w:val="00805337"/>
    <w:rsid w:val="008054F5"/>
    <w:rsid w:val="008057BC"/>
    <w:rsid w:val="0080587D"/>
    <w:rsid w:val="00805A22"/>
    <w:rsid w:val="00805C3C"/>
    <w:rsid w:val="00805D04"/>
    <w:rsid w:val="00805D2E"/>
    <w:rsid w:val="00805D4F"/>
    <w:rsid w:val="00805FE5"/>
    <w:rsid w:val="008060EF"/>
    <w:rsid w:val="00806198"/>
    <w:rsid w:val="008061B6"/>
    <w:rsid w:val="008061C9"/>
    <w:rsid w:val="00806216"/>
    <w:rsid w:val="00806236"/>
    <w:rsid w:val="00806397"/>
    <w:rsid w:val="00806464"/>
    <w:rsid w:val="008064E3"/>
    <w:rsid w:val="00806513"/>
    <w:rsid w:val="0080673F"/>
    <w:rsid w:val="00806814"/>
    <w:rsid w:val="00806835"/>
    <w:rsid w:val="0080688C"/>
    <w:rsid w:val="008068CF"/>
    <w:rsid w:val="008069EC"/>
    <w:rsid w:val="00806A69"/>
    <w:rsid w:val="00806C26"/>
    <w:rsid w:val="00806C95"/>
    <w:rsid w:val="00806CED"/>
    <w:rsid w:val="00806DF0"/>
    <w:rsid w:val="00806DFB"/>
    <w:rsid w:val="00806F23"/>
    <w:rsid w:val="00806F83"/>
    <w:rsid w:val="00806FE6"/>
    <w:rsid w:val="008070D7"/>
    <w:rsid w:val="00807350"/>
    <w:rsid w:val="0080754E"/>
    <w:rsid w:val="0080760E"/>
    <w:rsid w:val="00807611"/>
    <w:rsid w:val="008076D0"/>
    <w:rsid w:val="00807977"/>
    <w:rsid w:val="00807BB4"/>
    <w:rsid w:val="00807DCE"/>
    <w:rsid w:val="00807EE5"/>
    <w:rsid w:val="00807FBB"/>
    <w:rsid w:val="008100A4"/>
    <w:rsid w:val="008100D1"/>
    <w:rsid w:val="0081021E"/>
    <w:rsid w:val="0081030B"/>
    <w:rsid w:val="0081031A"/>
    <w:rsid w:val="008103D1"/>
    <w:rsid w:val="008104AE"/>
    <w:rsid w:val="0081054C"/>
    <w:rsid w:val="00810743"/>
    <w:rsid w:val="00810914"/>
    <w:rsid w:val="00810A7B"/>
    <w:rsid w:val="00810ADB"/>
    <w:rsid w:val="00810AE8"/>
    <w:rsid w:val="00810B48"/>
    <w:rsid w:val="00810DDC"/>
    <w:rsid w:val="00810EFD"/>
    <w:rsid w:val="008110A2"/>
    <w:rsid w:val="00811335"/>
    <w:rsid w:val="008113D2"/>
    <w:rsid w:val="008113FD"/>
    <w:rsid w:val="0081146E"/>
    <w:rsid w:val="0081158F"/>
    <w:rsid w:val="008117AB"/>
    <w:rsid w:val="0081193F"/>
    <w:rsid w:val="008119EC"/>
    <w:rsid w:val="00811A64"/>
    <w:rsid w:val="00811A68"/>
    <w:rsid w:val="00811ABF"/>
    <w:rsid w:val="00811B01"/>
    <w:rsid w:val="00811B30"/>
    <w:rsid w:val="00811CB9"/>
    <w:rsid w:val="00811D2F"/>
    <w:rsid w:val="00811D97"/>
    <w:rsid w:val="00811DED"/>
    <w:rsid w:val="00811EA7"/>
    <w:rsid w:val="00811F79"/>
    <w:rsid w:val="00812014"/>
    <w:rsid w:val="00812020"/>
    <w:rsid w:val="0081209B"/>
    <w:rsid w:val="0081212B"/>
    <w:rsid w:val="008122D0"/>
    <w:rsid w:val="00812387"/>
    <w:rsid w:val="008123EE"/>
    <w:rsid w:val="008124A1"/>
    <w:rsid w:val="0081269B"/>
    <w:rsid w:val="008126D1"/>
    <w:rsid w:val="008128FB"/>
    <w:rsid w:val="00812AA6"/>
    <w:rsid w:val="00812B4C"/>
    <w:rsid w:val="00812BEA"/>
    <w:rsid w:val="00812CF5"/>
    <w:rsid w:val="00812D5F"/>
    <w:rsid w:val="00812D77"/>
    <w:rsid w:val="00812D82"/>
    <w:rsid w:val="00812DC5"/>
    <w:rsid w:val="00812F9B"/>
    <w:rsid w:val="008131CB"/>
    <w:rsid w:val="00813575"/>
    <w:rsid w:val="0081359E"/>
    <w:rsid w:val="00813694"/>
    <w:rsid w:val="0081377E"/>
    <w:rsid w:val="0081378C"/>
    <w:rsid w:val="008139A0"/>
    <w:rsid w:val="00813AF5"/>
    <w:rsid w:val="00813BBD"/>
    <w:rsid w:val="00813D75"/>
    <w:rsid w:val="00813DC0"/>
    <w:rsid w:val="00813E0B"/>
    <w:rsid w:val="00813F37"/>
    <w:rsid w:val="0081428E"/>
    <w:rsid w:val="008142F2"/>
    <w:rsid w:val="008142F7"/>
    <w:rsid w:val="0081434E"/>
    <w:rsid w:val="008144A4"/>
    <w:rsid w:val="00814564"/>
    <w:rsid w:val="00814596"/>
    <w:rsid w:val="00814754"/>
    <w:rsid w:val="00814833"/>
    <w:rsid w:val="008148C4"/>
    <w:rsid w:val="00814AAD"/>
    <w:rsid w:val="00814AD2"/>
    <w:rsid w:val="00814AFB"/>
    <w:rsid w:val="00814B74"/>
    <w:rsid w:val="00814BB2"/>
    <w:rsid w:val="00814CA1"/>
    <w:rsid w:val="00814F67"/>
    <w:rsid w:val="00814F78"/>
    <w:rsid w:val="00815091"/>
    <w:rsid w:val="0081513D"/>
    <w:rsid w:val="0081518C"/>
    <w:rsid w:val="00815333"/>
    <w:rsid w:val="00815414"/>
    <w:rsid w:val="008154FB"/>
    <w:rsid w:val="0081553E"/>
    <w:rsid w:val="00815602"/>
    <w:rsid w:val="0081565A"/>
    <w:rsid w:val="00815741"/>
    <w:rsid w:val="008157C3"/>
    <w:rsid w:val="0081581B"/>
    <w:rsid w:val="00815915"/>
    <w:rsid w:val="00815998"/>
    <w:rsid w:val="00815B15"/>
    <w:rsid w:val="00815BEE"/>
    <w:rsid w:val="00815CBB"/>
    <w:rsid w:val="00815CD6"/>
    <w:rsid w:val="0081600E"/>
    <w:rsid w:val="008160D6"/>
    <w:rsid w:val="008161D6"/>
    <w:rsid w:val="00816226"/>
    <w:rsid w:val="00816247"/>
    <w:rsid w:val="008162D4"/>
    <w:rsid w:val="008163B9"/>
    <w:rsid w:val="00816510"/>
    <w:rsid w:val="008168C1"/>
    <w:rsid w:val="00816919"/>
    <w:rsid w:val="0081699A"/>
    <w:rsid w:val="00816A85"/>
    <w:rsid w:val="00816A8F"/>
    <w:rsid w:val="00816BC1"/>
    <w:rsid w:val="00816C27"/>
    <w:rsid w:val="00816C41"/>
    <w:rsid w:val="00816C46"/>
    <w:rsid w:val="00816C4B"/>
    <w:rsid w:val="00816E10"/>
    <w:rsid w:val="00816F86"/>
    <w:rsid w:val="00816FB0"/>
    <w:rsid w:val="0081712A"/>
    <w:rsid w:val="0081722D"/>
    <w:rsid w:val="008172AC"/>
    <w:rsid w:val="008172F4"/>
    <w:rsid w:val="008173AE"/>
    <w:rsid w:val="0081748F"/>
    <w:rsid w:val="008174AD"/>
    <w:rsid w:val="008174C6"/>
    <w:rsid w:val="0081755C"/>
    <w:rsid w:val="008175A0"/>
    <w:rsid w:val="0081761D"/>
    <w:rsid w:val="00817649"/>
    <w:rsid w:val="008177CC"/>
    <w:rsid w:val="00817886"/>
    <w:rsid w:val="00817B0A"/>
    <w:rsid w:val="00817C11"/>
    <w:rsid w:val="00817D35"/>
    <w:rsid w:val="00817EB4"/>
    <w:rsid w:val="00817F2E"/>
    <w:rsid w:val="00817F70"/>
    <w:rsid w:val="00817FDC"/>
    <w:rsid w:val="0082004D"/>
    <w:rsid w:val="00820069"/>
    <w:rsid w:val="008200A3"/>
    <w:rsid w:val="008201B5"/>
    <w:rsid w:val="00820273"/>
    <w:rsid w:val="00820309"/>
    <w:rsid w:val="00820327"/>
    <w:rsid w:val="008203FA"/>
    <w:rsid w:val="008205B9"/>
    <w:rsid w:val="00820603"/>
    <w:rsid w:val="008207E2"/>
    <w:rsid w:val="00820815"/>
    <w:rsid w:val="008208A0"/>
    <w:rsid w:val="008209B9"/>
    <w:rsid w:val="00820A4B"/>
    <w:rsid w:val="00820ADD"/>
    <w:rsid w:val="00820C16"/>
    <w:rsid w:val="00820D29"/>
    <w:rsid w:val="00820D55"/>
    <w:rsid w:val="00820DD6"/>
    <w:rsid w:val="00820DF6"/>
    <w:rsid w:val="00820EE4"/>
    <w:rsid w:val="00820FF5"/>
    <w:rsid w:val="008210FF"/>
    <w:rsid w:val="0082113E"/>
    <w:rsid w:val="008211B4"/>
    <w:rsid w:val="00821518"/>
    <w:rsid w:val="0082163B"/>
    <w:rsid w:val="008216FB"/>
    <w:rsid w:val="0082170D"/>
    <w:rsid w:val="0082191D"/>
    <w:rsid w:val="00821AA3"/>
    <w:rsid w:val="00821ACF"/>
    <w:rsid w:val="00821DF4"/>
    <w:rsid w:val="00821E19"/>
    <w:rsid w:val="00821F3E"/>
    <w:rsid w:val="00822048"/>
    <w:rsid w:val="008220A0"/>
    <w:rsid w:val="0082218A"/>
    <w:rsid w:val="008221AE"/>
    <w:rsid w:val="0082229E"/>
    <w:rsid w:val="008222B1"/>
    <w:rsid w:val="008222CC"/>
    <w:rsid w:val="00822436"/>
    <w:rsid w:val="00822514"/>
    <w:rsid w:val="00822532"/>
    <w:rsid w:val="0082262A"/>
    <w:rsid w:val="0082262B"/>
    <w:rsid w:val="00822712"/>
    <w:rsid w:val="00822780"/>
    <w:rsid w:val="00822881"/>
    <w:rsid w:val="00822888"/>
    <w:rsid w:val="008228D9"/>
    <w:rsid w:val="00822944"/>
    <w:rsid w:val="008229C2"/>
    <w:rsid w:val="00822A12"/>
    <w:rsid w:val="00822B21"/>
    <w:rsid w:val="00822B24"/>
    <w:rsid w:val="00822BE1"/>
    <w:rsid w:val="00822C4B"/>
    <w:rsid w:val="00822E06"/>
    <w:rsid w:val="00822E7F"/>
    <w:rsid w:val="00822EA6"/>
    <w:rsid w:val="00822F4A"/>
    <w:rsid w:val="00822F6F"/>
    <w:rsid w:val="00822F80"/>
    <w:rsid w:val="00822FD2"/>
    <w:rsid w:val="00823072"/>
    <w:rsid w:val="0082309A"/>
    <w:rsid w:val="00823183"/>
    <w:rsid w:val="008231A6"/>
    <w:rsid w:val="0082339E"/>
    <w:rsid w:val="008233DC"/>
    <w:rsid w:val="0082345F"/>
    <w:rsid w:val="00823478"/>
    <w:rsid w:val="008234EA"/>
    <w:rsid w:val="0082350B"/>
    <w:rsid w:val="008236D9"/>
    <w:rsid w:val="0082379C"/>
    <w:rsid w:val="008239EF"/>
    <w:rsid w:val="00823C70"/>
    <w:rsid w:val="00823CC5"/>
    <w:rsid w:val="00823CE1"/>
    <w:rsid w:val="00823CE5"/>
    <w:rsid w:val="00823D5E"/>
    <w:rsid w:val="00823E70"/>
    <w:rsid w:val="00824176"/>
    <w:rsid w:val="00824194"/>
    <w:rsid w:val="0082423A"/>
    <w:rsid w:val="008243F8"/>
    <w:rsid w:val="00824440"/>
    <w:rsid w:val="008244CF"/>
    <w:rsid w:val="00824580"/>
    <w:rsid w:val="008245F2"/>
    <w:rsid w:val="008246E2"/>
    <w:rsid w:val="00824774"/>
    <w:rsid w:val="0082499D"/>
    <w:rsid w:val="00824A09"/>
    <w:rsid w:val="00824A5B"/>
    <w:rsid w:val="00824B46"/>
    <w:rsid w:val="00824C0A"/>
    <w:rsid w:val="00824D8B"/>
    <w:rsid w:val="00824E55"/>
    <w:rsid w:val="00824F52"/>
    <w:rsid w:val="00824FE6"/>
    <w:rsid w:val="0082506C"/>
    <w:rsid w:val="008250EF"/>
    <w:rsid w:val="0082515A"/>
    <w:rsid w:val="008251C5"/>
    <w:rsid w:val="008251F6"/>
    <w:rsid w:val="00825248"/>
    <w:rsid w:val="00825417"/>
    <w:rsid w:val="00825433"/>
    <w:rsid w:val="00825456"/>
    <w:rsid w:val="008254C5"/>
    <w:rsid w:val="008254ED"/>
    <w:rsid w:val="00825692"/>
    <w:rsid w:val="00825882"/>
    <w:rsid w:val="00825917"/>
    <w:rsid w:val="00825959"/>
    <w:rsid w:val="008259A8"/>
    <w:rsid w:val="00825B01"/>
    <w:rsid w:val="00825B5A"/>
    <w:rsid w:val="00825BE9"/>
    <w:rsid w:val="00825CC9"/>
    <w:rsid w:val="00825D1A"/>
    <w:rsid w:val="00825DDB"/>
    <w:rsid w:val="00825E7B"/>
    <w:rsid w:val="00825F06"/>
    <w:rsid w:val="00825F1C"/>
    <w:rsid w:val="00825F77"/>
    <w:rsid w:val="0082605F"/>
    <w:rsid w:val="008260BB"/>
    <w:rsid w:val="008262B5"/>
    <w:rsid w:val="0082646C"/>
    <w:rsid w:val="008265B6"/>
    <w:rsid w:val="008265E3"/>
    <w:rsid w:val="00826658"/>
    <w:rsid w:val="008266DE"/>
    <w:rsid w:val="0082671F"/>
    <w:rsid w:val="00826758"/>
    <w:rsid w:val="00826803"/>
    <w:rsid w:val="00826858"/>
    <w:rsid w:val="00826C14"/>
    <w:rsid w:val="00826CBB"/>
    <w:rsid w:val="00826E17"/>
    <w:rsid w:val="00826F3A"/>
    <w:rsid w:val="00826F65"/>
    <w:rsid w:val="00826F94"/>
    <w:rsid w:val="00826FAF"/>
    <w:rsid w:val="0082703C"/>
    <w:rsid w:val="00827063"/>
    <w:rsid w:val="0082708E"/>
    <w:rsid w:val="00827120"/>
    <w:rsid w:val="00827427"/>
    <w:rsid w:val="0082742A"/>
    <w:rsid w:val="0082746F"/>
    <w:rsid w:val="00827702"/>
    <w:rsid w:val="008278CD"/>
    <w:rsid w:val="00827A7E"/>
    <w:rsid w:val="00827B39"/>
    <w:rsid w:val="00827E89"/>
    <w:rsid w:val="00827EE4"/>
    <w:rsid w:val="00827FFE"/>
    <w:rsid w:val="008300CD"/>
    <w:rsid w:val="00830204"/>
    <w:rsid w:val="0083021F"/>
    <w:rsid w:val="008302C5"/>
    <w:rsid w:val="008304F0"/>
    <w:rsid w:val="0083067B"/>
    <w:rsid w:val="00830AC9"/>
    <w:rsid w:val="00830B75"/>
    <w:rsid w:val="00830BCC"/>
    <w:rsid w:val="00830CB0"/>
    <w:rsid w:val="00830EC2"/>
    <w:rsid w:val="00830FE7"/>
    <w:rsid w:val="00830FF4"/>
    <w:rsid w:val="00831077"/>
    <w:rsid w:val="008310DA"/>
    <w:rsid w:val="00831150"/>
    <w:rsid w:val="00831221"/>
    <w:rsid w:val="00831332"/>
    <w:rsid w:val="00831413"/>
    <w:rsid w:val="00831485"/>
    <w:rsid w:val="00831558"/>
    <w:rsid w:val="008315CD"/>
    <w:rsid w:val="0083175C"/>
    <w:rsid w:val="0083194F"/>
    <w:rsid w:val="008319F5"/>
    <w:rsid w:val="00831A07"/>
    <w:rsid w:val="00831A6E"/>
    <w:rsid w:val="00831AE4"/>
    <w:rsid w:val="00831BC3"/>
    <w:rsid w:val="00831C07"/>
    <w:rsid w:val="00831C13"/>
    <w:rsid w:val="00831CA7"/>
    <w:rsid w:val="00831D2D"/>
    <w:rsid w:val="00831DDB"/>
    <w:rsid w:val="00831E8E"/>
    <w:rsid w:val="00831EF6"/>
    <w:rsid w:val="00831FA5"/>
    <w:rsid w:val="00832022"/>
    <w:rsid w:val="00832197"/>
    <w:rsid w:val="008324D0"/>
    <w:rsid w:val="00832552"/>
    <w:rsid w:val="0083259F"/>
    <w:rsid w:val="008326C0"/>
    <w:rsid w:val="008327B7"/>
    <w:rsid w:val="00832B8D"/>
    <w:rsid w:val="00832BA4"/>
    <w:rsid w:val="00832C89"/>
    <w:rsid w:val="00832DAF"/>
    <w:rsid w:val="00832E72"/>
    <w:rsid w:val="00832EBC"/>
    <w:rsid w:val="00833133"/>
    <w:rsid w:val="0083313A"/>
    <w:rsid w:val="0083317D"/>
    <w:rsid w:val="00833339"/>
    <w:rsid w:val="0083381C"/>
    <w:rsid w:val="00833931"/>
    <w:rsid w:val="00833960"/>
    <w:rsid w:val="00833AFD"/>
    <w:rsid w:val="00833C16"/>
    <w:rsid w:val="00833C33"/>
    <w:rsid w:val="00833E3A"/>
    <w:rsid w:val="00833F60"/>
    <w:rsid w:val="008342AB"/>
    <w:rsid w:val="008342C5"/>
    <w:rsid w:val="00834364"/>
    <w:rsid w:val="00834395"/>
    <w:rsid w:val="00834425"/>
    <w:rsid w:val="00834462"/>
    <w:rsid w:val="008344C8"/>
    <w:rsid w:val="0083456E"/>
    <w:rsid w:val="00834813"/>
    <w:rsid w:val="008348B2"/>
    <w:rsid w:val="008349D6"/>
    <w:rsid w:val="00834A78"/>
    <w:rsid w:val="00834B21"/>
    <w:rsid w:val="00834C1B"/>
    <w:rsid w:val="00834C4A"/>
    <w:rsid w:val="00834C64"/>
    <w:rsid w:val="00834DB0"/>
    <w:rsid w:val="00834E6F"/>
    <w:rsid w:val="00834FC2"/>
    <w:rsid w:val="00835143"/>
    <w:rsid w:val="008351C1"/>
    <w:rsid w:val="00835300"/>
    <w:rsid w:val="008354B1"/>
    <w:rsid w:val="00835544"/>
    <w:rsid w:val="008355B6"/>
    <w:rsid w:val="0083573C"/>
    <w:rsid w:val="008357FB"/>
    <w:rsid w:val="0083593A"/>
    <w:rsid w:val="00835A21"/>
    <w:rsid w:val="00835ADF"/>
    <w:rsid w:val="00835D02"/>
    <w:rsid w:val="00835D8E"/>
    <w:rsid w:val="00835DEC"/>
    <w:rsid w:val="00835E43"/>
    <w:rsid w:val="00835F73"/>
    <w:rsid w:val="0083634C"/>
    <w:rsid w:val="00836377"/>
    <w:rsid w:val="00836431"/>
    <w:rsid w:val="008364E1"/>
    <w:rsid w:val="00836621"/>
    <w:rsid w:val="0083671B"/>
    <w:rsid w:val="008368CC"/>
    <w:rsid w:val="008368EE"/>
    <w:rsid w:val="00836AAD"/>
    <w:rsid w:val="00836BBC"/>
    <w:rsid w:val="00836BF9"/>
    <w:rsid w:val="00836C35"/>
    <w:rsid w:val="00836D93"/>
    <w:rsid w:val="00836F2E"/>
    <w:rsid w:val="00836F68"/>
    <w:rsid w:val="00836FAC"/>
    <w:rsid w:val="008370C1"/>
    <w:rsid w:val="00837393"/>
    <w:rsid w:val="008374F1"/>
    <w:rsid w:val="00837537"/>
    <w:rsid w:val="0083755B"/>
    <w:rsid w:val="00837653"/>
    <w:rsid w:val="008376A8"/>
    <w:rsid w:val="008377D0"/>
    <w:rsid w:val="008378C9"/>
    <w:rsid w:val="0083793B"/>
    <w:rsid w:val="00837A32"/>
    <w:rsid w:val="00837B23"/>
    <w:rsid w:val="00837B66"/>
    <w:rsid w:val="00837BFD"/>
    <w:rsid w:val="00837D35"/>
    <w:rsid w:val="00840121"/>
    <w:rsid w:val="008401E4"/>
    <w:rsid w:val="00840231"/>
    <w:rsid w:val="008402D2"/>
    <w:rsid w:val="008403B9"/>
    <w:rsid w:val="008404C2"/>
    <w:rsid w:val="008404F1"/>
    <w:rsid w:val="008405C0"/>
    <w:rsid w:val="00840714"/>
    <w:rsid w:val="00840722"/>
    <w:rsid w:val="0084093C"/>
    <w:rsid w:val="0084096A"/>
    <w:rsid w:val="008409B2"/>
    <w:rsid w:val="00840A40"/>
    <w:rsid w:val="00840ADF"/>
    <w:rsid w:val="00840B0D"/>
    <w:rsid w:val="00840B20"/>
    <w:rsid w:val="00840B2C"/>
    <w:rsid w:val="00840BD5"/>
    <w:rsid w:val="00840BF6"/>
    <w:rsid w:val="00840E66"/>
    <w:rsid w:val="00840EAD"/>
    <w:rsid w:val="00840EEB"/>
    <w:rsid w:val="00841089"/>
    <w:rsid w:val="008410CB"/>
    <w:rsid w:val="00841139"/>
    <w:rsid w:val="00841253"/>
    <w:rsid w:val="0084136E"/>
    <w:rsid w:val="008413C4"/>
    <w:rsid w:val="008413D6"/>
    <w:rsid w:val="0084156B"/>
    <w:rsid w:val="008415BB"/>
    <w:rsid w:val="00841802"/>
    <w:rsid w:val="00841945"/>
    <w:rsid w:val="00841B0E"/>
    <w:rsid w:val="00841B63"/>
    <w:rsid w:val="00841C32"/>
    <w:rsid w:val="00842023"/>
    <w:rsid w:val="0084211F"/>
    <w:rsid w:val="00842199"/>
    <w:rsid w:val="00842241"/>
    <w:rsid w:val="008422B8"/>
    <w:rsid w:val="008423F1"/>
    <w:rsid w:val="008423F9"/>
    <w:rsid w:val="0084253A"/>
    <w:rsid w:val="00842667"/>
    <w:rsid w:val="00842852"/>
    <w:rsid w:val="00842899"/>
    <w:rsid w:val="00842A10"/>
    <w:rsid w:val="00842A54"/>
    <w:rsid w:val="00842B0D"/>
    <w:rsid w:val="00842C3A"/>
    <w:rsid w:val="00842D0F"/>
    <w:rsid w:val="00842D72"/>
    <w:rsid w:val="00842DF8"/>
    <w:rsid w:val="00842E13"/>
    <w:rsid w:val="00842E22"/>
    <w:rsid w:val="00842EFB"/>
    <w:rsid w:val="00842F8E"/>
    <w:rsid w:val="00842FE6"/>
    <w:rsid w:val="008430AB"/>
    <w:rsid w:val="008432DB"/>
    <w:rsid w:val="008433B1"/>
    <w:rsid w:val="008433B7"/>
    <w:rsid w:val="00843574"/>
    <w:rsid w:val="0084358F"/>
    <w:rsid w:val="008435AE"/>
    <w:rsid w:val="00843620"/>
    <w:rsid w:val="00843694"/>
    <w:rsid w:val="008437CC"/>
    <w:rsid w:val="00843816"/>
    <w:rsid w:val="0084384C"/>
    <w:rsid w:val="00843902"/>
    <w:rsid w:val="00843A0C"/>
    <w:rsid w:val="00843C45"/>
    <w:rsid w:val="00843DCE"/>
    <w:rsid w:val="00843EAD"/>
    <w:rsid w:val="00843FE7"/>
    <w:rsid w:val="008440A6"/>
    <w:rsid w:val="0084410C"/>
    <w:rsid w:val="00844377"/>
    <w:rsid w:val="0084459F"/>
    <w:rsid w:val="00844607"/>
    <w:rsid w:val="008447A4"/>
    <w:rsid w:val="00844857"/>
    <w:rsid w:val="008449D0"/>
    <w:rsid w:val="00844E01"/>
    <w:rsid w:val="00844E41"/>
    <w:rsid w:val="00844E6E"/>
    <w:rsid w:val="0084510E"/>
    <w:rsid w:val="00845285"/>
    <w:rsid w:val="008452B6"/>
    <w:rsid w:val="00845488"/>
    <w:rsid w:val="008454F8"/>
    <w:rsid w:val="0084552B"/>
    <w:rsid w:val="008456A1"/>
    <w:rsid w:val="00845761"/>
    <w:rsid w:val="00845920"/>
    <w:rsid w:val="00845BB1"/>
    <w:rsid w:val="00845C0B"/>
    <w:rsid w:val="00845FFF"/>
    <w:rsid w:val="008460D2"/>
    <w:rsid w:val="008460F2"/>
    <w:rsid w:val="00846175"/>
    <w:rsid w:val="008461A4"/>
    <w:rsid w:val="008461AD"/>
    <w:rsid w:val="008462EB"/>
    <w:rsid w:val="0084634D"/>
    <w:rsid w:val="00846388"/>
    <w:rsid w:val="008464D9"/>
    <w:rsid w:val="0084650C"/>
    <w:rsid w:val="00846596"/>
    <w:rsid w:val="00846601"/>
    <w:rsid w:val="008468BB"/>
    <w:rsid w:val="008468E8"/>
    <w:rsid w:val="008468F1"/>
    <w:rsid w:val="00846968"/>
    <w:rsid w:val="00846974"/>
    <w:rsid w:val="00846B3C"/>
    <w:rsid w:val="00846D78"/>
    <w:rsid w:val="00846FA0"/>
    <w:rsid w:val="0084713B"/>
    <w:rsid w:val="008471A8"/>
    <w:rsid w:val="008473F6"/>
    <w:rsid w:val="0084748F"/>
    <w:rsid w:val="00847533"/>
    <w:rsid w:val="008475B1"/>
    <w:rsid w:val="00847600"/>
    <w:rsid w:val="00847688"/>
    <w:rsid w:val="00847767"/>
    <w:rsid w:val="008477C3"/>
    <w:rsid w:val="00847896"/>
    <w:rsid w:val="0084796F"/>
    <w:rsid w:val="0084799F"/>
    <w:rsid w:val="008479B1"/>
    <w:rsid w:val="00847A39"/>
    <w:rsid w:val="00847B16"/>
    <w:rsid w:val="00847B64"/>
    <w:rsid w:val="00847BCE"/>
    <w:rsid w:val="00847C9B"/>
    <w:rsid w:val="00847CCC"/>
    <w:rsid w:val="00847D47"/>
    <w:rsid w:val="00847E24"/>
    <w:rsid w:val="00847F26"/>
    <w:rsid w:val="00847FE9"/>
    <w:rsid w:val="008500B1"/>
    <w:rsid w:val="0085011D"/>
    <w:rsid w:val="00850189"/>
    <w:rsid w:val="0085022A"/>
    <w:rsid w:val="008504D9"/>
    <w:rsid w:val="0085050A"/>
    <w:rsid w:val="0085052A"/>
    <w:rsid w:val="0085064E"/>
    <w:rsid w:val="008507AF"/>
    <w:rsid w:val="00850A1A"/>
    <w:rsid w:val="00850A32"/>
    <w:rsid w:val="00850A91"/>
    <w:rsid w:val="00850AE5"/>
    <w:rsid w:val="00850B38"/>
    <w:rsid w:val="00850B8F"/>
    <w:rsid w:val="00850CEF"/>
    <w:rsid w:val="00850CFD"/>
    <w:rsid w:val="00850CFF"/>
    <w:rsid w:val="00850E01"/>
    <w:rsid w:val="00850E21"/>
    <w:rsid w:val="00850F42"/>
    <w:rsid w:val="00850F66"/>
    <w:rsid w:val="00850FE0"/>
    <w:rsid w:val="00851082"/>
    <w:rsid w:val="00851090"/>
    <w:rsid w:val="0085109F"/>
    <w:rsid w:val="00851323"/>
    <w:rsid w:val="008513E2"/>
    <w:rsid w:val="0085144C"/>
    <w:rsid w:val="00851489"/>
    <w:rsid w:val="008515C1"/>
    <w:rsid w:val="008515E1"/>
    <w:rsid w:val="00851648"/>
    <w:rsid w:val="00851675"/>
    <w:rsid w:val="00851AC9"/>
    <w:rsid w:val="00851C52"/>
    <w:rsid w:val="00851CF1"/>
    <w:rsid w:val="00851D00"/>
    <w:rsid w:val="00851EC1"/>
    <w:rsid w:val="00852108"/>
    <w:rsid w:val="00852141"/>
    <w:rsid w:val="008522CE"/>
    <w:rsid w:val="0085231C"/>
    <w:rsid w:val="00852534"/>
    <w:rsid w:val="00852674"/>
    <w:rsid w:val="008529D9"/>
    <w:rsid w:val="00852D37"/>
    <w:rsid w:val="00852DAE"/>
    <w:rsid w:val="00852DDC"/>
    <w:rsid w:val="00852E1B"/>
    <w:rsid w:val="00852ECA"/>
    <w:rsid w:val="00852F3C"/>
    <w:rsid w:val="0085302A"/>
    <w:rsid w:val="00853529"/>
    <w:rsid w:val="008535E1"/>
    <w:rsid w:val="00853AB0"/>
    <w:rsid w:val="00853BB1"/>
    <w:rsid w:val="00853BF3"/>
    <w:rsid w:val="00853E60"/>
    <w:rsid w:val="00854053"/>
    <w:rsid w:val="00854126"/>
    <w:rsid w:val="00854166"/>
    <w:rsid w:val="0085419E"/>
    <w:rsid w:val="008541D1"/>
    <w:rsid w:val="00854289"/>
    <w:rsid w:val="008543F7"/>
    <w:rsid w:val="008544A0"/>
    <w:rsid w:val="00854618"/>
    <w:rsid w:val="008546EC"/>
    <w:rsid w:val="0085490A"/>
    <w:rsid w:val="00854945"/>
    <w:rsid w:val="008549D3"/>
    <w:rsid w:val="00854B1C"/>
    <w:rsid w:val="00854E7F"/>
    <w:rsid w:val="00854EBE"/>
    <w:rsid w:val="00854F95"/>
    <w:rsid w:val="008550A9"/>
    <w:rsid w:val="008550C6"/>
    <w:rsid w:val="00855156"/>
    <w:rsid w:val="008551AE"/>
    <w:rsid w:val="0085522F"/>
    <w:rsid w:val="00855357"/>
    <w:rsid w:val="00855394"/>
    <w:rsid w:val="00855578"/>
    <w:rsid w:val="00855591"/>
    <w:rsid w:val="008555F5"/>
    <w:rsid w:val="008558E4"/>
    <w:rsid w:val="00855A0C"/>
    <w:rsid w:val="00855DC3"/>
    <w:rsid w:val="00855DE1"/>
    <w:rsid w:val="00855ECA"/>
    <w:rsid w:val="00855ECC"/>
    <w:rsid w:val="00855ED8"/>
    <w:rsid w:val="0085603B"/>
    <w:rsid w:val="008560E7"/>
    <w:rsid w:val="00856429"/>
    <w:rsid w:val="0085655A"/>
    <w:rsid w:val="008565D9"/>
    <w:rsid w:val="0085664B"/>
    <w:rsid w:val="00856844"/>
    <w:rsid w:val="00856A95"/>
    <w:rsid w:val="00856ABA"/>
    <w:rsid w:val="00856AC0"/>
    <w:rsid w:val="00856B33"/>
    <w:rsid w:val="00856C33"/>
    <w:rsid w:val="00856D39"/>
    <w:rsid w:val="00856E81"/>
    <w:rsid w:val="00857069"/>
    <w:rsid w:val="008572F6"/>
    <w:rsid w:val="008574C8"/>
    <w:rsid w:val="0085751C"/>
    <w:rsid w:val="00857689"/>
    <w:rsid w:val="008576A6"/>
    <w:rsid w:val="00857759"/>
    <w:rsid w:val="008578F8"/>
    <w:rsid w:val="0085795E"/>
    <w:rsid w:val="008579C0"/>
    <w:rsid w:val="00857A34"/>
    <w:rsid w:val="00857B22"/>
    <w:rsid w:val="00857D4B"/>
    <w:rsid w:val="00857EE6"/>
    <w:rsid w:val="0086002E"/>
    <w:rsid w:val="00860069"/>
    <w:rsid w:val="0086012C"/>
    <w:rsid w:val="008602E0"/>
    <w:rsid w:val="0086036C"/>
    <w:rsid w:val="00860390"/>
    <w:rsid w:val="008603D1"/>
    <w:rsid w:val="008603E0"/>
    <w:rsid w:val="008607EF"/>
    <w:rsid w:val="00860802"/>
    <w:rsid w:val="00860852"/>
    <w:rsid w:val="00860AD1"/>
    <w:rsid w:val="00860AE6"/>
    <w:rsid w:val="00860CDB"/>
    <w:rsid w:val="00860D8C"/>
    <w:rsid w:val="00860D9B"/>
    <w:rsid w:val="00860E5F"/>
    <w:rsid w:val="00860F0F"/>
    <w:rsid w:val="00860F6C"/>
    <w:rsid w:val="00860FC8"/>
    <w:rsid w:val="0086115D"/>
    <w:rsid w:val="00861210"/>
    <w:rsid w:val="0086138B"/>
    <w:rsid w:val="00861394"/>
    <w:rsid w:val="00861399"/>
    <w:rsid w:val="008613C7"/>
    <w:rsid w:val="008613E8"/>
    <w:rsid w:val="008613F0"/>
    <w:rsid w:val="008613FF"/>
    <w:rsid w:val="00861502"/>
    <w:rsid w:val="0086157D"/>
    <w:rsid w:val="00861634"/>
    <w:rsid w:val="00861AF7"/>
    <w:rsid w:val="00861B22"/>
    <w:rsid w:val="00861BC4"/>
    <w:rsid w:val="00862087"/>
    <w:rsid w:val="008620E4"/>
    <w:rsid w:val="008621B3"/>
    <w:rsid w:val="008621F1"/>
    <w:rsid w:val="008621FA"/>
    <w:rsid w:val="0086246E"/>
    <w:rsid w:val="008624B8"/>
    <w:rsid w:val="00862560"/>
    <w:rsid w:val="0086260E"/>
    <w:rsid w:val="008626B0"/>
    <w:rsid w:val="008626E4"/>
    <w:rsid w:val="008628FE"/>
    <w:rsid w:val="00862A84"/>
    <w:rsid w:val="00862B4A"/>
    <w:rsid w:val="00862C2C"/>
    <w:rsid w:val="00862CA3"/>
    <w:rsid w:val="00862E5B"/>
    <w:rsid w:val="00862ED9"/>
    <w:rsid w:val="00862F1B"/>
    <w:rsid w:val="0086306B"/>
    <w:rsid w:val="00863219"/>
    <w:rsid w:val="00863279"/>
    <w:rsid w:val="008636AB"/>
    <w:rsid w:val="008636B6"/>
    <w:rsid w:val="008637DA"/>
    <w:rsid w:val="00863819"/>
    <w:rsid w:val="00863921"/>
    <w:rsid w:val="008639C8"/>
    <w:rsid w:val="008639DE"/>
    <w:rsid w:val="00863ABB"/>
    <w:rsid w:val="00863BA9"/>
    <w:rsid w:val="00863CE6"/>
    <w:rsid w:val="00863D8B"/>
    <w:rsid w:val="00863F4F"/>
    <w:rsid w:val="00864155"/>
    <w:rsid w:val="008641B6"/>
    <w:rsid w:val="008641D5"/>
    <w:rsid w:val="00864278"/>
    <w:rsid w:val="008643F8"/>
    <w:rsid w:val="008644A2"/>
    <w:rsid w:val="0086462F"/>
    <w:rsid w:val="008646EA"/>
    <w:rsid w:val="0086471B"/>
    <w:rsid w:val="00864A0C"/>
    <w:rsid w:val="00864A63"/>
    <w:rsid w:val="00864B3D"/>
    <w:rsid w:val="00864C32"/>
    <w:rsid w:val="00864DC7"/>
    <w:rsid w:val="00864E77"/>
    <w:rsid w:val="00864E87"/>
    <w:rsid w:val="00864F0C"/>
    <w:rsid w:val="00864F65"/>
    <w:rsid w:val="00864FF0"/>
    <w:rsid w:val="0086518C"/>
    <w:rsid w:val="0086535C"/>
    <w:rsid w:val="0086565E"/>
    <w:rsid w:val="0086577A"/>
    <w:rsid w:val="008657B1"/>
    <w:rsid w:val="008657BC"/>
    <w:rsid w:val="00865A77"/>
    <w:rsid w:val="00865AFA"/>
    <w:rsid w:val="00865B46"/>
    <w:rsid w:val="00865DBF"/>
    <w:rsid w:val="00865E7B"/>
    <w:rsid w:val="00865F2A"/>
    <w:rsid w:val="00865F3D"/>
    <w:rsid w:val="00865F9D"/>
    <w:rsid w:val="00865FDE"/>
    <w:rsid w:val="0086613A"/>
    <w:rsid w:val="008663BD"/>
    <w:rsid w:val="008663F7"/>
    <w:rsid w:val="008664BE"/>
    <w:rsid w:val="008666C9"/>
    <w:rsid w:val="00866701"/>
    <w:rsid w:val="00866776"/>
    <w:rsid w:val="008667A7"/>
    <w:rsid w:val="00866886"/>
    <w:rsid w:val="008668EC"/>
    <w:rsid w:val="00866AD9"/>
    <w:rsid w:val="00866B51"/>
    <w:rsid w:val="00866CD8"/>
    <w:rsid w:val="00866D0E"/>
    <w:rsid w:val="00866D8C"/>
    <w:rsid w:val="00866DAE"/>
    <w:rsid w:val="00867019"/>
    <w:rsid w:val="008673E1"/>
    <w:rsid w:val="0086740D"/>
    <w:rsid w:val="008674C7"/>
    <w:rsid w:val="0086754D"/>
    <w:rsid w:val="00867756"/>
    <w:rsid w:val="0086775D"/>
    <w:rsid w:val="00867B1D"/>
    <w:rsid w:val="00867B4D"/>
    <w:rsid w:val="00867BAD"/>
    <w:rsid w:val="00867D98"/>
    <w:rsid w:val="00867F5C"/>
    <w:rsid w:val="00867FBE"/>
    <w:rsid w:val="00867FD1"/>
    <w:rsid w:val="0087004A"/>
    <w:rsid w:val="00870183"/>
    <w:rsid w:val="00870307"/>
    <w:rsid w:val="0087049C"/>
    <w:rsid w:val="008707D2"/>
    <w:rsid w:val="0087080B"/>
    <w:rsid w:val="00870959"/>
    <w:rsid w:val="00870AC8"/>
    <w:rsid w:val="00870C8F"/>
    <w:rsid w:val="00870E82"/>
    <w:rsid w:val="00870FE1"/>
    <w:rsid w:val="0087103B"/>
    <w:rsid w:val="00871114"/>
    <w:rsid w:val="0087112A"/>
    <w:rsid w:val="0087125D"/>
    <w:rsid w:val="0087126F"/>
    <w:rsid w:val="008712DD"/>
    <w:rsid w:val="008712F1"/>
    <w:rsid w:val="00871401"/>
    <w:rsid w:val="00871404"/>
    <w:rsid w:val="008714A5"/>
    <w:rsid w:val="008714D4"/>
    <w:rsid w:val="00871613"/>
    <w:rsid w:val="00871856"/>
    <w:rsid w:val="00871887"/>
    <w:rsid w:val="0087193C"/>
    <w:rsid w:val="008719F2"/>
    <w:rsid w:val="00871A7E"/>
    <w:rsid w:val="00871ADC"/>
    <w:rsid w:val="00871B72"/>
    <w:rsid w:val="00871BE4"/>
    <w:rsid w:val="00871C2E"/>
    <w:rsid w:val="00871D52"/>
    <w:rsid w:val="00871E47"/>
    <w:rsid w:val="00871E95"/>
    <w:rsid w:val="0087219B"/>
    <w:rsid w:val="00872266"/>
    <w:rsid w:val="00872293"/>
    <w:rsid w:val="008722E7"/>
    <w:rsid w:val="008723D5"/>
    <w:rsid w:val="0087259A"/>
    <w:rsid w:val="00872646"/>
    <w:rsid w:val="00872734"/>
    <w:rsid w:val="00872744"/>
    <w:rsid w:val="0087275A"/>
    <w:rsid w:val="0087276C"/>
    <w:rsid w:val="0087283A"/>
    <w:rsid w:val="00872969"/>
    <w:rsid w:val="00872972"/>
    <w:rsid w:val="00872A24"/>
    <w:rsid w:val="00872AA4"/>
    <w:rsid w:val="00872DF7"/>
    <w:rsid w:val="00872E9F"/>
    <w:rsid w:val="00872FF9"/>
    <w:rsid w:val="008730FA"/>
    <w:rsid w:val="008731C4"/>
    <w:rsid w:val="0087329D"/>
    <w:rsid w:val="00873364"/>
    <w:rsid w:val="00873391"/>
    <w:rsid w:val="008733DC"/>
    <w:rsid w:val="00873614"/>
    <w:rsid w:val="00873825"/>
    <w:rsid w:val="00873878"/>
    <w:rsid w:val="008738E7"/>
    <w:rsid w:val="00873969"/>
    <w:rsid w:val="00873975"/>
    <w:rsid w:val="00873990"/>
    <w:rsid w:val="008739C0"/>
    <w:rsid w:val="008739E1"/>
    <w:rsid w:val="00873AB5"/>
    <w:rsid w:val="00873B96"/>
    <w:rsid w:val="00873BC3"/>
    <w:rsid w:val="00873D33"/>
    <w:rsid w:val="00873D34"/>
    <w:rsid w:val="00873D3C"/>
    <w:rsid w:val="00873D51"/>
    <w:rsid w:val="00873DFA"/>
    <w:rsid w:val="00873E6E"/>
    <w:rsid w:val="00873ED1"/>
    <w:rsid w:val="00873FB9"/>
    <w:rsid w:val="00874018"/>
    <w:rsid w:val="00874031"/>
    <w:rsid w:val="00874086"/>
    <w:rsid w:val="00874102"/>
    <w:rsid w:val="0087411C"/>
    <w:rsid w:val="008741AC"/>
    <w:rsid w:val="008741CC"/>
    <w:rsid w:val="00874231"/>
    <w:rsid w:val="00874441"/>
    <w:rsid w:val="00874446"/>
    <w:rsid w:val="008744E6"/>
    <w:rsid w:val="00874737"/>
    <w:rsid w:val="0087479E"/>
    <w:rsid w:val="008747BE"/>
    <w:rsid w:val="008747DD"/>
    <w:rsid w:val="00874802"/>
    <w:rsid w:val="00874AC1"/>
    <w:rsid w:val="00874B53"/>
    <w:rsid w:val="00874C03"/>
    <w:rsid w:val="00875223"/>
    <w:rsid w:val="008753F8"/>
    <w:rsid w:val="008754B4"/>
    <w:rsid w:val="00875516"/>
    <w:rsid w:val="008756B7"/>
    <w:rsid w:val="008756ED"/>
    <w:rsid w:val="0087570F"/>
    <w:rsid w:val="00875AAA"/>
    <w:rsid w:val="00875AF8"/>
    <w:rsid w:val="00875BAB"/>
    <w:rsid w:val="00875BD0"/>
    <w:rsid w:val="00875CDE"/>
    <w:rsid w:val="00875CEC"/>
    <w:rsid w:val="00875D56"/>
    <w:rsid w:val="00875E69"/>
    <w:rsid w:val="00875FAB"/>
    <w:rsid w:val="00875FAC"/>
    <w:rsid w:val="00875FB2"/>
    <w:rsid w:val="008760BE"/>
    <w:rsid w:val="008761A2"/>
    <w:rsid w:val="00876367"/>
    <w:rsid w:val="00876532"/>
    <w:rsid w:val="00876726"/>
    <w:rsid w:val="0087673E"/>
    <w:rsid w:val="008767EC"/>
    <w:rsid w:val="008768A6"/>
    <w:rsid w:val="00876978"/>
    <w:rsid w:val="00876A54"/>
    <w:rsid w:val="00876AD6"/>
    <w:rsid w:val="00876BDC"/>
    <w:rsid w:val="00876CA9"/>
    <w:rsid w:val="00876D1A"/>
    <w:rsid w:val="00876D6A"/>
    <w:rsid w:val="00876D6B"/>
    <w:rsid w:val="00876EFB"/>
    <w:rsid w:val="00876FAF"/>
    <w:rsid w:val="00876FBE"/>
    <w:rsid w:val="0087733A"/>
    <w:rsid w:val="0087744B"/>
    <w:rsid w:val="00877532"/>
    <w:rsid w:val="00877656"/>
    <w:rsid w:val="008776BB"/>
    <w:rsid w:val="0087788A"/>
    <w:rsid w:val="00877959"/>
    <w:rsid w:val="0087796D"/>
    <w:rsid w:val="00877A06"/>
    <w:rsid w:val="00877A91"/>
    <w:rsid w:val="00877AA2"/>
    <w:rsid w:val="00877AA7"/>
    <w:rsid w:val="00877AFB"/>
    <w:rsid w:val="00877BB5"/>
    <w:rsid w:val="00877C12"/>
    <w:rsid w:val="00877C90"/>
    <w:rsid w:val="00877D95"/>
    <w:rsid w:val="00877DAE"/>
    <w:rsid w:val="00877E07"/>
    <w:rsid w:val="00877E63"/>
    <w:rsid w:val="00877EFE"/>
    <w:rsid w:val="00877F17"/>
    <w:rsid w:val="00880022"/>
    <w:rsid w:val="008802A7"/>
    <w:rsid w:val="0088032E"/>
    <w:rsid w:val="00880396"/>
    <w:rsid w:val="0088039E"/>
    <w:rsid w:val="00880475"/>
    <w:rsid w:val="008806ED"/>
    <w:rsid w:val="00880731"/>
    <w:rsid w:val="008807F8"/>
    <w:rsid w:val="00880944"/>
    <w:rsid w:val="0088097A"/>
    <w:rsid w:val="008809C5"/>
    <w:rsid w:val="008809D0"/>
    <w:rsid w:val="00880ACA"/>
    <w:rsid w:val="00880CFB"/>
    <w:rsid w:val="00880DDC"/>
    <w:rsid w:val="00880FF6"/>
    <w:rsid w:val="008811BE"/>
    <w:rsid w:val="008814EC"/>
    <w:rsid w:val="00881506"/>
    <w:rsid w:val="0088175B"/>
    <w:rsid w:val="00881777"/>
    <w:rsid w:val="008818E0"/>
    <w:rsid w:val="00881AC8"/>
    <w:rsid w:val="00881AFE"/>
    <w:rsid w:val="00881B24"/>
    <w:rsid w:val="00881B91"/>
    <w:rsid w:val="00881BA2"/>
    <w:rsid w:val="00881D20"/>
    <w:rsid w:val="00881D50"/>
    <w:rsid w:val="00881EC4"/>
    <w:rsid w:val="00881F30"/>
    <w:rsid w:val="0088201B"/>
    <w:rsid w:val="0088241E"/>
    <w:rsid w:val="008824B0"/>
    <w:rsid w:val="008824F1"/>
    <w:rsid w:val="0088261B"/>
    <w:rsid w:val="0088271B"/>
    <w:rsid w:val="00882809"/>
    <w:rsid w:val="00882A28"/>
    <w:rsid w:val="00882ADF"/>
    <w:rsid w:val="00882B17"/>
    <w:rsid w:val="00882C76"/>
    <w:rsid w:val="00882D10"/>
    <w:rsid w:val="00882D24"/>
    <w:rsid w:val="00882D49"/>
    <w:rsid w:val="00882D9A"/>
    <w:rsid w:val="00882DDB"/>
    <w:rsid w:val="00882F04"/>
    <w:rsid w:val="00882FD4"/>
    <w:rsid w:val="0088314A"/>
    <w:rsid w:val="008831AF"/>
    <w:rsid w:val="008833D0"/>
    <w:rsid w:val="00883437"/>
    <w:rsid w:val="00883530"/>
    <w:rsid w:val="008837AF"/>
    <w:rsid w:val="008837D8"/>
    <w:rsid w:val="00883A01"/>
    <w:rsid w:val="00883C43"/>
    <w:rsid w:val="00883D2E"/>
    <w:rsid w:val="00883D5D"/>
    <w:rsid w:val="00883E0B"/>
    <w:rsid w:val="008840A6"/>
    <w:rsid w:val="00884128"/>
    <w:rsid w:val="008842CD"/>
    <w:rsid w:val="00884412"/>
    <w:rsid w:val="0088452B"/>
    <w:rsid w:val="00884763"/>
    <w:rsid w:val="00884781"/>
    <w:rsid w:val="00884852"/>
    <w:rsid w:val="008848A1"/>
    <w:rsid w:val="008849E4"/>
    <w:rsid w:val="008849F8"/>
    <w:rsid w:val="00884A22"/>
    <w:rsid w:val="00884A3B"/>
    <w:rsid w:val="00884AEE"/>
    <w:rsid w:val="00884B6A"/>
    <w:rsid w:val="00884C86"/>
    <w:rsid w:val="00884CBC"/>
    <w:rsid w:val="00884FC9"/>
    <w:rsid w:val="00884FCC"/>
    <w:rsid w:val="00885047"/>
    <w:rsid w:val="00885393"/>
    <w:rsid w:val="008853C0"/>
    <w:rsid w:val="008853E0"/>
    <w:rsid w:val="008855E9"/>
    <w:rsid w:val="00885619"/>
    <w:rsid w:val="00885623"/>
    <w:rsid w:val="0088563D"/>
    <w:rsid w:val="0088564B"/>
    <w:rsid w:val="00885814"/>
    <w:rsid w:val="0088589E"/>
    <w:rsid w:val="008859EA"/>
    <w:rsid w:val="00885ABD"/>
    <w:rsid w:val="00885B16"/>
    <w:rsid w:val="00885C2D"/>
    <w:rsid w:val="00885C31"/>
    <w:rsid w:val="00885C33"/>
    <w:rsid w:val="00885E8F"/>
    <w:rsid w:val="008860D4"/>
    <w:rsid w:val="008860F9"/>
    <w:rsid w:val="00886255"/>
    <w:rsid w:val="0088633D"/>
    <w:rsid w:val="008863C5"/>
    <w:rsid w:val="008863DF"/>
    <w:rsid w:val="008864CB"/>
    <w:rsid w:val="0088654A"/>
    <w:rsid w:val="008865F5"/>
    <w:rsid w:val="008866CD"/>
    <w:rsid w:val="0088672B"/>
    <w:rsid w:val="008869DA"/>
    <w:rsid w:val="00886BC3"/>
    <w:rsid w:val="00886D75"/>
    <w:rsid w:val="00886DBE"/>
    <w:rsid w:val="00886F9E"/>
    <w:rsid w:val="00887423"/>
    <w:rsid w:val="00887531"/>
    <w:rsid w:val="0088753F"/>
    <w:rsid w:val="008875EF"/>
    <w:rsid w:val="008876E1"/>
    <w:rsid w:val="008876FF"/>
    <w:rsid w:val="00887860"/>
    <w:rsid w:val="00887875"/>
    <w:rsid w:val="0088798D"/>
    <w:rsid w:val="008879E2"/>
    <w:rsid w:val="00887AF3"/>
    <w:rsid w:val="00887BC1"/>
    <w:rsid w:val="00887BCA"/>
    <w:rsid w:val="00887E3E"/>
    <w:rsid w:val="00887E51"/>
    <w:rsid w:val="00887F08"/>
    <w:rsid w:val="00887F24"/>
    <w:rsid w:val="00887F4B"/>
    <w:rsid w:val="00887F73"/>
    <w:rsid w:val="00890004"/>
    <w:rsid w:val="0089008E"/>
    <w:rsid w:val="008900D1"/>
    <w:rsid w:val="008900F4"/>
    <w:rsid w:val="0089050F"/>
    <w:rsid w:val="00890543"/>
    <w:rsid w:val="00890601"/>
    <w:rsid w:val="008906C3"/>
    <w:rsid w:val="00890817"/>
    <w:rsid w:val="00890838"/>
    <w:rsid w:val="008908A1"/>
    <w:rsid w:val="00890993"/>
    <w:rsid w:val="008909A4"/>
    <w:rsid w:val="008909C5"/>
    <w:rsid w:val="008909D0"/>
    <w:rsid w:val="00890B15"/>
    <w:rsid w:val="00890CD9"/>
    <w:rsid w:val="00890D58"/>
    <w:rsid w:val="00890DA3"/>
    <w:rsid w:val="00890E20"/>
    <w:rsid w:val="00890F0D"/>
    <w:rsid w:val="00890FE5"/>
    <w:rsid w:val="00891084"/>
    <w:rsid w:val="0089108B"/>
    <w:rsid w:val="00891320"/>
    <w:rsid w:val="0089138D"/>
    <w:rsid w:val="00891436"/>
    <w:rsid w:val="00891775"/>
    <w:rsid w:val="00891960"/>
    <w:rsid w:val="008919CA"/>
    <w:rsid w:val="00891CD2"/>
    <w:rsid w:val="00891D5F"/>
    <w:rsid w:val="00891E98"/>
    <w:rsid w:val="00891EC7"/>
    <w:rsid w:val="00891F07"/>
    <w:rsid w:val="00891FC8"/>
    <w:rsid w:val="0089215D"/>
    <w:rsid w:val="0089247C"/>
    <w:rsid w:val="008925EB"/>
    <w:rsid w:val="008926EC"/>
    <w:rsid w:val="00892913"/>
    <w:rsid w:val="008929E6"/>
    <w:rsid w:val="008929F1"/>
    <w:rsid w:val="00892A92"/>
    <w:rsid w:val="00892AB7"/>
    <w:rsid w:val="00892AFA"/>
    <w:rsid w:val="00892B65"/>
    <w:rsid w:val="00892DE1"/>
    <w:rsid w:val="00893039"/>
    <w:rsid w:val="00893091"/>
    <w:rsid w:val="008930E0"/>
    <w:rsid w:val="0089318D"/>
    <w:rsid w:val="008931BD"/>
    <w:rsid w:val="0089323E"/>
    <w:rsid w:val="0089339C"/>
    <w:rsid w:val="0089345D"/>
    <w:rsid w:val="00893478"/>
    <w:rsid w:val="00893557"/>
    <w:rsid w:val="008935E6"/>
    <w:rsid w:val="00893606"/>
    <w:rsid w:val="0089363A"/>
    <w:rsid w:val="00893962"/>
    <w:rsid w:val="008939D3"/>
    <w:rsid w:val="00893AFE"/>
    <w:rsid w:val="00893C5A"/>
    <w:rsid w:val="00893CC8"/>
    <w:rsid w:val="00893CFF"/>
    <w:rsid w:val="00893EF9"/>
    <w:rsid w:val="00894044"/>
    <w:rsid w:val="008940EE"/>
    <w:rsid w:val="008940FF"/>
    <w:rsid w:val="00894248"/>
    <w:rsid w:val="00894274"/>
    <w:rsid w:val="008942C4"/>
    <w:rsid w:val="00894355"/>
    <w:rsid w:val="008943DC"/>
    <w:rsid w:val="00894416"/>
    <w:rsid w:val="008944AE"/>
    <w:rsid w:val="008944D4"/>
    <w:rsid w:val="0089454F"/>
    <w:rsid w:val="00894561"/>
    <w:rsid w:val="00894736"/>
    <w:rsid w:val="00894964"/>
    <w:rsid w:val="008949F7"/>
    <w:rsid w:val="00894A2A"/>
    <w:rsid w:val="00894A79"/>
    <w:rsid w:val="00894AFD"/>
    <w:rsid w:val="00894C64"/>
    <w:rsid w:val="00894D5E"/>
    <w:rsid w:val="00894E1E"/>
    <w:rsid w:val="00894E8E"/>
    <w:rsid w:val="00894EBC"/>
    <w:rsid w:val="00894EFE"/>
    <w:rsid w:val="00895159"/>
    <w:rsid w:val="008954AF"/>
    <w:rsid w:val="008954B2"/>
    <w:rsid w:val="008955E9"/>
    <w:rsid w:val="00895600"/>
    <w:rsid w:val="008956DB"/>
    <w:rsid w:val="008956F4"/>
    <w:rsid w:val="00895710"/>
    <w:rsid w:val="00895798"/>
    <w:rsid w:val="008958DC"/>
    <w:rsid w:val="00895969"/>
    <w:rsid w:val="00895AC0"/>
    <w:rsid w:val="00895D52"/>
    <w:rsid w:val="00895D62"/>
    <w:rsid w:val="00895E2F"/>
    <w:rsid w:val="00895E7C"/>
    <w:rsid w:val="00895EAC"/>
    <w:rsid w:val="00895EED"/>
    <w:rsid w:val="00895FE2"/>
    <w:rsid w:val="0089607C"/>
    <w:rsid w:val="0089609E"/>
    <w:rsid w:val="008960AB"/>
    <w:rsid w:val="008960C8"/>
    <w:rsid w:val="008963D1"/>
    <w:rsid w:val="008963F8"/>
    <w:rsid w:val="0089641D"/>
    <w:rsid w:val="008964B3"/>
    <w:rsid w:val="008966DF"/>
    <w:rsid w:val="0089681E"/>
    <w:rsid w:val="008969A4"/>
    <w:rsid w:val="00896CFA"/>
    <w:rsid w:val="00896D7D"/>
    <w:rsid w:val="00896E04"/>
    <w:rsid w:val="00896EB0"/>
    <w:rsid w:val="00897171"/>
    <w:rsid w:val="0089719E"/>
    <w:rsid w:val="00897263"/>
    <w:rsid w:val="00897479"/>
    <w:rsid w:val="00897651"/>
    <w:rsid w:val="0089773A"/>
    <w:rsid w:val="00897771"/>
    <w:rsid w:val="0089779F"/>
    <w:rsid w:val="008977ED"/>
    <w:rsid w:val="0089782E"/>
    <w:rsid w:val="008978E9"/>
    <w:rsid w:val="008978F5"/>
    <w:rsid w:val="008979C5"/>
    <w:rsid w:val="008979D8"/>
    <w:rsid w:val="00897BB7"/>
    <w:rsid w:val="00897D88"/>
    <w:rsid w:val="00897EB0"/>
    <w:rsid w:val="00897F83"/>
    <w:rsid w:val="008A0072"/>
    <w:rsid w:val="008A021A"/>
    <w:rsid w:val="008A033F"/>
    <w:rsid w:val="008A041F"/>
    <w:rsid w:val="008A0492"/>
    <w:rsid w:val="008A0496"/>
    <w:rsid w:val="008A04C5"/>
    <w:rsid w:val="008A04E8"/>
    <w:rsid w:val="008A05BE"/>
    <w:rsid w:val="008A05DF"/>
    <w:rsid w:val="008A0748"/>
    <w:rsid w:val="008A0805"/>
    <w:rsid w:val="008A086A"/>
    <w:rsid w:val="008A0876"/>
    <w:rsid w:val="008A0899"/>
    <w:rsid w:val="008A0940"/>
    <w:rsid w:val="008A09B2"/>
    <w:rsid w:val="008A0B7F"/>
    <w:rsid w:val="008A0BF4"/>
    <w:rsid w:val="008A0CB6"/>
    <w:rsid w:val="008A0E77"/>
    <w:rsid w:val="008A11A5"/>
    <w:rsid w:val="008A11ED"/>
    <w:rsid w:val="008A1267"/>
    <w:rsid w:val="008A1394"/>
    <w:rsid w:val="008A13D2"/>
    <w:rsid w:val="008A14D5"/>
    <w:rsid w:val="008A1573"/>
    <w:rsid w:val="008A1666"/>
    <w:rsid w:val="008A16B7"/>
    <w:rsid w:val="008A17C2"/>
    <w:rsid w:val="008A1863"/>
    <w:rsid w:val="008A18BD"/>
    <w:rsid w:val="008A195D"/>
    <w:rsid w:val="008A1991"/>
    <w:rsid w:val="008A1A43"/>
    <w:rsid w:val="008A1A88"/>
    <w:rsid w:val="008A1B5D"/>
    <w:rsid w:val="008A1B9D"/>
    <w:rsid w:val="008A1CDF"/>
    <w:rsid w:val="008A1CEA"/>
    <w:rsid w:val="008A1CF9"/>
    <w:rsid w:val="008A1D1C"/>
    <w:rsid w:val="008A1D8F"/>
    <w:rsid w:val="008A1E87"/>
    <w:rsid w:val="008A1F14"/>
    <w:rsid w:val="008A1F20"/>
    <w:rsid w:val="008A22A4"/>
    <w:rsid w:val="008A22DD"/>
    <w:rsid w:val="008A22E3"/>
    <w:rsid w:val="008A22F8"/>
    <w:rsid w:val="008A243F"/>
    <w:rsid w:val="008A24D9"/>
    <w:rsid w:val="008A2576"/>
    <w:rsid w:val="008A2644"/>
    <w:rsid w:val="008A274C"/>
    <w:rsid w:val="008A279A"/>
    <w:rsid w:val="008A28D1"/>
    <w:rsid w:val="008A2974"/>
    <w:rsid w:val="008A2A87"/>
    <w:rsid w:val="008A2B4C"/>
    <w:rsid w:val="008A2BAD"/>
    <w:rsid w:val="008A2D09"/>
    <w:rsid w:val="008A2D8F"/>
    <w:rsid w:val="008A30CF"/>
    <w:rsid w:val="008A32A4"/>
    <w:rsid w:val="008A346A"/>
    <w:rsid w:val="008A3475"/>
    <w:rsid w:val="008A3681"/>
    <w:rsid w:val="008A38E0"/>
    <w:rsid w:val="008A3908"/>
    <w:rsid w:val="008A39D9"/>
    <w:rsid w:val="008A3B1A"/>
    <w:rsid w:val="008A3D4C"/>
    <w:rsid w:val="008A3F7E"/>
    <w:rsid w:val="008A4057"/>
    <w:rsid w:val="008A4079"/>
    <w:rsid w:val="008A411B"/>
    <w:rsid w:val="008A4150"/>
    <w:rsid w:val="008A4297"/>
    <w:rsid w:val="008A429D"/>
    <w:rsid w:val="008A42CB"/>
    <w:rsid w:val="008A4354"/>
    <w:rsid w:val="008A4662"/>
    <w:rsid w:val="008A4687"/>
    <w:rsid w:val="008A46AC"/>
    <w:rsid w:val="008A4744"/>
    <w:rsid w:val="008A4839"/>
    <w:rsid w:val="008A485A"/>
    <w:rsid w:val="008A48BD"/>
    <w:rsid w:val="008A496E"/>
    <w:rsid w:val="008A4976"/>
    <w:rsid w:val="008A49C2"/>
    <w:rsid w:val="008A4A8A"/>
    <w:rsid w:val="008A4B1D"/>
    <w:rsid w:val="008A4D05"/>
    <w:rsid w:val="008A4EEA"/>
    <w:rsid w:val="008A4F0C"/>
    <w:rsid w:val="008A5141"/>
    <w:rsid w:val="008A539E"/>
    <w:rsid w:val="008A53AB"/>
    <w:rsid w:val="008A53F9"/>
    <w:rsid w:val="008A5506"/>
    <w:rsid w:val="008A5637"/>
    <w:rsid w:val="008A5645"/>
    <w:rsid w:val="008A5657"/>
    <w:rsid w:val="008A5766"/>
    <w:rsid w:val="008A581C"/>
    <w:rsid w:val="008A5836"/>
    <w:rsid w:val="008A5A50"/>
    <w:rsid w:val="008A5AF6"/>
    <w:rsid w:val="008A5B7C"/>
    <w:rsid w:val="008A5CFA"/>
    <w:rsid w:val="008A5D3F"/>
    <w:rsid w:val="008A5D76"/>
    <w:rsid w:val="008A5EEA"/>
    <w:rsid w:val="008A5FE5"/>
    <w:rsid w:val="008A624E"/>
    <w:rsid w:val="008A62A3"/>
    <w:rsid w:val="008A637F"/>
    <w:rsid w:val="008A63C0"/>
    <w:rsid w:val="008A6472"/>
    <w:rsid w:val="008A6499"/>
    <w:rsid w:val="008A64D1"/>
    <w:rsid w:val="008A6627"/>
    <w:rsid w:val="008A68D7"/>
    <w:rsid w:val="008A68ED"/>
    <w:rsid w:val="008A696F"/>
    <w:rsid w:val="008A699A"/>
    <w:rsid w:val="008A69A1"/>
    <w:rsid w:val="008A6C14"/>
    <w:rsid w:val="008A6C15"/>
    <w:rsid w:val="008A6C21"/>
    <w:rsid w:val="008A6D2D"/>
    <w:rsid w:val="008A6F18"/>
    <w:rsid w:val="008A6F3E"/>
    <w:rsid w:val="008A7053"/>
    <w:rsid w:val="008A70D3"/>
    <w:rsid w:val="008A719F"/>
    <w:rsid w:val="008A72E5"/>
    <w:rsid w:val="008A7343"/>
    <w:rsid w:val="008A73BC"/>
    <w:rsid w:val="008A7501"/>
    <w:rsid w:val="008A7543"/>
    <w:rsid w:val="008A755C"/>
    <w:rsid w:val="008A796A"/>
    <w:rsid w:val="008A79D6"/>
    <w:rsid w:val="008A7A91"/>
    <w:rsid w:val="008A7C71"/>
    <w:rsid w:val="008A7CCD"/>
    <w:rsid w:val="008A7CF0"/>
    <w:rsid w:val="008A7DA0"/>
    <w:rsid w:val="008A7ED5"/>
    <w:rsid w:val="008A7F21"/>
    <w:rsid w:val="008B01DA"/>
    <w:rsid w:val="008B0202"/>
    <w:rsid w:val="008B0251"/>
    <w:rsid w:val="008B036A"/>
    <w:rsid w:val="008B0411"/>
    <w:rsid w:val="008B0804"/>
    <w:rsid w:val="008B080E"/>
    <w:rsid w:val="008B082C"/>
    <w:rsid w:val="008B0925"/>
    <w:rsid w:val="008B09AA"/>
    <w:rsid w:val="008B09E1"/>
    <w:rsid w:val="008B09F9"/>
    <w:rsid w:val="008B0A16"/>
    <w:rsid w:val="008B0ABD"/>
    <w:rsid w:val="008B0AEB"/>
    <w:rsid w:val="008B0B51"/>
    <w:rsid w:val="008B0CD9"/>
    <w:rsid w:val="008B0D21"/>
    <w:rsid w:val="008B0E2D"/>
    <w:rsid w:val="008B0F0E"/>
    <w:rsid w:val="008B0FC1"/>
    <w:rsid w:val="008B1288"/>
    <w:rsid w:val="008B13C9"/>
    <w:rsid w:val="008B14F9"/>
    <w:rsid w:val="008B16B6"/>
    <w:rsid w:val="008B1768"/>
    <w:rsid w:val="008B17D8"/>
    <w:rsid w:val="008B17E1"/>
    <w:rsid w:val="008B17E7"/>
    <w:rsid w:val="008B1964"/>
    <w:rsid w:val="008B1BA8"/>
    <w:rsid w:val="008B1BE8"/>
    <w:rsid w:val="008B1BF0"/>
    <w:rsid w:val="008B1CE0"/>
    <w:rsid w:val="008B1D4C"/>
    <w:rsid w:val="008B1EEE"/>
    <w:rsid w:val="008B203C"/>
    <w:rsid w:val="008B2277"/>
    <w:rsid w:val="008B22BE"/>
    <w:rsid w:val="008B22D2"/>
    <w:rsid w:val="008B23A7"/>
    <w:rsid w:val="008B23CF"/>
    <w:rsid w:val="008B271D"/>
    <w:rsid w:val="008B2B11"/>
    <w:rsid w:val="008B2CE6"/>
    <w:rsid w:val="008B2E25"/>
    <w:rsid w:val="008B30E4"/>
    <w:rsid w:val="008B31BC"/>
    <w:rsid w:val="008B3315"/>
    <w:rsid w:val="008B3414"/>
    <w:rsid w:val="008B351D"/>
    <w:rsid w:val="008B368B"/>
    <w:rsid w:val="008B36E6"/>
    <w:rsid w:val="008B3764"/>
    <w:rsid w:val="008B3799"/>
    <w:rsid w:val="008B3952"/>
    <w:rsid w:val="008B399D"/>
    <w:rsid w:val="008B39AE"/>
    <w:rsid w:val="008B3ACB"/>
    <w:rsid w:val="008B3BA7"/>
    <w:rsid w:val="008B3CB6"/>
    <w:rsid w:val="008B3F7A"/>
    <w:rsid w:val="008B3F8A"/>
    <w:rsid w:val="008B407F"/>
    <w:rsid w:val="008B413A"/>
    <w:rsid w:val="008B415C"/>
    <w:rsid w:val="008B41C2"/>
    <w:rsid w:val="008B41C3"/>
    <w:rsid w:val="008B4293"/>
    <w:rsid w:val="008B4355"/>
    <w:rsid w:val="008B43DF"/>
    <w:rsid w:val="008B4415"/>
    <w:rsid w:val="008B459B"/>
    <w:rsid w:val="008B4807"/>
    <w:rsid w:val="008B4837"/>
    <w:rsid w:val="008B48E6"/>
    <w:rsid w:val="008B49D4"/>
    <w:rsid w:val="008B4A35"/>
    <w:rsid w:val="008B4BD9"/>
    <w:rsid w:val="008B4C01"/>
    <w:rsid w:val="008B4C4F"/>
    <w:rsid w:val="008B4DB6"/>
    <w:rsid w:val="008B4F1E"/>
    <w:rsid w:val="008B5007"/>
    <w:rsid w:val="008B50AA"/>
    <w:rsid w:val="008B514C"/>
    <w:rsid w:val="008B5206"/>
    <w:rsid w:val="008B5208"/>
    <w:rsid w:val="008B5272"/>
    <w:rsid w:val="008B5340"/>
    <w:rsid w:val="008B5458"/>
    <w:rsid w:val="008B545C"/>
    <w:rsid w:val="008B567C"/>
    <w:rsid w:val="008B58A5"/>
    <w:rsid w:val="008B58E5"/>
    <w:rsid w:val="008B58F9"/>
    <w:rsid w:val="008B59DD"/>
    <w:rsid w:val="008B5AC2"/>
    <w:rsid w:val="008B5C91"/>
    <w:rsid w:val="008B5D6C"/>
    <w:rsid w:val="008B5DDC"/>
    <w:rsid w:val="008B5F30"/>
    <w:rsid w:val="008B5FCC"/>
    <w:rsid w:val="008B6011"/>
    <w:rsid w:val="008B60DA"/>
    <w:rsid w:val="008B6232"/>
    <w:rsid w:val="008B62A2"/>
    <w:rsid w:val="008B62A5"/>
    <w:rsid w:val="008B62AC"/>
    <w:rsid w:val="008B63DB"/>
    <w:rsid w:val="008B64BE"/>
    <w:rsid w:val="008B6526"/>
    <w:rsid w:val="008B6558"/>
    <w:rsid w:val="008B65FB"/>
    <w:rsid w:val="008B68AD"/>
    <w:rsid w:val="008B68CD"/>
    <w:rsid w:val="008B697B"/>
    <w:rsid w:val="008B6988"/>
    <w:rsid w:val="008B6A3A"/>
    <w:rsid w:val="008B6A75"/>
    <w:rsid w:val="008B6CF7"/>
    <w:rsid w:val="008B7143"/>
    <w:rsid w:val="008B7169"/>
    <w:rsid w:val="008B71BE"/>
    <w:rsid w:val="008B71F7"/>
    <w:rsid w:val="008B7265"/>
    <w:rsid w:val="008B7267"/>
    <w:rsid w:val="008B72D5"/>
    <w:rsid w:val="008B735B"/>
    <w:rsid w:val="008B7439"/>
    <w:rsid w:val="008B7468"/>
    <w:rsid w:val="008B74AC"/>
    <w:rsid w:val="008B7615"/>
    <w:rsid w:val="008B7737"/>
    <w:rsid w:val="008B7830"/>
    <w:rsid w:val="008B791C"/>
    <w:rsid w:val="008B7A52"/>
    <w:rsid w:val="008B7A54"/>
    <w:rsid w:val="008B7B52"/>
    <w:rsid w:val="008B7B65"/>
    <w:rsid w:val="008B7C96"/>
    <w:rsid w:val="008B7C9E"/>
    <w:rsid w:val="008B7CF2"/>
    <w:rsid w:val="008B7D03"/>
    <w:rsid w:val="008B7DB0"/>
    <w:rsid w:val="008B7E76"/>
    <w:rsid w:val="008B7F8F"/>
    <w:rsid w:val="008B7FC9"/>
    <w:rsid w:val="008C000A"/>
    <w:rsid w:val="008C00A6"/>
    <w:rsid w:val="008C00B0"/>
    <w:rsid w:val="008C0213"/>
    <w:rsid w:val="008C0429"/>
    <w:rsid w:val="008C044E"/>
    <w:rsid w:val="008C053D"/>
    <w:rsid w:val="008C0597"/>
    <w:rsid w:val="008C06B0"/>
    <w:rsid w:val="008C07B4"/>
    <w:rsid w:val="008C07CB"/>
    <w:rsid w:val="008C0A6A"/>
    <w:rsid w:val="008C0AA3"/>
    <w:rsid w:val="008C0D0D"/>
    <w:rsid w:val="008C0D72"/>
    <w:rsid w:val="008C0E88"/>
    <w:rsid w:val="008C1052"/>
    <w:rsid w:val="008C1090"/>
    <w:rsid w:val="008C10D0"/>
    <w:rsid w:val="008C1366"/>
    <w:rsid w:val="008C1441"/>
    <w:rsid w:val="008C156F"/>
    <w:rsid w:val="008C15E0"/>
    <w:rsid w:val="008C178E"/>
    <w:rsid w:val="008C1792"/>
    <w:rsid w:val="008C1864"/>
    <w:rsid w:val="008C1955"/>
    <w:rsid w:val="008C1AD4"/>
    <w:rsid w:val="008C1B34"/>
    <w:rsid w:val="008C1C33"/>
    <w:rsid w:val="008C1C80"/>
    <w:rsid w:val="008C1CF4"/>
    <w:rsid w:val="008C1CF6"/>
    <w:rsid w:val="008C1D0A"/>
    <w:rsid w:val="008C1D71"/>
    <w:rsid w:val="008C1D9C"/>
    <w:rsid w:val="008C1ED6"/>
    <w:rsid w:val="008C1F24"/>
    <w:rsid w:val="008C21AA"/>
    <w:rsid w:val="008C2254"/>
    <w:rsid w:val="008C225E"/>
    <w:rsid w:val="008C2540"/>
    <w:rsid w:val="008C2551"/>
    <w:rsid w:val="008C2565"/>
    <w:rsid w:val="008C25F7"/>
    <w:rsid w:val="008C2625"/>
    <w:rsid w:val="008C26BA"/>
    <w:rsid w:val="008C283E"/>
    <w:rsid w:val="008C28EC"/>
    <w:rsid w:val="008C294F"/>
    <w:rsid w:val="008C297F"/>
    <w:rsid w:val="008C29BA"/>
    <w:rsid w:val="008C2A64"/>
    <w:rsid w:val="008C2A9A"/>
    <w:rsid w:val="008C2B7D"/>
    <w:rsid w:val="008C2C05"/>
    <w:rsid w:val="008C2C19"/>
    <w:rsid w:val="008C2C25"/>
    <w:rsid w:val="008C2CB6"/>
    <w:rsid w:val="008C2F12"/>
    <w:rsid w:val="008C2F66"/>
    <w:rsid w:val="008C303D"/>
    <w:rsid w:val="008C3046"/>
    <w:rsid w:val="008C30D2"/>
    <w:rsid w:val="008C3120"/>
    <w:rsid w:val="008C3214"/>
    <w:rsid w:val="008C3325"/>
    <w:rsid w:val="008C333F"/>
    <w:rsid w:val="008C33F1"/>
    <w:rsid w:val="008C34AB"/>
    <w:rsid w:val="008C352B"/>
    <w:rsid w:val="008C3596"/>
    <w:rsid w:val="008C3636"/>
    <w:rsid w:val="008C3995"/>
    <w:rsid w:val="008C39FB"/>
    <w:rsid w:val="008C3AE3"/>
    <w:rsid w:val="008C3B15"/>
    <w:rsid w:val="008C3B5D"/>
    <w:rsid w:val="008C3B80"/>
    <w:rsid w:val="008C3D56"/>
    <w:rsid w:val="008C3E3A"/>
    <w:rsid w:val="008C3E4C"/>
    <w:rsid w:val="008C3FD0"/>
    <w:rsid w:val="008C3FF6"/>
    <w:rsid w:val="008C4107"/>
    <w:rsid w:val="008C4255"/>
    <w:rsid w:val="008C43D6"/>
    <w:rsid w:val="008C4418"/>
    <w:rsid w:val="008C442D"/>
    <w:rsid w:val="008C450F"/>
    <w:rsid w:val="008C4572"/>
    <w:rsid w:val="008C45B6"/>
    <w:rsid w:val="008C4871"/>
    <w:rsid w:val="008C48F4"/>
    <w:rsid w:val="008C49FC"/>
    <w:rsid w:val="008C4A10"/>
    <w:rsid w:val="008C4ACD"/>
    <w:rsid w:val="008C4B78"/>
    <w:rsid w:val="008C4BF6"/>
    <w:rsid w:val="008C4C95"/>
    <w:rsid w:val="008C4CF3"/>
    <w:rsid w:val="008C4DE3"/>
    <w:rsid w:val="008C4DF9"/>
    <w:rsid w:val="008C4EFE"/>
    <w:rsid w:val="008C4F1D"/>
    <w:rsid w:val="008C4F72"/>
    <w:rsid w:val="008C4FE1"/>
    <w:rsid w:val="008C504A"/>
    <w:rsid w:val="008C5178"/>
    <w:rsid w:val="008C524B"/>
    <w:rsid w:val="008C52A6"/>
    <w:rsid w:val="008C52B4"/>
    <w:rsid w:val="008C530F"/>
    <w:rsid w:val="008C54A2"/>
    <w:rsid w:val="008C5587"/>
    <w:rsid w:val="008C56A3"/>
    <w:rsid w:val="008C56C1"/>
    <w:rsid w:val="008C56D9"/>
    <w:rsid w:val="008C59BB"/>
    <w:rsid w:val="008C5B23"/>
    <w:rsid w:val="008C5BE6"/>
    <w:rsid w:val="008C5C9B"/>
    <w:rsid w:val="008C5CC5"/>
    <w:rsid w:val="008C5CDF"/>
    <w:rsid w:val="008C5EA7"/>
    <w:rsid w:val="008C5F04"/>
    <w:rsid w:val="008C5F06"/>
    <w:rsid w:val="008C6046"/>
    <w:rsid w:val="008C6078"/>
    <w:rsid w:val="008C6195"/>
    <w:rsid w:val="008C635E"/>
    <w:rsid w:val="008C6382"/>
    <w:rsid w:val="008C64E9"/>
    <w:rsid w:val="008C65EE"/>
    <w:rsid w:val="008C67BE"/>
    <w:rsid w:val="008C67CF"/>
    <w:rsid w:val="008C680B"/>
    <w:rsid w:val="008C687E"/>
    <w:rsid w:val="008C69C7"/>
    <w:rsid w:val="008C69DE"/>
    <w:rsid w:val="008C6A80"/>
    <w:rsid w:val="008C6B8E"/>
    <w:rsid w:val="008C6C9C"/>
    <w:rsid w:val="008C6D19"/>
    <w:rsid w:val="008C6E9E"/>
    <w:rsid w:val="008C6ED4"/>
    <w:rsid w:val="008C6F96"/>
    <w:rsid w:val="008C6FA1"/>
    <w:rsid w:val="008C711A"/>
    <w:rsid w:val="008C71B7"/>
    <w:rsid w:val="008C7234"/>
    <w:rsid w:val="008C7259"/>
    <w:rsid w:val="008C7269"/>
    <w:rsid w:val="008C7274"/>
    <w:rsid w:val="008C7304"/>
    <w:rsid w:val="008C7366"/>
    <w:rsid w:val="008C73BE"/>
    <w:rsid w:val="008C74CE"/>
    <w:rsid w:val="008C7504"/>
    <w:rsid w:val="008C7516"/>
    <w:rsid w:val="008C7591"/>
    <w:rsid w:val="008C7722"/>
    <w:rsid w:val="008C7735"/>
    <w:rsid w:val="008C7741"/>
    <w:rsid w:val="008C7A96"/>
    <w:rsid w:val="008C7AB8"/>
    <w:rsid w:val="008C7B4A"/>
    <w:rsid w:val="008C7CB9"/>
    <w:rsid w:val="008C7CD7"/>
    <w:rsid w:val="008C7D51"/>
    <w:rsid w:val="008C7DED"/>
    <w:rsid w:val="008C7E16"/>
    <w:rsid w:val="008D005B"/>
    <w:rsid w:val="008D006E"/>
    <w:rsid w:val="008D0104"/>
    <w:rsid w:val="008D0602"/>
    <w:rsid w:val="008D0633"/>
    <w:rsid w:val="008D09C1"/>
    <w:rsid w:val="008D0A58"/>
    <w:rsid w:val="008D0ACE"/>
    <w:rsid w:val="008D0B1C"/>
    <w:rsid w:val="008D0CB2"/>
    <w:rsid w:val="008D0E30"/>
    <w:rsid w:val="008D0E4B"/>
    <w:rsid w:val="008D0F6E"/>
    <w:rsid w:val="008D1190"/>
    <w:rsid w:val="008D127D"/>
    <w:rsid w:val="008D1331"/>
    <w:rsid w:val="008D13A3"/>
    <w:rsid w:val="008D13B3"/>
    <w:rsid w:val="008D146C"/>
    <w:rsid w:val="008D160A"/>
    <w:rsid w:val="008D184E"/>
    <w:rsid w:val="008D18F2"/>
    <w:rsid w:val="008D1ADC"/>
    <w:rsid w:val="008D1DD3"/>
    <w:rsid w:val="008D1EAC"/>
    <w:rsid w:val="008D2120"/>
    <w:rsid w:val="008D22AA"/>
    <w:rsid w:val="008D22B7"/>
    <w:rsid w:val="008D22F3"/>
    <w:rsid w:val="008D2363"/>
    <w:rsid w:val="008D23CF"/>
    <w:rsid w:val="008D25E7"/>
    <w:rsid w:val="008D264E"/>
    <w:rsid w:val="008D2673"/>
    <w:rsid w:val="008D27D3"/>
    <w:rsid w:val="008D27D7"/>
    <w:rsid w:val="008D2AEE"/>
    <w:rsid w:val="008D2B42"/>
    <w:rsid w:val="008D2BCE"/>
    <w:rsid w:val="008D2C50"/>
    <w:rsid w:val="008D2E59"/>
    <w:rsid w:val="008D30A4"/>
    <w:rsid w:val="008D3272"/>
    <w:rsid w:val="008D32B4"/>
    <w:rsid w:val="008D32C8"/>
    <w:rsid w:val="008D3305"/>
    <w:rsid w:val="008D33D6"/>
    <w:rsid w:val="008D344A"/>
    <w:rsid w:val="008D34BB"/>
    <w:rsid w:val="008D355A"/>
    <w:rsid w:val="008D3702"/>
    <w:rsid w:val="008D3705"/>
    <w:rsid w:val="008D3B41"/>
    <w:rsid w:val="008D3BEB"/>
    <w:rsid w:val="008D3BF4"/>
    <w:rsid w:val="008D3C78"/>
    <w:rsid w:val="008D3CC2"/>
    <w:rsid w:val="008D3DBC"/>
    <w:rsid w:val="008D3E25"/>
    <w:rsid w:val="008D3FD2"/>
    <w:rsid w:val="008D41C3"/>
    <w:rsid w:val="008D41DF"/>
    <w:rsid w:val="008D421D"/>
    <w:rsid w:val="008D4297"/>
    <w:rsid w:val="008D4406"/>
    <w:rsid w:val="008D44BD"/>
    <w:rsid w:val="008D44D7"/>
    <w:rsid w:val="008D458E"/>
    <w:rsid w:val="008D47CB"/>
    <w:rsid w:val="008D480D"/>
    <w:rsid w:val="008D4B6C"/>
    <w:rsid w:val="008D4C41"/>
    <w:rsid w:val="008D4C78"/>
    <w:rsid w:val="008D4D33"/>
    <w:rsid w:val="008D4E07"/>
    <w:rsid w:val="008D4E9B"/>
    <w:rsid w:val="008D4ECA"/>
    <w:rsid w:val="008D4EFE"/>
    <w:rsid w:val="008D4F11"/>
    <w:rsid w:val="008D5206"/>
    <w:rsid w:val="008D5223"/>
    <w:rsid w:val="008D523B"/>
    <w:rsid w:val="008D532D"/>
    <w:rsid w:val="008D54DF"/>
    <w:rsid w:val="008D55C9"/>
    <w:rsid w:val="008D5652"/>
    <w:rsid w:val="008D579F"/>
    <w:rsid w:val="008D58CD"/>
    <w:rsid w:val="008D593B"/>
    <w:rsid w:val="008D5B07"/>
    <w:rsid w:val="008D5B8F"/>
    <w:rsid w:val="008D5BB5"/>
    <w:rsid w:val="008D5BFA"/>
    <w:rsid w:val="008D5C69"/>
    <w:rsid w:val="008D6109"/>
    <w:rsid w:val="008D629E"/>
    <w:rsid w:val="008D62B9"/>
    <w:rsid w:val="008D6312"/>
    <w:rsid w:val="008D6416"/>
    <w:rsid w:val="008D6468"/>
    <w:rsid w:val="008D650B"/>
    <w:rsid w:val="008D650F"/>
    <w:rsid w:val="008D65EC"/>
    <w:rsid w:val="008D67F3"/>
    <w:rsid w:val="008D695C"/>
    <w:rsid w:val="008D6AB9"/>
    <w:rsid w:val="008D6AF2"/>
    <w:rsid w:val="008D6B43"/>
    <w:rsid w:val="008D6D5E"/>
    <w:rsid w:val="008D6D71"/>
    <w:rsid w:val="008D6DC3"/>
    <w:rsid w:val="008D6EF2"/>
    <w:rsid w:val="008D6FC6"/>
    <w:rsid w:val="008D6FFB"/>
    <w:rsid w:val="008D706A"/>
    <w:rsid w:val="008D70F8"/>
    <w:rsid w:val="008D7138"/>
    <w:rsid w:val="008D7171"/>
    <w:rsid w:val="008D729A"/>
    <w:rsid w:val="008D7544"/>
    <w:rsid w:val="008D75D2"/>
    <w:rsid w:val="008D76EA"/>
    <w:rsid w:val="008D77C8"/>
    <w:rsid w:val="008D77F1"/>
    <w:rsid w:val="008D799B"/>
    <w:rsid w:val="008D7B29"/>
    <w:rsid w:val="008D7C38"/>
    <w:rsid w:val="008D7CE1"/>
    <w:rsid w:val="008D7EEE"/>
    <w:rsid w:val="008D7F85"/>
    <w:rsid w:val="008E0020"/>
    <w:rsid w:val="008E00A6"/>
    <w:rsid w:val="008E00DF"/>
    <w:rsid w:val="008E00F3"/>
    <w:rsid w:val="008E0114"/>
    <w:rsid w:val="008E013C"/>
    <w:rsid w:val="008E027C"/>
    <w:rsid w:val="008E02A5"/>
    <w:rsid w:val="008E02E2"/>
    <w:rsid w:val="008E02FC"/>
    <w:rsid w:val="008E03DA"/>
    <w:rsid w:val="008E04E6"/>
    <w:rsid w:val="008E0665"/>
    <w:rsid w:val="008E077C"/>
    <w:rsid w:val="008E08C0"/>
    <w:rsid w:val="008E0A0E"/>
    <w:rsid w:val="008E0E18"/>
    <w:rsid w:val="008E0FD1"/>
    <w:rsid w:val="008E1043"/>
    <w:rsid w:val="008E1182"/>
    <w:rsid w:val="008E11F3"/>
    <w:rsid w:val="008E12A3"/>
    <w:rsid w:val="008E1307"/>
    <w:rsid w:val="008E137F"/>
    <w:rsid w:val="008E1494"/>
    <w:rsid w:val="008E1672"/>
    <w:rsid w:val="008E16BD"/>
    <w:rsid w:val="008E16EE"/>
    <w:rsid w:val="008E174C"/>
    <w:rsid w:val="008E19A2"/>
    <w:rsid w:val="008E1A66"/>
    <w:rsid w:val="008E1AAA"/>
    <w:rsid w:val="008E1BA3"/>
    <w:rsid w:val="008E1C17"/>
    <w:rsid w:val="008E1D71"/>
    <w:rsid w:val="008E1FC1"/>
    <w:rsid w:val="008E256F"/>
    <w:rsid w:val="008E26F4"/>
    <w:rsid w:val="008E2709"/>
    <w:rsid w:val="008E2892"/>
    <w:rsid w:val="008E28CC"/>
    <w:rsid w:val="008E28E6"/>
    <w:rsid w:val="008E29E9"/>
    <w:rsid w:val="008E29F3"/>
    <w:rsid w:val="008E2B0E"/>
    <w:rsid w:val="008E2BAD"/>
    <w:rsid w:val="008E2EB9"/>
    <w:rsid w:val="008E31DD"/>
    <w:rsid w:val="008E3268"/>
    <w:rsid w:val="008E33A4"/>
    <w:rsid w:val="008E33B7"/>
    <w:rsid w:val="008E3407"/>
    <w:rsid w:val="008E35E4"/>
    <w:rsid w:val="008E390F"/>
    <w:rsid w:val="008E3926"/>
    <w:rsid w:val="008E3A31"/>
    <w:rsid w:val="008E3A66"/>
    <w:rsid w:val="008E3B2E"/>
    <w:rsid w:val="008E3B5E"/>
    <w:rsid w:val="008E3BC2"/>
    <w:rsid w:val="008E3C54"/>
    <w:rsid w:val="008E3C91"/>
    <w:rsid w:val="008E3E68"/>
    <w:rsid w:val="008E40C2"/>
    <w:rsid w:val="008E41B1"/>
    <w:rsid w:val="008E44E6"/>
    <w:rsid w:val="008E4621"/>
    <w:rsid w:val="008E4715"/>
    <w:rsid w:val="008E47E4"/>
    <w:rsid w:val="008E4A67"/>
    <w:rsid w:val="008E4A6A"/>
    <w:rsid w:val="008E4AF8"/>
    <w:rsid w:val="008E4B54"/>
    <w:rsid w:val="008E4C4C"/>
    <w:rsid w:val="008E4D6E"/>
    <w:rsid w:val="008E4DED"/>
    <w:rsid w:val="008E4EAD"/>
    <w:rsid w:val="008E4F64"/>
    <w:rsid w:val="008E4FC4"/>
    <w:rsid w:val="008E5021"/>
    <w:rsid w:val="008E5222"/>
    <w:rsid w:val="008E52D6"/>
    <w:rsid w:val="008E53DC"/>
    <w:rsid w:val="008E53E5"/>
    <w:rsid w:val="008E552A"/>
    <w:rsid w:val="008E556E"/>
    <w:rsid w:val="008E55AB"/>
    <w:rsid w:val="008E55C4"/>
    <w:rsid w:val="008E55EA"/>
    <w:rsid w:val="008E55F5"/>
    <w:rsid w:val="008E5658"/>
    <w:rsid w:val="008E56ED"/>
    <w:rsid w:val="008E5772"/>
    <w:rsid w:val="008E57E5"/>
    <w:rsid w:val="008E58DA"/>
    <w:rsid w:val="008E58E1"/>
    <w:rsid w:val="008E5944"/>
    <w:rsid w:val="008E595E"/>
    <w:rsid w:val="008E5977"/>
    <w:rsid w:val="008E5A59"/>
    <w:rsid w:val="008E5BBE"/>
    <w:rsid w:val="008E5E1C"/>
    <w:rsid w:val="008E5F38"/>
    <w:rsid w:val="008E5F4E"/>
    <w:rsid w:val="008E61A6"/>
    <w:rsid w:val="008E6320"/>
    <w:rsid w:val="008E6531"/>
    <w:rsid w:val="008E6554"/>
    <w:rsid w:val="008E65D4"/>
    <w:rsid w:val="008E65D6"/>
    <w:rsid w:val="008E66A3"/>
    <w:rsid w:val="008E6770"/>
    <w:rsid w:val="008E68A5"/>
    <w:rsid w:val="008E6929"/>
    <w:rsid w:val="008E6992"/>
    <w:rsid w:val="008E6B98"/>
    <w:rsid w:val="008E6BE0"/>
    <w:rsid w:val="008E6C3D"/>
    <w:rsid w:val="008E6D9B"/>
    <w:rsid w:val="008E6E41"/>
    <w:rsid w:val="008E6F90"/>
    <w:rsid w:val="008E7059"/>
    <w:rsid w:val="008E706A"/>
    <w:rsid w:val="008E714E"/>
    <w:rsid w:val="008E71C5"/>
    <w:rsid w:val="008E7282"/>
    <w:rsid w:val="008E73A0"/>
    <w:rsid w:val="008E73E6"/>
    <w:rsid w:val="008E74B9"/>
    <w:rsid w:val="008E756E"/>
    <w:rsid w:val="008E7576"/>
    <w:rsid w:val="008E75A5"/>
    <w:rsid w:val="008E7654"/>
    <w:rsid w:val="008E76F4"/>
    <w:rsid w:val="008E7871"/>
    <w:rsid w:val="008E788C"/>
    <w:rsid w:val="008E7970"/>
    <w:rsid w:val="008E7994"/>
    <w:rsid w:val="008E7A65"/>
    <w:rsid w:val="008E7A77"/>
    <w:rsid w:val="008E7A9F"/>
    <w:rsid w:val="008E7B23"/>
    <w:rsid w:val="008E7E08"/>
    <w:rsid w:val="008F0213"/>
    <w:rsid w:val="008F0375"/>
    <w:rsid w:val="008F03EB"/>
    <w:rsid w:val="008F0574"/>
    <w:rsid w:val="008F070C"/>
    <w:rsid w:val="008F086A"/>
    <w:rsid w:val="008F0897"/>
    <w:rsid w:val="008F09DA"/>
    <w:rsid w:val="008F0B9A"/>
    <w:rsid w:val="008F0CCD"/>
    <w:rsid w:val="008F1019"/>
    <w:rsid w:val="008F1194"/>
    <w:rsid w:val="008F11F7"/>
    <w:rsid w:val="008F1365"/>
    <w:rsid w:val="008F13B3"/>
    <w:rsid w:val="008F149D"/>
    <w:rsid w:val="008F15C8"/>
    <w:rsid w:val="008F17B6"/>
    <w:rsid w:val="008F17F7"/>
    <w:rsid w:val="008F18AE"/>
    <w:rsid w:val="008F198D"/>
    <w:rsid w:val="008F19F0"/>
    <w:rsid w:val="008F1AC3"/>
    <w:rsid w:val="008F1AC4"/>
    <w:rsid w:val="008F1B57"/>
    <w:rsid w:val="008F1B60"/>
    <w:rsid w:val="008F1B93"/>
    <w:rsid w:val="008F1BE4"/>
    <w:rsid w:val="008F1CA5"/>
    <w:rsid w:val="008F1CE6"/>
    <w:rsid w:val="008F1CEC"/>
    <w:rsid w:val="008F1D2D"/>
    <w:rsid w:val="008F1E64"/>
    <w:rsid w:val="008F1E6B"/>
    <w:rsid w:val="008F1EEB"/>
    <w:rsid w:val="008F20D2"/>
    <w:rsid w:val="008F21FA"/>
    <w:rsid w:val="008F23B0"/>
    <w:rsid w:val="008F2624"/>
    <w:rsid w:val="008F2654"/>
    <w:rsid w:val="008F2962"/>
    <w:rsid w:val="008F2968"/>
    <w:rsid w:val="008F299A"/>
    <w:rsid w:val="008F29D1"/>
    <w:rsid w:val="008F2A0D"/>
    <w:rsid w:val="008F2B2D"/>
    <w:rsid w:val="008F2C1F"/>
    <w:rsid w:val="008F2E54"/>
    <w:rsid w:val="008F2F61"/>
    <w:rsid w:val="008F3059"/>
    <w:rsid w:val="008F334B"/>
    <w:rsid w:val="008F33AD"/>
    <w:rsid w:val="008F345D"/>
    <w:rsid w:val="008F3480"/>
    <w:rsid w:val="008F3673"/>
    <w:rsid w:val="008F3776"/>
    <w:rsid w:val="008F381B"/>
    <w:rsid w:val="008F3904"/>
    <w:rsid w:val="008F397D"/>
    <w:rsid w:val="008F3A8F"/>
    <w:rsid w:val="008F3AB3"/>
    <w:rsid w:val="008F3B79"/>
    <w:rsid w:val="008F3BAF"/>
    <w:rsid w:val="008F3C3E"/>
    <w:rsid w:val="008F3C8C"/>
    <w:rsid w:val="008F3D32"/>
    <w:rsid w:val="008F3D60"/>
    <w:rsid w:val="008F3D7B"/>
    <w:rsid w:val="008F3DFD"/>
    <w:rsid w:val="008F3F0C"/>
    <w:rsid w:val="008F3F40"/>
    <w:rsid w:val="008F41D6"/>
    <w:rsid w:val="008F4295"/>
    <w:rsid w:val="008F43C3"/>
    <w:rsid w:val="008F4625"/>
    <w:rsid w:val="008F475E"/>
    <w:rsid w:val="008F4907"/>
    <w:rsid w:val="008F4995"/>
    <w:rsid w:val="008F4999"/>
    <w:rsid w:val="008F4AE4"/>
    <w:rsid w:val="008F4B29"/>
    <w:rsid w:val="008F4C05"/>
    <w:rsid w:val="008F4E60"/>
    <w:rsid w:val="008F519E"/>
    <w:rsid w:val="008F52C6"/>
    <w:rsid w:val="008F52DC"/>
    <w:rsid w:val="008F5309"/>
    <w:rsid w:val="008F53BC"/>
    <w:rsid w:val="008F547F"/>
    <w:rsid w:val="008F5647"/>
    <w:rsid w:val="008F571D"/>
    <w:rsid w:val="008F5832"/>
    <w:rsid w:val="008F590A"/>
    <w:rsid w:val="008F5944"/>
    <w:rsid w:val="008F5956"/>
    <w:rsid w:val="008F59D9"/>
    <w:rsid w:val="008F5A1F"/>
    <w:rsid w:val="008F5A5F"/>
    <w:rsid w:val="008F5A81"/>
    <w:rsid w:val="008F5A8B"/>
    <w:rsid w:val="008F5B79"/>
    <w:rsid w:val="008F5B82"/>
    <w:rsid w:val="008F5DC4"/>
    <w:rsid w:val="008F5E4D"/>
    <w:rsid w:val="008F5EE8"/>
    <w:rsid w:val="008F603F"/>
    <w:rsid w:val="008F60D0"/>
    <w:rsid w:val="008F62B4"/>
    <w:rsid w:val="008F6368"/>
    <w:rsid w:val="008F64B6"/>
    <w:rsid w:val="008F6647"/>
    <w:rsid w:val="008F66DA"/>
    <w:rsid w:val="008F6802"/>
    <w:rsid w:val="008F68CB"/>
    <w:rsid w:val="008F6972"/>
    <w:rsid w:val="008F6975"/>
    <w:rsid w:val="008F69AB"/>
    <w:rsid w:val="008F69FC"/>
    <w:rsid w:val="008F6A6B"/>
    <w:rsid w:val="008F6C98"/>
    <w:rsid w:val="008F6D4D"/>
    <w:rsid w:val="008F6D59"/>
    <w:rsid w:val="008F6E39"/>
    <w:rsid w:val="008F6F4B"/>
    <w:rsid w:val="008F6F7B"/>
    <w:rsid w:val="008F721C"/>
    <w:rsid w:val="008F778F"/>
    <w:rsid w:val="008F77CB"/>
    <w:rsid w:val="008F788C"/>
    <w:rsid w:val="008F798A"/>
    <w:rsid w:val="008F7AD7"/>
    <w:rsid w:val="008F7D3D"/>
    <w:rsid w:val="008F7DF3"/>
    <w:rsid w:val="008F7E61"/>
    <w:rsid w:val="008F7E82"/>
    <w:rsid w:val="008F7EC3"/>
    <w:rsid w:val="008F7F31"/>
    <w:rsid w:val="008F7F6C"/>
    <w:rsid w:val="008F7F97"/>
    <w:rsid w:val="0090008C"/>
    <w:rsid w:val="0090011E"/>
    <w:rsid w:val="00900187"/>
    <w:rsid w:val="009002A4"/>
    <w:rsid w:val="00900469"/>
    <w:rsid w:val="00900521"/>
    <w:rsid w:val="009005B5"/>
    <w:rsid w:val="0090061B"/>
    <w:rsid w:val="009006BC"/>
    <w:rsid w:val="009006F6"/>
    <w:rsid w:val="00900736"/>
    <w:rsid w:val="009007AB"/>
    <w:rsid w:val="00900902"/>
    <w:rsid w:val="009009BE"/>
    <w:rsid w:val="00900BD3"/>
    <w:rsid w:val="00900BEC"/>
    <w:rsid w:val="00900CBE"/>
    <w:rsid w:val="00900E50"/>
    <w:rsid w:val="00900EEF"/>
    <w:rsid w:val="00900FC2"/>
    <w:rsid w:val="009011F4"/>
    <w:rsid w:val="00901207"/>
    <w:rsid w:val="0090130A"/>
    <w:rsid w:val="0090140C"/>
    <w:rsid w:val="00901421"/>
    <w:rsid w:val="0090157F"/>
    <w:rsid w:val="009016DD"/>
    <w:rsid w:val="0090180A"/>
    <w:rsid w:val="009019CD"/>
    <w:rsid w:val="00901B8C"/>
    <w:rsid w:val="00901BCA"/>
    <w:rsid w:val="00901CCD"/>
    <w:rsid w:val="00901CCF"/>
    <w:rsid w:val="00901CD2"/>
    <w:rsid w:val="00901E4F"/>
    <w:rsid w:val="00901F1D"/>
    <w:rsid w:val="00901F67"/>
    <w:rsid w:val="00901F78"/>
    <w:rsid w:val="00901F7C"/>
    <w:rsid w:val="0090223F"/>
    <w:rsid w:val="00902270"/>
    <w:rsid w:val="00902363"/>
    <w:rsid w:val="0090239A"/>
    <w:rsid w:val="0090246B"/>
    <w:rsid w:val="0090248D"/>
    <w:rsid w:val="00902648"/>
    <w:rsid w:val="00902656"/>
    <w:rsid w:val="00902676"/>
    <w:rsid w:val="009028AB"/>
    <w:rsid w:val="009028B0"/>
    <w:rsid w:val="009028EE"/>
    <w:rsid w:val="00902AA5"/>
    <w:rsid w:val="00902B36"/>
    <w:rsid w:val="00902DCE"/>
    <w:rsid w:val="00902E37"/>
    <w:rsid w:val="00902F25"/>
    <w:rsid w:val="00902F44"/>
    <w:rsid w:val="00902F4B"/>
    <w:rsid w:val="00902F75"/>
    <w:rsid w:val="00903010"/>
    <w:rsid w:val="009030F9"/>
    <w:rsid w:val="00903107"/>
    <w:rsid w:val="0090331A"/>
    <w:rsid w:val="009035D0"/>
    <w:rsid w:val="009036A5"/>
    <w:rsid w:val="00903707"/>
    <w:rsid w:val="00903717"/>
    <w:rsid w:val="00903A42"/>
    <w:rsid w:val="00903B93"/>
    <w:rsid w:val="00903C48"/>
    <w:rsid w:val="00903D46"/>
    <w:rsid w:val="00903F2B"/>
    <w:rsid w:val="00903FA1"/>
    <w:rsid w:val="00904079"/>
    <w:rsid w:val="009040AC"/>
    <w:rsid w:val="0090415F"/>
    <w:rsid w:val="009043B5"/>
    <w:rsid w:val="0090458D"/>
    <w:rsid w:val="00904616"/>
    <w:rsid w:val="00904841"/>
    <w:rsid w:val="00904866"/>
    <w:rsid w:val="0090496F"/>
    <w:rsid w:val="009049D9"/>
    <w:rsid w:val="00904A59"/>
    <w:rsid w:val="00904B41"/>
    <w:rsid w:val="00904BF2"/>
    <w:rsid w:val="00904E8A"/>
    <w:rsid w:val="00904EC5"/>
    <w:rsid w:val="00905100"/>
    <w:rsid w:val="009052C1"/>
    <w:rsid w:val="00905474"/>
    <w:rsid w:val="00905591"/>
    <w:rsid w:val="009056B4"/>
    <w:rsid w:val="009056B6"/>
    <w:rsid w:val="009056F6"/>
    <w:rsid w:val="00905755"/>
    <w:rsid w:val="00905902"/>
    <w:rsid w:val="00905961"/>
    <w:rsid w:val="009059B4"/>
    <w:rsid w:val="009059C0"/>
    <w:rsid w:val="00905A5C"/>
    <w:rsid w:val="00905DA6"/>
    <w:rsid w:val="00905EB2"/>
    <w:rsid w:val="00905F37"/>
    <w:rsid w:val="00905FB6"/>
    <w:rsid w:val="00906043"/>
    <w:rsid w:val="009060B7"/>
    <w:rsid w:val="0090615A"/>
    <w:rsid w:val="0090618F"/>
    <w:rsid w:val="0090624E"/>
    <w:rsid w:val="0090641D"/>
    <w:rsid w:val="0090644B"/>
    <w:rsid w:val="0090644F"/>
    <w:rsid w:val="0090653B"/>
    <w:rsid w:val="00906679"/>
    <w:rsid w:val="00906808"/>
    <w:rsid w:val="009068CE"/>
    <w:rsid w:val="009068F3"/>
    <w:rsid w:val="00906A0E"/>
    <w:rsid w:val="00906CF9"/>
    <w:rsid w:val="00906D59"/>
    <w:rsid w:val="00906E98"/>
    <w:rsid w:val="00906EB7"/>
    <w:rsid w:val="00906F3F"/>
    <w:rsid w:val="00906F90"/>
    <w:rsid w:val="00907098"/>
    <w:rsid w:val="0090718E"/>
    <w:rsid w:val="00907226"/>
    <w:rsid w:val="00907250"/>
    <w:rsid w:val="00907314"/>
    <w:rsid w:val="00907336"/>
    <w:rsid w:val="00907437"/>
    <w:rsid w:val="00907524"/>
    <w:rsid w:val="00907723"/>
    <w:rsid w:val="0090776E"/>
    <w:rsid w:val="009077BD"/>
    <w:rsid w:val="00907912"/>
    <w:rsid w:val="00907A0D"/>
    <w:rsid w:val="00907B8C"/>
    <w:rsid w:val="00907C6B"/>
    <w:rsid w:val="00907D23"/>
    <w:rsid w:val="00907E35"/>
    <w:rsid w:val="00907F13"/>
    <w:rsid w:val="0091022F"/>
    <w:rsid w:val="0091024E"/>
    <w:rsid w:val="009102BD"/>
    <w:rsid w:val="0091041E"/>
    <w:rsid w:val="009104CE"/>
    <w:rsid w:val="00910626"/>
    <w:rsid w:val="00910637"/>
    <w:rsid w:val="0091085C"/>
    <w:rsid w:val="0091088A"/>
    <w:rsid w:val="009108DC"/>
    <w:rsid w:val="00910946"/>
    <w:rsid w:val="009109B1"/>
    <w:rsid w:val="00910AF8"/>
    <w:rsid w:val="00910C05"/>
    <w:rsid w:val="00910C52"/>
    <w:rsid w:val="00910D3D"/>
    <w:rsid w:val="00910E6A"/>
    <w:rsid w:val="00910F1C"/>
    <w:rsid w:val="00910F9F"/>
    <w:rsid w:val="009110CC"/>
    <w:rsid w:val="00911238"/>
    <w:rsid w:val="0091123B"/>
    <w:rsid w:val="0091127B"/>
    <w:rsid w:val="0091127C"/>
    <w:rsid w:val="0091159F"/>
    <w:rsid w:val="00911694"/>
    <w:rsid w:val="00911917"/>
    <w:rsid w:val="009119FB"/>
    <w:rsid w:val="00911B1A"/>
    <w:rsid w:val="00911BDF"/>
    <w:rsid w:val="00911CD4"/>
    <w:rsid w:val="00911D18"/>
    <w:rsid w:val="00911FF0"/>
    <w:rsid w:val="00912041"/>
    <w:rsid w:val="00912073"/>
    <w:rsid w:val="009120E7"/>
    <w:rsid w:val="009122F4"/>
    <w:rsid w:val="00912398"/>
    <w:rsid w:val="00912518"/>
    <w:rsid w:val="0091269C"/>
    <w:rsid w:val="009126F9"/>
    <w:rsid w:val="00912726"/>
    <w:rsid w:val="00912786"/>
    <w:rsid w:val="009127EC"/>
    <w:rsid w:val="009129C5"/>
    <w:rsid w:val="00912B48"/>
    <w:rsid w:val="00912D51"/>
    <w:rsid w:val="00912D8A"/>
    <w:rsid w:val="00912DFA"/>
    <w:rsid w:val="00912FFB"/>
    <w:rsid w:val="00913001"/>
    <w:rsid w:val="0091335C"/>
    <w:rsid w:val="009134AF"/>
    <w:rsid w:val="009134C0"/>
    <w:rsid w:val="009135D5"/>
    <w:rsid w:val="00913673"/>
    <w:rsid w:val="009136C1"/>
    <w:rsid w:val="009136DE"/>
    <w:rsid w:val="009136EF"/>
    <w:rsid w:val="009137AF"/>
    <w:rsid w:val="009137D5"/>
    <w:rsid w:val="00913856"/>
    <w:rsid w:val="009138FD"/>
    <w:rsid w:val="0091390E"/>
    <w:rsid w:val="00913BFA"/>
    <w:rsid w:val="00913E65"/>
    <w:rsid w:val="00913F89"/>
    <w:rsid w:val="009142A0"/>
    <w:rsid w:val="009142D1"/>
    <w:rsid w:val="0091435F"/>
    <w:rsid w:val="009144BE"/>
    <w:rsid w:val="00914713"/>
    <w:rsid w:val="00914833"/>
    <w:rsid w:val="00914902"/>
    <w:rsid w:val="009149B9"/>
    <w:rsid w:val="00914B22"/>
    <w:rsid w:val="00914B2C"/>
    <w:rsid w:val="00914BEB"/>
    <w:rsid w:val="00914DB4"/>
    <w:rsid w:val="00914FE7"/>
    <w:rsid w:val="00915141"/>
    <w:rsid w:val="00915226"/>
    <w:rsid w:val="00915484"/>
    <w:rsid w:val="00915535"/>
    <w:rsid w:val="00915597"/>
    <w:rsid w:val="0091566A"/>
    <w:rsid w:val="0091576F"/>
    <w:rsid w:val="00915804"/>
    <w:rsid w:val="00915A5F"/>
    <w:rsid w:val="00915AAB"/>
    <w:rsid w:val="00915BA4"/>
    <w:rsid w:val="00915C00"/>
    <w:rsid w:val="00915C0A"/>
    <w:rsid w:val="00915C3E"/>
    <w:rsid w:val="00915CA2"/>
    <w:rsid w:val="00915DCB"/>
    <w:rsid w:val="00915E67"/>
    <w:rsid w:val="00915E68"/>
    <w:rsid w:val="00915EBA"/>
    <w:rsid w:val="00915F4B"/>
    <w:rsid w:val="00915F64"/>
    <w:rsid w:val="00915FC0"/>
    <w:rsid w:val="00916010"/>
    <w:rsid w:val="009161E6"/>
    <w:rsid w:val="0091629F"/>
    <w:rsid w:val="009162F0"/>
    <w:rsid w:val="00916311"/>
    <w:rsid w:val="00916506"/>
    <w:rsid w:val="00916717"/>
    <w:rsid w:val="00916B65"/>
    <w:rsid w:val="00916BC4"/>
    <w:rsid w:val="00916DF1"/>
    <w:rsid w:val="00916E30"/>
    <w:rsid w:val="00916E34"/>
    <w:rsid w:val="00916F59"/>
    <w:rsid w:val="00917100"/>
    <w:rsid w:val="00917274"/>
    <w:rsid w:val="00917372"/>
    <w:rsid w:val="0091739C"/>
    <w:rsid w:val="00917470"/>
    <w:rsid w:val="009174AE"/>
    <w:rsid w:val="00917531"/>
    <w:rsid w:val="00917704"/>
    <w:rsid w:val="0091773F"/>
    <w:rsid w:val="00917863"/>
    <w:rsid w:val="0091796B"/>
    <w:rsid w:val="009179E4"/>
    <w:rsid w:val="00917B50"/>
    <w:rsid w:val="00917DC8"/>
    <w:rsid w:val="00917E7F"/>
    <w:rsid w:val="00917F0A"/>
    <w:rsid w:val="00920072"/>
    <w:rsid w:val="00920083"/>
    <w:rsid w:val="009200DF"/>
    <w:rsid w:val="009200E8"/>
    <w:rsid w:val="00920339"/>
    <w:rsid w:val="009204A5"/>
    <w:rsid w:val="00920526"/>
    <w:rsid w:val="009205E2"/>
    <w:rsid w:val="0092061D"/>
    <w:rsid w:val="0092069A"/>
    <w:rsid w:val="009206A5"/>
    <w:rsid w:val="00920785"/>
    <w:rsid w:val="009207F8"/>
    <w:rsid w:val="00920989"/>
    <w:rsid w:val="00920B41"/>
    <w:rsid w:val="00920C73"/>
    <w:rsid w:val="00920D52"/>
    <w:rsid w:val="00920D83"/>
    <w:rsid w:val="00920D95"/>
    <w:rsid w:val="00920E95"/>
    <w:rsid w:val="00920F30"/>
    <w:rsid w:val="0092110C"/>
    <w:rsid w:val="0092112F"/>
    <w:rsid w:val="0092114A"/>
    <w:rsid w:val="00921288"/>
    <w:rsid w:val="009212A3"/>
    <w:rsid w:val="00921347"/>
    <w:rsid w:val="00921373"/>
    <w:rsid w:val="00921508"/>
    <w:rsid w:val="00921590"/>
    <w:rsid w:val="009215E7"/>
    <w:rsid w:val="0092168B"/>
    <w:rsid w:val="00921766"/>
    <w:rsid w:val="00921846"/>
    <w:rsid w:val="00921934"/>
    <w:rsid w:val="00921A15"/>
    <w:rsid w:val="00921A19"/>
    <w:rsid w:val="00921C30"/>
    <w:rsid w:val="00921E9C"/>
    <w:rsid w:val="00921F86"/>
    <w:rsid w:val="00921F8C"/>
    <w:rsid w:val="00921F99"/>
    <w:rsid w:val="00921FBD"/>
    <w:rsid w:val="00922120"/>
    <w:rsid w:val="00922315"/>
    <w:rsid w:val="0092233D"/>
    <w:rsid w:val="0092236C"/>
    <w:rsid w:val="009223EC"/>
    <w:rsid w:val="00922523"/>
    <w:rsid w:val="0092254A"/>
    <w:rsid w:val="009226A8"/>
    <w:rsid w:val="009226C4"/>
    <w:rsid w:val="00922846"/>
    <w:rsid w:val="009228F3"/>
    <w:rsid w:val="009229D1"/>
    <w:rsid w:val="00922A73"/>
    <w:rsid w:val="00922AE7"/>
    <w:rsid w:val="00922BAC"/>
    <w:rsid w:val="00922D13"/>
    <w:rsid w:val="00922D1D"/>
    <w:rsid w:val="00922D2B"/>
    <w:rsid w:val="00922DA7"/>
    <w:rsid w:val="00922FBF"/>
    <w:rsid w:val="00923152"/>
    <w:rsid w:val="00923194"/>
    <w:rsid w:val="009231EA"/>
    <w:rsid w:val="0092323F"/>
    <w:rsid w:val="0092324E"/>
    <w:rsid w:val="00923311"/>
    <w:rsid w:val="00923356"/>
    <w:rsid w:val="0092335E"/>
    <w:rsid w:val="009233AA"/>
    <w:rsid w:val="009233B2"/>
    <w:rsid w:val="00923654"/>
    <w:rsid w:val="009236A0"/>
    <w:rsid w:val="00923708"/>
    <w:rsid w:val="009237FF"/>
    <w:rsid w:val="009238BE"/>
    <w:rsid w:val="009239FB"/>
    <w:rsid w:val="00923A3D"/>
    <w:rsid w:val="00923AC7"/>
    <w:rsid w:val="00923ADF"/>
    <w:rsid w:val="00923F06"/>
    <w:rsid w:val="00923F6D"/>
    <w:rsid w:val="009240E7"/>
    <w:rsid w:val="00924144"/>
    <w:rsid w:val="009241F2"/>
    <w:rsid w:val="0092424A"/>
    <w:rsid w:val="00924278"/>
    <w:rsid w:val="0092446C"/>
    <w:rsid w:val="0092446D"/>
    <w:rsid w:val="009244D6"/>
    <w:rsid w:val="00924533"/>
    <w:rsid w:val="0092454D"/>
    <w:rsid w:val="00924651"/>
    <w:rsid w:val="00924684"/>
    <w:rsid w:val="009246A1"/>
    <w:rsid w:val="00924710"/>
    <w:rsid w:val="00924729"/>
    <w:rsid w:val="00924A42"/>
    <w:rsid w:val="00924AF1"/>
    <w:rsid w:val="00924C10"/>
    <w:rsid w:val="00924D19"/>
    <w:rsid w:val="00924E73"/>
    <w:rsid w:val="00924EE9"/>
    <w:rsid w:val="00924F00"/>
    <w:rsid w:val="00924FCC"/>
    <w:rsid w:val="009251F3"/>
    <w:rsid w:val="0092521A"/>
    <w:rsid w:val="00925222"/>
    <w:rsid w:val="00925330"/>
    <w:rsid w:val="009259A0"/>
    <w:rsid w:val="00925A09"/>
    <w:rsid w:val="00925A85"/>
    <w:rsid w:val="00925A9A"/>
    <w:rsid w:val="00925BFB"/>
    <w:rsid w:val="00925C54"/>
    <w:rsid w:val="00925C93"/>
    <w:rsid w:val="00925CE1"/>
    <w:rsid w:val="00925E27"/>
    <w:rsid w:val="00926185"/>
    <w:rsid w:val="00926209"/>
    <w:rsid w:val="0092626F"/>
    <w:rsid w:val="009262FB"/>
    <w:rsid w:val="00926472"/>
    <w:rsid w:val="009264A5"/>
    <w:rsid w:val="009264BF"/>
    <w:rsid w:val="00926740"/>
    <w:rsid w:val="009267A4"/>
    <w:rsid w:val="009269C7"/>
    <w:rsid w:val="00926A10"/>
    <w:rsid w:val="00926A1D"/>
    <w:rsid w:val="00926BF2"/>
    <w:rsid w:val="00926C16"/>
    <w:rsid w:val="00926C25"/>
    <w:rsid w:val="00926CEC"/>
    <w:rsid w:val="00926D81"/>
    <w:rsid w:val="00926EF3"/>
    <w:rsid w:val="00926FDE"/>
    <w:rsid w:val="0092704A"/>
    <w:rsid w:val="009270A5"/>
    <w:rsid w:val="0092735F"/>
    <w:rsid w:val="009276AA"/>
    <w:rsid w:val="009277B4"/>
    <w:rsid w:val="009278B9"/>
    <w:rsid w:val="00927954"/>
    <w:rsid w:val="0092799B"/>
    <w:rsid w:val="00927A1F"/>
    <w:rsid w:val="00927A3A"/>
    <w:rsid w:val="00927B7B"/>
    <w:rsid w:val="00927B97"/>
    <w:rsid w:val="00927EEF"/>
    <w:rsid w:val="00927F0A"/>
    <w:rsid w:val="00930066"/>
    <w:rsid w:val="00930089"/>
    <w:rsid w:val="0093011F"/>
    <w:rsid w:val="00930184"/>
    <w:rsid w:val="009301F2"/>
    <w:rsid w:val="00930218"/>
    <w:rsid w:val="00930298"/>
    <w:rsid w:val="00930309"/>
    <w:rsid w:val="009304B1"/>
    <w:rsid w:val="0093058A"/>
    <w:rsid w:val="009305D7"/>
    <w:rsid w:val="00930879"/>
    <w:rsid w:val="009308B6"/>
    <w:rsid w:val="009309CD"/>
    <w:rsid w:val="00930A8E"/>
    <w:rsid w:val="00930B7C"/>
    <w:rsid w:val="00930BFA"/>
    <w:rsid w:val="00930C53"/>
    <w:rsid w:val="00930CFE"/>
    <w:rsid w:val="00930DA9"/>
    <w:rsid w:val="00930E06"/>
    <w:rsid w:val="00930E89"/>
    <w:rsid w:val="00930EB7"/>
    <w:rsid w:val="00930FB5"/>
    <w:rsid w:val="00930FB9"/>
    <w:rsid w:val="00931215"/>
    <w:rsid w:val="00931304"/>
    <w:rsid w:val="009314E4"/>
    <w:rsid w:val="0093173B"/>
    <w:rsid w:val="00931740"/>
    <w:rsid w:val="00931965"/>
    <w:rsid w:val="00931A1C"/>
    <w:rsid w:val="00931B0A"/>
    <w:rsid w:val="00931B13"/>
    <w:rsid w:val="00931B9A"/>
    <w:rsid w:val="00931C8A"/>
    <w:rsid w:val="00931D0B"/>
    <w:rsid w:val="00931D48"/>
    <w:rsid w:val="00931EA1"/>
    <w:rsid w:val="00931EAF"/>
    <w:rsid w:val="00931EC3"/>
    <w:rsid w:val="00932048"/>
    <w:rsid w:val="00932123"/>
    <w:rsid w:val="009321E3"/>
    <w:rsid w:val="00932280"/>
    <w:rsid w:val="009322E7"/>
    <w:rsid w:val="00932391"/>
    <w:rsid w:val="0093242B"/>
    <w:rsid w:val="009325DD"/>
    <w:rsid w:val="00932730"/>
    <w:rsid w:val="0093278F"/>
    <w:rsid w:val="0093281C"/>
    <w:rsid w:val="009329AA"/>
    <w:rsid w:val="00932A53"/>
    <w:rsid w:val="00932B07"/>
    <w:rsid w:val="00932B1E"/>
    <w:rsid w:val="00932BD3"/>
    <w:rsid w:val="00932BE8"/>
    <w:rsid w:val="00932E78"/>
    <w:rsid w:val="00932F8B"/>
    <w:rsid w:val="0093323E"/>
    <w:rsid w:val="009332E8"/>
    <w:rsid w:val="0093354E"/>
    <w:rsid w:val="00933651"/>
    <w:rsid w:val="00933697"/>
    <w:rsid w:val="0093369E"/>
    <w:rsid w:val="00933711"/>
    <w:rsid w:val="00933748"/>
    <w:rsid w:val="0093378B"/>
    <w:rsid w:val="009337C7"/>
    <w:rsid w:val="009338CA"/>
    <w:rsid w:val="00933973"/>
    <w:rsid w:val="009339E0"/>
    <w:rsid w:val="00933AA1"/>
    <w:rsid w:val="00933B51"/>
    <w:rsid w:val="00933BC8"/>
    <w:rsid w:val="00933C93"/>
    <w:rsid w:val="00933CFE"/>
    <w:rsid w:val="00933DBE"/>
    <w:rsid w:val="00933FD5"/>
    <w:rsid w:val="0093410C"/>
    <w:rsid w:val="00934132"/>
    <w:rsid w:val="0093418D"/>
    <w:rsid w:val="00934196"/>
    <w:rsid w:val="00934210"/>
    <w:rsid w:val="00934261"/>
    <w:rsid w:val="0093445D"/>
    <w:rsid w:val="009344FC"/>
    <w:rsid w:val="0093474E"/>
    <w:rsid w:val="00934751"/>
    <w:rsid w:val="00934828"/>
    <w:rsid w:val="009348F3"/>
    <w:rsid w:val="00934994"/>
    <w:rsid w:val="00934995"/>
    <w:rsid w:val="00934A43"/>
    <w:rsid w:val="00934A6E"/>
    <w:rsid w:val="00934D31"/>
    <w:rsid w:val="00934DD9"/>
    <w:rsid w:val="00934E0C"/>
    <w:rsid w:val="00934EF7"/>
    <w:rsid w:val="00934FEC"/>
    <w:rsid w:val="00935003"/>
    <w:rsid w:val="009351C1"/>
    <w:rsid w:val="009351D0"/>
    <w:rsid w:val="009353E5"/>
    <w:rsid w:val="0093542B"/>
    <w:rsid w:val="0093552A"/>
    <w:rsid w:val="0093571C"/>
    <w:rsid w:val="009357C5"/>
    <w:rsid w:val="00935815"/>
    <w:rsid w:val="00935889"/>
    <w:rsid w:val="0093589E"/>
    <w:rsid w:val="009358E3"/>
    <w:rsid w:val="00935933"/>
    <w:rsid w:val="00935CAD"/>
    <w:rsid w:val="00935E13"/>
    <w:rsid w:val="00935EE2"/>
    <w:rsid w:val="00935F41"/>
    <w:rsid w:val="00935F7D"/>
    <w:rsid w:val="00936000"/>
    <w:rsid w:val="00936061"/>
    <w:rsid w:val="009360BD"/>
    <w:rsid w:val="009362E3"/>
    <w:rsid w:val="00936404"/>
    <w:rsid w:val="00936590"/>
    <w:rsid w:val="009365EA"/>
    <w:rsid w:val="009366CE"/>
    <w:rsid w:val="0093679F"/>
    <w:rsid w:val="009367A8"/>
    <w:rsid w:val="00936836"/>
    <w:rsid w:val="00936845"/>
    <w:rsid w:val="00936986"/>
    <w:rsid w:val="00936CC1"/>
    <w:rsid w:val="00936D57"/>
    <w:rsid w:val="00936E98"/>
    <w:rsid w:val="00936FD3"/>
    <w:rsid w:val="009370CE"/>
    <w:rsid w:val="0093714F"/>
    <w:rsid w:val="00937171"/>
    <w:rsid w:val="0093717B"/>
    <w:rsid w:val="009371B6"/>
    <w:rsid w:val="009371BD"/>
    <w:rsid w:val="00937210"/>
    <w:rsid w:val="00937222"/>
    <w:rsid w:val="00937228"/>
    <w:rsid w:val="00937402"/>
    <w:rsid w:val="00937568"/>
    <w:rsid w:val="00937589"/>
    <w:rsid w:val="00937704"/>
    <w:rsid w:val="0093772B"/>
    <w:rsid w:val="0093787B"/>
    <w:rsid w:val="009378C0"/>
    <w:rsid w:val="00937AF0"/>
    <w:rsid w:val="00937B56"/>
    <w:rsid w:val="00937BEA"/>
    <w:rsid w:val="00937CCF"/>
    <w:rsid w:val="00937EB3"/>
    <w:rsid w:val="00937EB4"/>
    <w:rsid w:val="00937FC8"/>
    <w:rsid w:val="00940101"/>
    <w:rsid w:val="00940384"/>
    <w:rsid w:val="00940386"/>
    <w:rsid w:val="00940400"/>
    <w:rsid w:val="00940541"/>
    <w:rsid w:val="0094057D"/>
    <w:rsid w:val="0094059C"/>
    <w:rsid w:val="0094068D"/>
    <w:rsid w:val="0094070A"/>
    <w:rsid w:val="00940894"/>
    <w:rsid w:val="009408DB"/>
    <w:rsid w:val="00940A94"/>
    <w:rsid w:val="00940D50"/>
    <w:rsid w:val="00940D69"/>
    <w:rsid w:val="00940E5B"/>
    <w:rsid w:val="00940EA7"/>
    <w:rsid w:val="00940FCA"/>
    <w:rsid w:val="0094106F"/>
    <w:rsid w:val="0094114B"/>
    <w:rsid w:val="0094119D"/>
    <w:rsid w:val="009412CB"/>
    <w:rsid w:val="00941415"/>
    <w:rsid w:val="00941443"/>
    <w:rsid w:val="009414BB"/>
    <w:rsid w:val="00941589"/>
    <w:rsid w:val="009415C2"/>
    <w:rsid w:val="009416BD"/>
    <w:rsid w:val="009416C3"/>
    <w:rsid w:val="00941884"/>
    <w:rsid w:val="00941886"/>
    <w:rsid w:val="009418B0"/>
    <w:rsid w:val="00941A78"/>
    <w:rsid w:val="00941BF0"/>
    <w:rsid w:val="00941CCF"/>
    <w:rsid w:val="00941EA6"/>
    <w:rsid w:val="00941EAA"/>
    <w:rsid w:val="00942069"/>
    <w:rsid w:val="00942181"/>
    <w:rsid w:val="009424E7"/>
    <w:rsid w:val="0094262B"/>
    <w:rsid w:val="0094279F"/>
    <w:rsid w:val="0094282B"/>
    <w:rsid w:val="00942944"/>
    <w:rsid w:val="00942A0D"/>
    <w:rsid w:val="00942ADD"/>
    <w:rsid w:val="00942B60"/>
    <w:rsid w:val="00942B93"/>
    <w:rsid w:val="00942F0A"/>
    <w:rsid w:val="00942FA2"/>
    <w:rsid w:val="00942FC7"/>
    <w:rsid w:val="0094307E"/>
    <w:rsid w:val="009430E4"/>
    <w:rsid w:val="009430F9"/>
    <w:rsid w:val="00943333"/>
    <w:rsid w:val="009433A7"/>
    <w:rsid w:val="00943485"/>
    <w:rsid w:val="009434B0"/>
    <w:rsid w:val="00943778"/>
    <w:rsid w:val="00943AB3"/>
    <w:rsid w:val="00943B06"/>
    <w:rsid w:val="00943B51"/>
    <w:rsid w:val="00943BA2"/>
    <w:rsid w:val="00943C47"/>
    <w:rsid w:val="00943D75"/>
    <w:rsid w:val="00943E54"/>
    <w:rsid w:val="00943E55"/>
    <w:rsid w:val="00943EB3"/>
    <w:rsid w:val="00943F45"/>
    <w:rsid w:val="00943FBF"/>
    <w:rsid w:val="009444A4"/>
    <w:rsid w:val="00944577"/>
    <w:rsid w:val="009445DC"/>
    <w:rsid w:val="00944792"/>
    <w:rsid w:val="00944846"/>
    <w:rsid w:val="009448F0"/>
    <w:rsid w:val="0094492F"/>
    <w:rsid w:val="00944A17"/>
    <w:rsid w:val="00944ACD"/>
    <w:rsid w:val="00944B95"/>
    <w:rsid w:val="00944BB7"/>
    <w:rsid w:val="00944C52"/>
    <w:rsid w:val="00944D0B"/>
    <w:rsid w:val="00944DE4"/>
    <w:rsid w:val="00944E72"/>
    <w:rsid w:val="00944E75"/>
    <w:rsid w:val="00944FCD"/>
    <w:rsid w:val="0094506E"/>
    <w:rsid w:val="009450A1"/>
    <w:rsid w:val="00945117"/>
    <w:rsid w:val="0094516C"/>
    <w:rsid w:val="009452E1"/>
    <w:rsid w:val="009452F5"/>
    <w:rsid w:val="009453CC"/>
    <w:rsid w:val="00945424"/>
    <w:rsid w:val="009456AE"/>
    <w:rsid w:val="009456E9"/>
    <w:rsid w:val="00945751"/>
    <w:rsid w:val="0094585D"/>
    <w:rsid w:val="00945928"/>
    <w:rsid w:val="009459B5"/>
    <w:rsid w:val="00945CB2"/>
    <w:rsid w:val="00945D25"/>
    <w:rsid w:val="00945FE1"/>
    <w:rsid w:val="00945FFD"/>
    <w:rsid w:val="00946044"/>
    <w:rsid w:val="00946173"/>
    <w:rsid w:val="00946175"/>
    <w:rsid w:val="00946348"/>
    <w:rsid w:val="009463D9"/>
    <w:rsid w:val="009464D1"/>
    <w:rsid w:val="009464F0"/>
    <w:rsid w:val="00946590"/>
    <w:rsid w:val="009465C4"/>
    <w:rsid w:val="00946620"/>
    <w:rsid w:val="0094675E"/>
    <w:rsid w:val="009469BB"/>
    <w:rsid w:val="00946B26"/>
    <w:rsid w:val="00946B5E"/>
    <w:rsid w:val="00946C69"/>
    <w:rsid w:val="00946FD5"/>
    <w:rsid w:val="00946FF5"/>
    <w:rsid w:val="0094721F"/>
    <w:rsid w:val="0094729D"/>
    <w:rsid w:val="0094739C"/>
    <w:rsid w:val="00947462"/>
    <w:rsid w:val="00947557"/>
    <w:rsid w:val="009475D9"/>
    <w:rsid w:val="009477A0"/>
    <w:rsid w:val="00947877"/>
    <w:rsid w:val="009479BE"/>
    <w:rsid w:val="00947DDD"/>
    <w:rsid w:val="00947E9D"/>
    <w:rsid w:val="00947ECC"/>
    <w:rsid w:val="0095012F"/>
    <w:rsid w:val="0095028B"/>
    <w:rsid w:val="00950302"/>
    <w:rsid w:val="0095038E"/>
    <w:rsid w:val="009503BA"/>
    <w:rsid w:val="0095040B"/>
    <w:rsid w:val="00950463"/>
    <w:rsid w:val="00950484"/>
    <w:rsid w:val="00950535"/>
    <w:rsid w:val="00950555"/>
    <w:rsid w:val="00950595"/>
    <w:rsid w:val="009505D1"/>
    <w:rsid w:val="009505E2"/>
    <w:rsid w:val="0095066A"/>
    <w:rsid w:val="009506DE"/>
    <w:rsid w:val="0095076B"/>
    <w:rsid w:val="009508DE"/>
    <w:rsid w:val="009509F3"/>
    <w:rsid w:val="009509F7"/>
    <w:rsid w:val="00950A3B"/>
    <w:rsid w:val="00950A7D"/>
    <w:rsid w:val="00950CC2"/>
    <w:rsid w:val="00950DE7"/>
    <w:rsid w:val="00951131"/>
    <w:rsid w:val="009511C7"/>
    <w:rsid w:val="009512CE"/>
    <w:rsid w:val="00951303"/>
    <w:rsid w:val="00951431"/>
    <w:rsid w:val="00951523"/>
    <w:rsid w:val="009516A2"/>
    <w:rsid w:val="009516EB"/>
    <w:rsid w:val="0095175D"/>
    <w:rsid w:val="0095178D"/>
    <w:rsid w:val="0095189C"/>
    <w:rsid w:val="009518D8"/>
    <w:rsid w:val="00951928"/>
    <w:rsid w:val="00951ADE"/>
    <w:rsid w:val="00951C45"/>
    <w:rsid w:val="00951E63"/>
    <w:rsid w:val="00951F06"/>
    <w:rsid w:val="0095207E"/>
    <w:rsid w:val="009520AC"/>
    <w:rsid w:val="009520B1"/>
    <w:rsid w:val="009520EB"/>
    <w:rsid w:val="00952115"/>
    <w:rsid w:val="00952312"/>
    <w:rsid w:val="00952413"/>
    <w:rsid w:val="00952624"/>
    <w:rsid w:val="00952834"/>
    <w:rsid w:val="00952987"/>
    <w:rsid w:val="00952A16"/>
    <w:rsid w:val="00952AA8"/>
    <w:rsid w:val="00952D87"/>
    <w:rsid w:val="00952DC6"/>
    <w:rsid w:val="00952DDF"/>
    <w:rsid w:val="00952E5C"/>
    <w:rsid w:val="00952E78"/>
    <w:rsid w:val="00952F52"/>
    <w:rsid w:val="00953006"/>
    <w:rsid w:val="00953030"/>
    <w:rsid w:val="009530A1"/>
    <w:rsid w:val="00953143"/>
    <w:rsid w:val="00953209"/>
    <w:rsid w:val="00953239"/>
    <w:rsid w:val="00953341"/>
    <w:rsid w:val="00953587"/>
    <w:rsid w:val="009536EB"/>
    <w:rsid w:val="009538A9"/>
    <w:rsid w:val="00953969"/>
    <w:rsid w:val="00953AEC"/>
    <w:rsid w:val="00953AF0"/>
    <w:rsid w:val="00953B4C"/>
    <w:rsid w:val="00953C61"/>
    <w:rsid w:val="00953C9A"/>
    <w:rsid w:val="00953E0D"/>
    <w:rsid w:val="00953E31"/>
    <w:rsid w:val="00953E4C"/>
    <w:rsid w:val="00953F34"/>
    <w:rsid w:val="00953F8B"/>
    <w:rsid w:val="00953FAE"/>
    <w:rsid w:val="009541DD"/>
    <w:rsid w:val="009541EA"/>
    <w:rsid w:val="00954229"/>
    <w:rsid w:val="00954263"/>
    <w:rsid w:val="00954266"/>
    <w:rsid w:val="0095433E"/>
    <w:rsid w:val="009544AE"/>
    <w:rsid w:val="009544EA"/>
    <w:rsid w:val="009548EA"/>
    <w:rsid w:val="00954954"/>
    <w:rsid w:val="009549AE"/>
    <w:rsid w:val="00954A77"/>
    <w:rsid w:val="00954B17"/>
    <w:rsid w:val="00954B49"/>
    <w:rsid w:val="00954B80"/>
    <w:rsid w:val="00954C6C"/>
    <w:rsid w:val="00954C9F"/>
    <w:rsid w:val="00954CA6"/>
    <w:rsid w:val="00954D00"/>
    <w:rsid w:val="00954E50"/>
    <w:rsid w:val="00954F35"/>
    <w:rsid w:val="00954FE5"/>
    <w:rsid w:val="0095510A"/>
    <w:rsid w:val="00955335"/>
    <w:rsid w:val="009553CC"/>
    <w:rsid w:val="00955482"/>
    <w:rsid w:val="0095548E"/>
    <w:rsid w:val="009554BB"/>
    <w:rsid w:val="009556A6"/>
    <w:rsid w:val="009556DC"/>
    <w:rsid w:val="0095572D"/>
    <w:rsid w:val="00955751"/>
    <w:rsid w:val="0095576B"/>
    <w:rsid w:val="00955811"/>
    <w:rsid w:val="0095582B"/>
    <w:rsid w:val="009558AD"/>
    <w:rsid w:val="009559DF"/>
    <w:rsid w:val="009559F6"/>
    <w:rsid w:val="00955AA5"/>
    <w:rsid w:val="00955AAF"/>
    <w:rsid w:val="00955B00"/>
    <w:rsid w:val="00955BD9"/>
    <w:rsid w:val="00955C7C"/>
    <w:rsid w:val="00955CCB"/>
    <w:rsid w:val="00955ED4"/>
    <w:rsid w:val="00955F78"/>
    <w:rsid w:val="00955FCC"/>
    <w:rsid w:val="00955FE7"/>
    <w:rsid w:val="00955FEF"/>
    <w:rsid w:val="009560C3"/>
    <w:rsid w:val="0095623D"/>
    <w:rsid w:val="009562AA"/>
    <w:rsid w:val="00956454"/>
    <w:rsid w:val="00956458"/>
    <w:rsid w:val="00956494"/>
    <w:rsid w:val="00956515"/>
    <w:rsid w:val="009566A7"/>
    <w:rsid w:val="00956789"/>
    <w:rsid w:val="00956825"/>
    <w:rsid w:val="009568DF"/>
    <w:rsid w:val="009569C2"/>
    <w:rsid w:val="00956A98"/>
    <w:rsid w:val="00956AD0"/>
    <w:rsid w:val="00956B3C"/>
    <w:rsid w:val="00956C47"/>
    <w:rsid w:val="00956CA1"/>
    <w:rsid w:val="00956CAC"/>
    <w:rsid w:val="00956D18"/>
    <w:rsid w:val="0095703C"/>
    <w:rsid w:val="00957117"/>
    <w:rsid w:val="00957175"/>
    <w:rsid w:val="009571CD"/>
    <w:rsid w:val="00957278"/>
    <w:rsid w:val="00957293"/>
    <w:rsid w:val="009574E3"/>
    <w:rsid w:val="00957652"/>
    <w:rsid w:val="00957689"/>
    <w:rsid w:val="0095774C"/>
    <w:rsid w:val="0095777D"/>
    <w:rsid w:val="00957A49"/>
    <w:rsid w:val="00957A6B"/>
    <w:rsid w:val="00957C6C"/>
    <w:rsid w:val="00957C6E"/>
    <w:rsid w:val="00957C81"/>
    <w:rsid w:val="00957CA6"/>
    <w:rsid w:val="00957DDB"/>
    <w:rsid w:val="00957E42"/>
    <w:rsid w:val="00957EE8"/>
    <w:rsid w:val="00957EF9"/>
    <w:rsid w:val="009601A5"/>
    <w:rsid w:val="009601B5"/>
    <w:rsid w:val="00960673"/>
    <w:rsid w:val="00960B7F"/>
    <w:rsid w:val="00960DB9"/>
    <w:rsid w:val="00960EA9"/>
    <w:rsid w:val="00960EBC"/>
    <w:rsid w:val="00960FDB"/>
    <w:rsid w:val="0096101B"/>
    <w:rsid w:val="00961055"/>
    <w:rsid w:val="009610AF"/>
    <w:rsid w:val="009611C0"/>
    <w:rsid w:val="009611E3"/>
    <w:rsid w:val="009612A1"/>
    <w:rsid w:val="00961413"/>
    <w:rsid w:val="009615CF"/>
    <w:rsid w:val="0096160D"/>
    <w:rsid w:val="0096163F"/>
    <w:rsid w:val="0096169D"/>
    <w:rsid w:val="009616E2"/>
    <w:rsid w:val="00961746"/>
    <w:rsid w:val="009617AA"/>
    <w:rsid w:val="009617D0"/>
    <w:rsid w:val="0096181A"/>
    <w:rsid w:val="00961976"/>
    <w:rsid w:val="009619A4"/>
    <w:rsid w:val="00961B05"/>
    <w:rsid w:val="00961B10"/>
    <w:rsid w:val="00961BE2"/>
    <w:rsid w:val="00961D1D"/>
    <w:rsid w:val="00961DC1"/>
    <w:rsid w:val="0096206E"/>
    <w:rsid w:val="00962072"/>
    <w:rsid w:val="00962086"/>
    <w:rsid w:val="00962129"/>
    <w:rsid w:val="0096222F"/>
    <w:rsid w:val="00962321"/>
    <w:rsid w:val="00962554"/>
    <w:rsid w:val="00962586"/>
    <w:rsid w:val="0096260B"/>
    <w:rsid w:val="00962612"/>
    <w:rsid w:val="0096262E"/>
    <w:rsid w:val="009626B1"/>
    <w:rsid w:val="00962709"/>
    <w:rsid w:val="00962797"/>
    <w:rsid w:val="00962807"/>
    <w:rsid w:val="00962895"/>
    <w:rsid w:val="009628D5"/>
    <w:rsid w:val="00962B22"/>
    <w:rsid w:val="00962B7E"/>
    <w:rsid w:val="00962CEB"/>
    <w:rsid w:val="00962D50"/>
    <w:rsid w:val="00962F1F"/>
    <w:rsid w:val="00963033"/>
    <w:rsid w:val="00963081"/>
    <w:rsid w:val="00963135"/>
    <w:rsid w:val="0096322A"/>
    <w:rsid w:val="0096340E"/>
    <w:rsid w:val="009635BA"/>
    <w:rsid w:val="009636E7"/>
    <w:rsid w:val="00963717"/>
    <w:rsid w:val="0096373E"/>
    <w:rsid w:val="00963877"/>
    <w:rsid w:val="009639D6"/>
    <w:rsid w:val="00963AAD"/>
    <w:rsid w:val="00963BBC"/>
    <w:rsid w:val="00963BF0"/>
    <w:rsid w:val="00963C9C"/>
    <w:rsid w:val="00963D0A"/>
    <w:rsid w:val="00963D15"/>
    <w:rsid w:val="00963D9C"/>
    <w:rsid w:val="00963DDA"/>
    <w:rsid w:val="00963FEB"/>
    <w:rsid w:val="0096405A"/>
    <w:rsid w:val="00964082"/>
    <w:rsid w:val="0096420C"/>
    <w:rsid w:val="0096422C"/>
    <w:rsid w:val="009642B0"/>
    <w:rsid w:val="009642D0"/>
    <w:rsid w:val="00964302"/>
    <w:rsid w:val="009643D3"/>
    <w:rsid w:val="00964589"/>
    <w:rsid w:val="00964868"/>
    <w:rsid w:val="0096490D"/>
    <w:rsid w:val="009649BC"/>
    <w:rsid w:val="00964A48"/>
    <w:rsid w:val="00964B03"/>
    <w:rsid w:val="00964CA4"/>
    <w:rsid w:val="00964DE6"/>
    <w:rsid w:val="00964E0A"/>
    <w:rsid w:val="00964EFE"/>
    <w:rsid w:val="009650EA"/>
    <w:rsid w:val="009652A8"/>
    <w:rsid w:val="009652CD"/>
    <w:rsid w:val="0096534C"/>
    <w:rsid w:val="009653FC"/>
    <w:rsid w:val="00965438"/>
    <w:rsid w:val="009654D7"/>
    <w:rsid w:val="009654E2"/>
    <w:rsid w:val="009655EE"/>
    <w:rsid w:val="009656DD"/>
    <w:rsid w:val="0096590A"/>
    <w:rsid w:val="00965A1C"/>
    <w:rsid w:val="00965C27"/>
    <w:rsid w:val="00965CC6"/>
    <w:rsid w:val="00965CD2"/>
    <w:rsid w:val="00965E0F"/>
    <w:rsid w:val="00965E4A"/>
    <w:rsid w:val="00966086"/>
    <w:rsid w:val="00966123"/>
    <w:rsid w:val="00966356"/>
    <w:rsid w:val="009663C3"/>
    <w:rsid w:val="0096647A"/>
    <w:rsid w:val="0096648A"/>
    <w:rsid w:val="00966546"/>
    <w:rsid w:val="00966714"/>
    <w:rsid w:val="009667B5"/>
    <w:rsid w:val="0096685D"/>
    <w:rsid w:val="009669D4"/>
    <w:rsid w:val="009669ED"/>
    <w:rsid w:val="00966AEA"/>
    <w:rsid w:val="00966B21"/>
    <w:rsid w:val="00966C2D"/>
    <w:rsid w:val="00966C50"/>
    <w:rsid w:val="00966E8B"/>
    <w:rsid w:val="00966EB8"/>
    <w:rsid w:val="00966F21"/>
    <w:rsid w:val="00966F73"/>
    <w:rsid w:val="00967028"/>
    <w:rsid w:val="00967230"/>
    <w:rsid w:val="00967246"/>
    <w:rsid w:val="009672F7"/>
    <w:rsid w:val="00967309"/>
    <w:rsid w:val="00967341"/>
    <w:rsid w:val="00967374"/>
    <w:rsid w:val="009674C3"/>
    <w:rsid w:val="00967509"/>
    <w:rsid w:val="0096751C"/>
    <w:rsid w:val="0096788A"/>
    <w:rsid w:val="00967926"/>
    <w:rsid w:val="00967BD9"/>
    <w:rsid w:val="00967D0E"/>
    <w:rsid w:val="00967D87"/>
    <w:rsid w:val="00967FFA"/>
    <w:rsid w:val="00970306"/>
    <w:rsid w:val="0097039A"/>
    <w:rsid w:val="00970491"/>
    <w:rsid w:val="0097059A"/>
    <w:rsid w:val="009705B9"/>
    <w:rsid w:val="009707DA"/>
    <w:rsid w:val="009707F6"/>
    <w:rsid w:val="0097081A"/>
    <w:rsid w:val="00970824"/>
    <w:rsid w:val="00970976"/>
    <w:rsid w:val="00970BED"/>
    <w:rsid w:val="00970C0D"/>
    <w:rsid w:val="00970C97"/>
    <w:rsid w:val="0097107D"/>
    <w:rsid w:val="009710CC"/>
    <w:rsid w:val="009711C1"/>
    <w:rsid w:val="00971223"/>
    <w:rsid w:val="009713FD"/>
    <w:rsid w:val="00971513"/>
    <w:rsid w:val="0097164F"/>
    <w:rsid w:val="00971741"/>
    <w:rsid w:val="009717D8"/>
    <w:rsid w:val="009717F7"/>
    <w:rsid w:val="00971806"/>
    <w:rsid w:val="00971888"/>
    <w:rsid w:val="009718AB"/>
    <w:rsid w:val="009718CB"/>
    <w:rsid w:val="00971B31"/>
    <w:rsid w:val="00971BF6"/>
    <w:rsid w:val="00971DAD"/>
    <w:rsid w:val="00972287"/>
    <w:rsid w:val="0097248D"/>
    <w:rsid w:val="0097260A"/>
    <w:rsid w:val="00972842"/>
    <w:rsid w:val="009728B6"/>
    <w:rsid w:val="009728C5"/>
    <w:rsid w:val="009728FB"/>
    <w:rsid w:val="0097296E"/>
    <w:rsid w:val="00972989"/>
    <w:rsid w:val="00972A29"/>
    <w:rsid w:val="00972A71"/>
    <w:rsid w:val="00972B49"/>
    <w:rsid w:val="00972B5B"/>
    <w:rsid w:val="00972BDA"/>
    <w:rsid w:val="00972D54"/>
    <w:rsid w:val="00972E0C"/>
    <w:rsid w:val="00972E23"/>
    <w:rsid w:val="00972EE0"/>
    <w:rsid w:val="00973053"/>
    <w:rsid w:val="00973294"/>
    <w:rsid w:val="00973338"/>
    <w:rsid w:val="00973377"/>
    <w:rsid w:val="009733FF"/>
    <w:rsid w:val="00973454"/>
    <w:rsid w:val="009736AF"/>
    <w:rsid w:val="00973719"/>
    <w:rsid w:val="009737B9"/>
    <w:rsid w:val="009739BB"/>
    <w:rsid w:val="00973A4C"/>
    <w:rsid w:val="00973A51"/>
    <w:rsid w:val="00973BAE"/>
    <w:rsid w:val="00973BCF"/>
    <w:rsid w:val="00973C5F"/>
    <w:rsid w:val="00973E09"/>
    <w:rsid w:val="00973E26"/>
    <w:rsid w:val="00973EF8"/>
    <w:rsid w:val="00973F0F"/>
    <w:rsid w:val="00973F1B"/>
    <w:rsid w:val="009740C9"/>
    <w:rsid w:val="0097435B"/>
    <w:rsid w:val="009744DD"/>
    <w:rsid w:val="009745B0"/>
    <w:rsid w:val="009748F6"/>
    <w:rsid w:val="00974954"/>
    <w:rsid w:val="00974964"/>
    <w:rsid w:val="00974A75"/>
    <w:rsid w:val="00974AC4"/>
    <w:rsid w:val="00974C33"/>
    <w:rsid w:val="00974E02"/>
    <w:rsid w:val="00974E25"/>
    <w:rsid w:val="009752CD"/>
    <w:rsid w:val="00975466"/>
    <w:rsid w:val="00975544"/>
    <w:rsid w:val="00975618"/>
    <w:rsid w:val="009756C6"/>
    <w:rsid w:val="009758A5"/>
    <w:rsid w:val="009759D2"/>
    <w:rsid w:val="009759FB"/>
    <w:rsid w:val="00975A98"/>
    <w:rsid w:val="00975B1A"/>
    <w:rsid w:val="00975B34"/>
    <w:rsid w:val="00975B45"/>
    <w:rsid w:val="00975B7A"/>
    <w:rsid w:val="00975C37"/>
    <w:rsid w:val="00975CAB"/>
    <w:rsid w:val="00975D42"/>
    <w:rsid w:val="00975DDC"/>
    <w:rsid w:val="00975ED8"/>
    <w:rsid w:val="00975F0D"/>
    <w:rsid w:val="00975F9D"/>
    <w:rsid w:val="009760FA"/>
    <w:rsid w:val="0097649C"/>
    <w:rsid w:val="0097654F"/>
    <w:rsid w:val="0097657A"/>
    <w:rsid w:val="009765C8"/>
    <w:rsid w:val="009766CF"/>
    <w:rsid w:val="0097670D"/>
    <w:rsid w:val="0097673A"/>
    <w:rsid w:val="009767AD"/>
    <w:rsid w:val="009767E0"/>
    <w:rsid w:val="00976935"/>
    <w:rsid w:val="00976987"/>
    <w:rsid w:val="00976A6E"/>
    <w:rsid w:val="00976AEF"/>
    <w:rsid w:val="00976B90"/>
    <w:rsid w:val="00976C44"/>
    <w:rsid w:val="00976CBB"/>
    <w:rsid w:val="00976DE8"/>
    <w:rsid w:val="00976EF0"/>
    <w:rsid w:val="00976F17"/>
    <w:rsid w:val="00976FD6"/>
    <w:rsid w:val="0097726F"/>
    <w:rsid w:val="009772C8"/>
    <w:rsid w:val="00977347"/>
    <w:rsid w:val="009773B6"/>
    <w:rsid w:val="009775BB"/>
    <w:rsid w:val="00977808"/>
    <w:rsid w:val="00977938"/>
    <w:rsid w:val="009779C5"/>
    <w:rsid w:val="00977AB1"/>
    <w:rsid w:val="00977BAD"/>
    <w:rsid w:val="00977C1B"/>
    <w:rsid w:val="00977C2B"/>
    <w:rsid w:val="00977CDF"/>
    <w:rsid w:val="00977DBD"/>
    <w:rsid w:val="00977E8E"/>
    <w:rsid w:val="00977ED2"/>
    <w:rsid w:val="00977FAB"/>
    <w:rsid w:val="00977FCE"/>
    <w:rsid w:val="009802F0"/>
    <w:rsid w:val="009803B9"/>
    <w:rsid w:val="0098045A"/>
    <w:rsid w:val="0098046A"/>
    <w:rsid w:val="009804EF"/>
    <w:rsid w:val="00980543"/>
    <w:rsid w:val="0098054F"/>
    <w:rsid w:val="00980566"/>
    <w:rsid w:val="00980995"/>
    <w:rsid w:val="00980A61"/>
    <w:rsid w:val="00980A9C"/>
    <w:rsid w:val="00980B5E"/>
    <w:rsid w:val="00980C12"/>
    <w:rsid w:val="00980C57"/>
    <w:rsid w:val="00980CC4"/>
    <w:rsid w:val="00980DDB"/>
    <w:rsid w:val="00980EEC"/>
    <w:rsid w:val="00981082"/>
    <w:rsid w:val="00981369"/>
    <w:rsid w:val="0098136D"/>
    <w:rsid w:val="00981385"/>
    <w:rsid w:val="00981488"/>
    <w:rsid w:val="009814F5"/>
    <w:rsid w:val="00981565"/>
    <w:rsid w:val="009815FE"/>
    <w:rsid w:val="00981913"/>
    <w:rsid w:val="0098193E"/>
    <w:rsid w:val="00981BC2"/>
    <w:rsid w:val="00981C35"/>
    <w:rsid w:val="00981D49"/>
    <w:rsid w:val="00981D70"/>
    <w:rsid w:val="00981E71"/>
    <w:rsid w:val="0098206D"/>
    <w:rsid w:val="009820A2"/>
    <w:rsid w:val="009820C1"/>
    <w:rsid w:val="0098212F"/>
    <w:rsid w:val="00982599"/>
    <w:rsid w:val="009825A6"/>
    <w:rsid w:val="0098268F"/>
    <w:rsid w:val="0098275A"/>
    <w:rsid w:val="0098285F"/>
    <w:rsid w:val="00982AEC"/>
    <w:rsid w:val="00982CE7"/>
    <w:rsid w:val="00982E30"/>
    <w:rsid w:val="00982F16"/>
    <w:rsid w:val="00982F5E"/>
    <w:rsid w:val="00982F75"/>
    <w:rsid w:val="0098300D"/>
    <w:rsid w:val="009830DD"/>
    <w:rsid w:val="0098325F"/>
    <w:rsid w:val="0098327C"/>
    <w:rsid w:val="00983384"/>
    <w:rsid w:val="0098353F"/>
    <w:rsid w:val="0098355F"/>
    <w:rsid w:val="00983561"/>
    <w:rsid w:val="0098376D"/>
    <w:rsid w:val="00983777"/>
    <w:rsid w:val="009837B1"/>
    <w:rsid w:val="009837B6"/>
    <w:rsid w:val="00983812"/>
    <w:rsid w:val="00983A93"/>
    <w:rsid w:val="00983BB5"/>
    <w:rsid w:val="00983BDE"/>
    <w:rsid w:val="00983C34"/>
    <w:rsid w:val="00983EFC"/>
    <w:rsid w:val="00984218"/>
    <w:rsid w:val="00984563"/>
    <w:rsid w:val="00984594"/>
    <w:rsid w:val="00984713"/>
    <w:rsid w:val="009847DC"/>
    <w:rsid w:val="009848B3"/>
    <w:rsid w:val="00984B71"/>
    <w:rsid w:val="00984CC7"/>
    <w:rsid w:val="00984F11"/>
    <w:rsid w:val="009851FB"/>
    <w:rsid w:val="0098530F"/>
    <w:rsid w:val="00985544"/>
    <w:rsid w:val="00985586"/>
    <w:rsid w:val="009855BA"/>
    <w:rsid w:val="0098568F"/>
    <w:rsid w:val="0098574B"/>
    <w:rsid w:val="009857DF"/>
    <w:rsid w:val="009859A3"/>
    <w:rsid w:val="00985A46"/>
    <w:rsid w:val="00985AA5"/>
    <w:rsid w:val="00985B65"/>
    <w:rsid w:val="00985C2A"/>
    <w:rsid w:val="00985E52"/>
    <w:rsid w:val="00985ED6"/>
    <w:rsid w:val="00985F35"/>
    <w:rsid w:val="00985FBD"/>
    <w:rsid w:val="00986072"/>
    <w:rsid w:val="0098608E"/>
    <w:rsid w:val="00986198"/>
    <w:rsid w:val="009862A4"/>
    <w:rsid w:val="0098633C"/>
    <w:rsid w:val="0098634E"/>
    <w:rsid w:val="0098636D"/>
    <w:rsid w:val="009864CA"/>
    <w:rsid w:val="00986569"/>
    <w:rsid w:val="00986591"/>
    <w:rsid w:val="00986618"/>
    <w:rsid w:val="0098669F"/>
    <w:rsid w:val="00986989"/>
    <w:rsid w:val="00986A77"/>
    <w:rsid w:val="00986A88"/>
    <w:rsid w:val="00986B7B"/>
    <w:rsid w:val="00986B7F"/>
    <w:rsid w:val="00986C0F"/>
    <w:rsid w:val="00986C97"/>
    <w:rsid w:val="00986D63"/>
    <w:rsid w:val="00986D6A"/>
    <w:rsid w:val="00986DFE"/>
    <w:rsid w:val="00986EC2"/>
    <w:rsid w:val="00986F0E"/>
    <w:rsid w:val="009870E9"/>
    <w:rsid w:val="0098717E"/>
    <w:rsid w:val="00987203"/>
    <w:rsid w:val="0098723D"/>
    <w:rsid w:val="0098730C"/>
    <w:rsid w:val="0098736B"/>
    <w:rsid w:val="00987471"/>
    <w:rsid w:val="009874B7"/>
    <w:rsid w:val="009875DE"/>
    <w:rsid w:val="00987798"/>
    <w:rsid w:val="00987803"/>
    <w:rsid w:val="0098781F"/>
    <w:rsid w:val="009879C4"/>
    <w:rsid w:val="00987AC3"/>
    <w:rsid w:val="00987C45"/>
    <w:rsid w:val="00987CB7"/>
    <w:rsid w:val="00987CDE"/>
    <w:rsid w:val="00987DC2"/>
    <w:rsid w:val="00987DD4"/>
    <w:rsid w:val="00987EC1"/>
    <w:rsid w:val="009901C8"/>
    <w:rsid w:val="0099021E"/>
    <w:rsid w:val="00990313"/>
    <w:rsid w:val="00990774"/>
    <w:rsid w:val="009908C2"/>
    <w:rsid w:val="0099096B"/>
    <w:rsid w:val="0099099E"/>
    <w:rsid w:val="009909BF"/>
    <w:rsid w:val="00990BFA"/>
    <w:rsid w:val="00990C28"/>
    <w:rsid w:val="00990D85"/>
    <w:rsid w:val="00990E10"/>
    <w:rsid w:val="00990EFA"/>
    <w:rsid w:val="009910EB"/>
    <w:rsid w:val="00991286"/>
    <w:rsid w:val="009912EC"/>
    <w:rsid w:val="0099138E"/>
    <w:rsid w:val="009914D4"/>
    <w:rsid w:val="009915CB"/>
    <w:rsid w:val="0099161B"/>
    <w:rsid w:val="00991678"/>
    <w:rsid w:val="00991789"/>
    <w:rsid w:val="00991931"/>
    <w:rsid w:val="00991DF3"/>
    <w:rsid w:val="00991E6D"/>
    <w:rsid w:val="00991F34"/>
    <w:rsid w:val="00991F87"/>
    <w:rsid w:val="00991FA5"/>
    <w:rsid w:val="00991FBE"/>
    <w:rsid w:val="00992035"/>
    <w:rsid w:val="00992050"/>
    <w:rsid w:val="009920DB"/>
    <w:rsid w:val="0099213F"/>
    <w:rsid w:val="0099215B"/>
    <w:rsid w:val="009922D6"/>
    <w:rsid w:val="00992303"/>
    <w:rsid w:val="00992350"/>
    <w:rsid w:val="00992450"/>
    <w:rsid w:val="00992468"/>
    <w:rsid w:val="009925DC"/>
    <w:rsid w:val="009926A7"/>
    <w:rsid w:val="009927D3"/>
    <w:rsid w:val="00992886"/>
    <w:rsid w:val="00992A82"/>
    <w:rsid w:val="00992B3E"/>
    <w:rsid w:val="00992B4F"/>
    <w:rsid w:val="00992C64"/>
    <w:rsid w:val="00992E0C"/>
    <w:rsid w:val="00992FED"/>
    <w:rsid w:val="009930A6"/>
    <w:rsid w:val="00993254"/>
    <w:rsid w:val="009932E9"/>
    <w:rsid w:val="00993403"/>
    <w:rsid w:val="009934AC"/>
    <w:rsid w:val="009936F0"/>
    <w:rsid w:val="00993748"/>
    <w:rsid w:val="00993974"/>
    <w:rsid w:val="00993ACD"/>
    <w:rsid w:val="00993BE3"/>
    <w:rsid w:val="00993E10"/>
    <w:rsid w:val="00993EAD"/>
    <w:rsid w:val="009940AE"/>
    <w:rsid w:val="009941CA"/>
    <w:rsid w:val="009941F8"/>
    <w:rsid w:val="00994439"/>
    <w:rsid w:val="00994731"/>
    <w:rsid w:val="009947D6"/>
    <w:rsid w:val="00994897"/>
    <w:rsid w:val="009949BC"/>
    <w:rsid w:val="00994A21"/>
    <w:rsid w:val="00994A76"/>
    <w:rsid w:val="00994B62"/>
    <w:rsid w:val="00994D76"/>
    <w:rsid w:val="00995051"/>
    <w:rsid w:val="00995092"/>
    <w:rsid w:val="009950CD"/>
    <w:rsid w:val="009953F0"/>
    <w:rsid w:val="009955EC"/>
    <w:rsid w:val="00995665"/>
    <w:rsid w:val="009957A5"/>
    <w:rsid w:val="0099584D"/>
    <w:rsid w:val="009958A4"/>
    <w:rsid w:val="00995A12"/>
    <w:rsid w:val="00995A89"/>
    <w:rsid w:val="00995AA2"/>
    <w:rsid w:val="00995B4A"/>
    <w:rsid w:val="00995C5D"/>
    <w:rsid w:val="00995C8F"/>
    <w:rsid w:val="00995D93"/>
    <w:rsid w:val="00995FCF"/>
    <w:rsid w:val="0099619F"/>
    <w:rsid w:val="009961D1"/>
    <w:rsid w:val="0099625F"/>
    <w:rsid w:val="009965CF"/>
    <w:rsid w:val="00996615"/>
    <w:rsid w:val="00996617"/>
    <w:rsid w:val="00996619"/>
    <w:rsid w:val="0099668E"/>
    <w:rsid w:val="009966D9"/>
    <w:rsid w:val="00996749"/>
    <w:rsid w:val="00996769"/>
    <w:rsid w:val="00996785"/>
    <w:rsid w:val="00996795"/>
    <w:rsid w:val="0099683E"/>
    <w:rsid w:val="00996906"/>
    <w:rsid w:val="00996912"/>
    <w:rsid w:val="00996A06"/>
    <w:rsid w:val="00996AB5"/>
    <w:rsid w:val="00996AC0"/>
    <w:rsid w:val="00996B02"/>
    <w:rsid w:val="00996B5B"/>
    <w:rsid w:val="00996BCE"/>
    <w:rsid w:val="00996C14"/>
    <w:rsid w:val="00996D1C"/>
    <w:rsid w:val="00996D93"/>
    <w:rsid w:val="00996F50"/>
    <w:rsid w:val="009970A5"/>
    <w:rsid w:val="00997225"/>
    <w:rsid w:val="0099724B"/>
    <w:rsid w:val="009972EA"/>
    <w:rsid w:val="009973E7"/>
    <w:rsid w:val="00997813"/>
    <w:rsid w:val="00997832"/>
    <w:rsid w:val="0099784D"/>
    <w:rsid w:val="0099789D"/>
    <w:rsid w:val="009979C6"/>
    <w:rsid w:val="00997A5A"/>
    <w:rsid w:val="00997AA4"/>
    <w:rsid w:val="00997C0D"/>
    <w:rsid w:val="00997C84"/>
    <w:rsid w:val="00997CE8"/>
    <w:rsid w:val="00997DB3"/>
    <w:rsid w:val="00997E0E"/>
    <w:rsid w:val="00997FEF"/>
    <w:rsid w:val="009A00BF"/>
    <w:rsid w:val="009A013A"/>
    <w:rsid w:val="009A01BE"/>
    <w:rsid w:val="009A01D3"/>
    <w:rsid w:val="009A03A5"/>
    <w:rsid w:val="009A03AE"/>
    <w:rsid w:val="009A03CC"/>
    <w:rsid w:val="009A058A"/>
    <w:rsid w:val="009A05A6"/>
    <w:rsid w:val="009A06A4"/>
    <w:rsid w:val="009A06C8"/>
    <w:rsid w:val="009A07D7"/>
    <w:rsid w:val="009A08D5"/>
    <w:rsid w:val="009A099E"/>
    <w:rsid w:val="009A0B2C"/>
    <w:rsid w:val="009A0CAD"/>
    <w:rsid w:val="009A0DAA"/>
    <w:rsid w:val="009A0E1C"/>
    <w:rsid w:val="009A0E47"/>
    <w:rsid w:val="009A0F6C"/>
    <w:rsid w:val="009A105E"/>
    <w:rsid w:val="009A10F1"/>
    <w:rsid w:val="009A1190"/>
    <w:rsid w:val="009A12A5"/>
    <w:rsid w:val="009A141D"/>
    <w:rsid w:val="009A1596"/>
    <w:rsid w:val="009A1628"/>
    <w:rsid w:val="009A16C7"/>
    <w:rsid w:val="009A17B6"/>
    <w:rsid w:val="009A18B0"/>
    <w:rsid w:val="009A190A"/>
    <w:rsid w:val="009A1921"/>
    <w:rsid w:val="009A1AD3"/>
    <w:rsid w:val="009A1AEB"/>
    <w:rsid w:val="009A1BCF"/>
    <w:rsid w:val="009A1C34"/>
    <w:rsid w:val="009A1C96"/>
    <w:rsid w:val="009A1D0E"/>
    <w:rsid w:val="009A1D64"/>
    <w:rsid w:val="009A1E7D"/>
    <w:rsid w:val="009A1E83"/>
    <w:rsid w:val="009A1F84"/>
    <w:rsid w:val="009A1FB0"/>
    <w:rsid w:val="009A2165"/>
    <w:rsid w:val="009A21EC"/>
    <w:rsid w:val="009A230D"/>
    <w:rsid w:val="009A2317"/>
    <w:rsid w:val="009A23F9"/>
    <w:rsid w:val="009A244B"/>
    <w:rsid w:val="009A2896"/>
    <w:rsid w:val="009A28AB"/>
    <w:rsid w:val="009A2B0B"/>
    <w:rsid w:val="009A2B89"/>
    <w:rsid w:val="009A2D34"/>
    <w:rsid w:val="009A2E29"/>
    <w:rsid w:val="009A2EA7"/>
    <w:rsid w:val="009A2F6F"/>
    <w:rsid w:val="009A3224"/>
    <w:rsid w:val="009A3381"/>
    <w:rsid w:val="009A3392"/>
    <w:rsid w:val="009A33B6"/>
    <w:rsid w:val="009A381B"/>
    <w:rsid w:val="009A390C"/>
    <w:rsid w:val="009A395D"/>
    <w:rsid w:val="009A3B53"/>
    <w:rsid w:val="009A3BD3"/>
    <w:rsid w:val="009A3CF8"/>
    <w:rsid w:val="009A3D61"/>
    <w:rsid w:val="009A3E5F"/>
    <w:rsid w:val="009A3E75"/>
    <w:rsid w:val="009A3E9A"/>
    <w:rsid w:val="009A3F45"/>
    <w:rsid w:val="009A3F7A"/>
    <w:rsid w:val="009A3FA5"/>
    <w:rsid w:val="009A4121"/>
    <w:rsid w:val="009A4311"/>
    <w:rsid w:val="009A4407"/>
    <w:rsid w:val="009A443D"/>
    <w:rsid w:val="009A4442"/>
    <w:rsid w:val="009A4481"/>
    <w:rsid w:val="009A450C"/>
    <w:rsid w:val="009A45BC"/>
    <w:rsid w:val="009A4677"/>
    <w:rsid w:val="009A46D7"/>
    <w:rsid w:val="009A4749"/>
    <w:rsid w:val="009A475E"/>
    <w:rsid w:val="009A4929"/>
    <w:rsid w:val="009A49A9"/>
    <w:rsid w:val="009A4A13"/>
    <w:rsid w:val="009A4A5F"/>
    <w:rsid w:val="009A4CD2"/>
    <w:rsid w:val="009A4E5F"/>
    <w:rsid w:val="009A4F15"/>
    <w:rsid w:val="009A5028"/>
    <w:rsid w:val="009A506F"/>
    <w:rsid w:val="009A5072"/>
    <w:rsid w:val="009A508F"/>
    <w:rsid w:val="009A50FA"/>
    <w:rsid w:val="009A51D0"/>
    <w:rsid w:val="009A5221"/>
    <w:rsid w:val="009A52CC"/>
    <w:rsid w:val="009A539A"/>
    <w:rsid w:val="009A5492"/>
    <w:rsid w:val="009A5499"/>
    <w:rsid w:val="009A558E"/>
    <w:rsid w:val="009A5955"/>
    <w:rsid w:val="009A5A6E"/>
    <w:rsid w:val="009A5AA5"/>
    <w:rsid w:val="009A5AD3"/>
    <w:rsid w:val="009A5B32"/>
    <w:rsid w:val="009A5BC4"/>
    <w:rsid w:val="009A5C80"/>
    <w:rsid w:val="009A6081"/>
    <w:rsid w:val="009A61B1"/>
    <w:rsid w:val="009A627E"/>
    <w:rsid w:val="009A62F1"/>
    <w:rsid w:val="009A6348"/>
    <w:rsid w:val="009A6425"/>
    <w:rsid w:val="009A6443"/>
    <w:rsid w:val="009A6841"/>
    <w:rsid w:val="009A6899"/>
    <w:rsid w:val="009A6996"/>
    <w:rsid w:val="009A6A25"/>
    <w:rsid w:val="009A6AFF"/>
    <w:rsid w:val="009A6BEE"/>
    <w:rsid w:val="009A6C0A"/>
    <w:rsid w:val="009A6EC3"/>
    <w:rsid w:val="009A6FAC"/>
    <w:rsid w:val="009A7029"/>
    <w:rsid w:val="009A703D"/>
    <w:rsid w:val="009A7138"/>
    <w:rsid w:val="009A7376"/>
    <w:rsid w:val="009A73DA"/>
    <w:rsid w:val="009A7578"/>
    <w:rsid w:val="009A75B3"/>
    <w:rsid w:val="009A77F2"/>
    <w:rsid w:val="009A782D"/>
    <w:rsid w:val="009A789A"/>
    <w:rsid w:val="009A7936"/>
    <w:rsid w:val="009A7BB4"/>
    <w:rsid w:val="009A7D35"/>
    <w:rsid w:val="009A7DD2"/>
    <w:rsid w:val="009A7E35"/>
    <w:rsid w:val="009B0052"/>
    <w:rsid w:val="009B036E"/>
    <w:rsid w:val="009B03AC"/>
    <w:rsid w:val="009B0452"/>
    <w:rsid w:val="009B0493"/>
    <w:rsid w:val="009B04CD"/>
    <w:rsid w:val="009B06BE"/>
    <w:rsid w:val="009B06F2"/>
    <w:rsid w:val="009B0AD6"/>
    <w:rsid w:val="009B0B35"/>
    <w:rsid w:val="009B0BE6"/>
    <w:rsid w:val="009B0C16"/>
    <w:rsid w:val="009B0CA9"/>
    <w:rsid w:val="009B0CF1"/>
    <w:rsid w:val="009B0D4A"/>
    <w:rsid w:val="009B0DFE"/>
    <w:rsid w:val="009B0F67"/>
    <w:rsid w:val="009B113E"/>
    <w:rsid w:val="009B1175"/>
    <w:rsid w:val="009B1272"/>
    <w:rsid w:val="009B1277"/>
    <w:rsid w:val="009B1278"/>
    <w:rsid w:val="009B12C1"/>
    <w:rsid w:val="009B138D"/>
    <w:rsid w:val="009B140C"/>
    <w:rsid w:val="009B1462"/>
    <w:rsid w:val="009B14F0"/>
    <w:rsid w:val="009B1569"/>
    <w:rsid w:val="009B179C"/>
    <w:rsid w:val="009B17B2"/>
    <w:rsid w:val="009B18EB"/>
    <w:rsid w:val="009B197A"/>
    <w:rsid w:val="009B19FC"/>
    <w:rsid w:val="009B1AEC"/>
    <w:rsid w:val="009B1C04"/>
    <w:rsid w:val="009B1C2C"/>
    <w:rsid w:val="009B1EB0"/>
    <w:rsid w:val="009B20EB"/>
    <w:rsid w:val="009B211F"/>
    <w:rsid w:val="009B21E3"/>
    <w:rsid w:val="009B2202"/>
    <w:rsid w:val="009B222C"/>
    <w:rsid w:val="009B225F"/>
    <w:rsid w:val="009B22B5"/>
    <w:rsid w:val="009B2305"/>
    <w:rsid w:val="009B2349"/>
    <w:rsid w:val="009B24C8"/>
    <w:rsid w:val="009B24CB"/>
    <w:rsid w:val="009B25AE"/>
    <w:rsid w:val="009B26DA"/>
    <w:rsid w:val="009B2811"/>
    <w:rsid w:val="009B2854"/>
    <w:rsid w:val="009B28FC"/>
    <w:rsid w:val="009B29FA"/>
    <w:rsid w:val="009B2A6C"/>
    <w:rsid w:val="009B2AD2"/>
    <w:rsid w:val="009B2AFF"/>
    <w:rsid w:val="009B2B84"/>
    <w:rsid w:val="009B2BA3"/>
    <w:rsid w:val="009B2D87"/>
    <w:rsid w:val="009B2E2E"/>
    <w:rsid w:val="009B2EDF"/>
    <w:rsid w:val="009B2F89"/>
    <w:rsid w:val="009B3034"/>
    <w:rsid w:val="009B3334"/>
    <w:rsid w:val="009B3380"/>
    <w:rsid w:val="009B35A8"/>
    <w:rsid w:val="009B3675"/>
    <w:rsid w:val="009B36CB"/>
    <w:rsid w:val="009B38CF"/>
    <w:rsid w:val="009B398B"/>
    <w:rsid w:val="009B39D4"/>
    <w:rsid w:val="009B3A19"/>
    <w:rsid w:val="009B3A23"/>
    <w:rsid w:val="009B3C03"/>
    <w:rsid w:val="009B3D73"/>
    <w:rsid w:val="009B3DC0"/>
    <w:rsid w:val="009B3DDB"/>
    <w:rsid w:val="009B3F77"/>
    <w:rsid w:val="009B40F6"/>
    <w:rsid w:val="009B4133"/>
    <w:rsid w:val="009B4160"/>
    <w:rsid w:val="009B42EA"/>
    <w:rsid w:val="009B4351"/>
    <w:rsid w:val="009B438C"/>
    <w:rsid w:val="009B4897"/>
    <w:rsid w:val="009B48FE"/>
    <w:rsid w:val="009B49BD"/>
    <w:rsid w:val="009B4A4A"/>
    <w:rsid w:val="009B4ABC"/>
    <w:rsid w:val="009B4B48"/>
    <w:rsid w:val="009B4D12"/>
    <w:rsid w:val="009B4DF0"/>
    <w:rsid w:val="009B4EA0"/>
    <w:rsid w:val="009B4F06"/>
    <w:rsid w:val="009B4F9F"/>
    <w:rsid w:val="009B5040"/>
    <w:rsid w:val="009B50FE"/>
    <w:rsid w:val="009B528C"/>
    <w:rsid w:val="009B52E5"/>
    <w:rsid w:val="009B54A4"/>
    <w:rsid w:val="009B558F"/>
    <w:rsid w:val="009B559D"/>
    <w:rsid w:val="009B56EB"/>
    <w:rsid w:val="009B5868"/>
    <w:rsid w:val="009B58B2"/>
    <w:rsid w:val="009B5912"/>
    <w:rsid w:val="009B59B4"/>
    <w:rsid w:val="009B59F8"/>
    <w:rsid w:val="009B5AE9"/>
    <w:rsid w:val="009B5B16"/>
    <w:rsid w:val="009B5C82"/>
    <w:rsid w:val="009B5CA0"/>
    <w:rsid w:val="009B6134"/>
    <w:rsid w:val="009B6374"/>
    <w:rsid w:val="009B642C"/>
    <w:rsid w:val="009B64A7"/>
    <w:rsid w:val="009B6628"/>
    <w:rsid w:val="009B664B"/>
    <w:rsid w:val="009B669D"/>
    <w:rsid w:val="009B66E2"/>
    <w:rsid w:val="009B6831"/>
    <w:rsid w:val="009B68DB"/>
    <w:rsid w:val="009B6949"/>
    <w:rsid w:val="009B6C54"/>
    <w:rsid w:val="009B6CC6"/>
    <w:rsid w:val="009B6DA7"/>
    <w:rsid w:val="009B6E0D"/>
    <w:rsid w:val="009B6E42"/>
    <w:rsid w:val="009B6EBF"/>
    <w:rsid w:val="009B6F86"/>
    <w:rsid w:val="009B7028"/>
    <w:rsid w:val="009B7031"/>
    <w:rsid w:val="009B7076"/>
    <w:rsid w:val="009B723F"/>
    <w:rsid w:val="009B72AE"/>
    <w:rsid w:val="009B74E1"/>
    <w:rsid w:val="009B7520"/>
    <w:rsid w:val="009B7542"/>
    <w:rsid w:val="009B7634"/>
    <w:rsid w:val="009B77CE"/>
    <w:rsid w:val="009B79E2"/>
    <w:rsid w:val="009B7A9B"/>
    <w:rsid w:val="009B7AF1"/>
    <w:rsid w:val="009B7B1C"/>
    <w:rsid w:val="009B7D55"/>
    <w:rsid w:val="009B7E43"/>
    <w:rsid w:val="009B7E71"/>
    <w:rsid w:val="009B7E77"/>
    <w:rsid w:val="009B7F05"/>
    <w:rsid w:val="009C00A6"/>
    <w:rsid w:val="009C03DF"/>
    <w:rsid w:val="009C04A7"/>
    <w:rsid w:val="009C04CE"/>
    <w:rsid w:val="009C04F5"/>
    <w:rsid w:val="009C0500"/>
    <w:rsid w:val="009C051A"/>
    <w:rsid w:val="009C0616"/>
    <w:rsid w:val="009C0663"/>
    <w:rsid w:val="009C0813"/>
    <w:rsid w:val="009C09C6"/>
    <w:rsid w:val="009C0B02"/>
    <w:rsid w:val="009C0B5E"/>
    <w:rsid w:val="009C0D73"/>
    <w:rsid w:val="009C0D99"/>
    <w:rsid w:val="009C0E55"/>
    <w:rsid w:val="009C0FFA"/>
    <w:rsid w:val="009C1057"/>
    <w:rsid w:val="009C1329"/>
    <w:rsid w:val="009C144B"/>
    <w:rsid w:val="009C145A"/>
    <w:rsid w:val="009C1554"/>
    <w:rsid w:val="009C155F"/>
    <w:rsid w:val="009C157F"/>
    <w:rsid w:val="009C1803"/>
    <w:rsid w:val="009C1A90"/>
    <w:rsid w:val="009C1B09"/>
    <w:rsid w:val="009C1C91"/>
    <w:rsid w:val="009C1D64"/>
    <w:rsid w:val="009C1DB3"/>
    <w:rsid w:val="009C1DB8"/>
    <w:rsid w:val="009C1EF2"/>
    <w:rsid w:val="009C1EF8"/>
    <w:rsid w:val="009C1F80"/>
    <w:rsid w:val="009C1FDB"/>
    <w:rsid w:val="009C2032"/>
    <w:rsid w:val="009C2300"/>
    <w:rsid w:val="009C264B"/>
    <w:rsid w:val="009C2677"/>
    <w:rsid w:val="009C2705"/>
    <w:rsid w:val="009C2ACC"/>
    <w:rsid w:val="009C2C41"/>
    <w:rsid w:val="009C2C6A"/>
    <w:rsid w:val="009C317E"/>
    <w:rsid w:val="009C3195"/>
    <w:rsid w:val="009C32C6"/>
    <w:rsid w:val="009C3392"/>
    <w:rsid w:val="009C345A"/>
    <w:rsid w:val="009C354F"/>
    <w:rsid w:val="009C356D"/>
    <w:rsid w:val="009C367D"/>
    <w:rsid w:val="009C3680"/>
    <w:rsid w:val="009C3741"/>
    <w:rsid w:val="009C37E9"/>
    <w:rsid w:val="009C3931"/>
    <w:rsid w:val="009C39BC"/>
    <w:rsid w:val="009C3AF5"/>
    <w:rsid w:val="009C3C28"/>
    <w:rsid w:val="009C3E77"/>
    <w:rsid w:val="009C3F1F"/>
    <w:rsid w:val="009C3F68"/>
    <w:rsid w:val="009C4096"/>
    <w:rsid w:val="009C40EC"/>
    <w:rsid w:val="009C4151"/>
    <w:rsid w:val="009C4275"/>
    <w:rsid w:val="009C442C"/>
    <w:rsid w:val="009C44B2"/>
    <w:rsid w:val="009C4598"/>
    <w:rsid w:val="009C45A2"/>
    <w:rsid w:val="009C4654"/>
    <w:rsid w:val="009C470D"/>
    <w:rsid w:val="009C4799"/>
    <w:rsid w:val="009C49A2"/>
    <w:rsid w:val="009C4B43"/>
    <w:rsid w:val="009C4C81"/>
    <w:rsid w:val="009C4CA4"/>
    <w:rsid w:val="009C4E09"/>
    <w:rsid w:val="009C4E8C"/>
    <w:rsid w:val="009C4F29"/>
    <w:rsid w:val="009C503F"/>
    <w:rsid w:val="009C50B1"/>
    <w:rsid w:val="009C519A"/>
    <w:rsid w:val="009C51F2"/>
    <w:rsid w:val="009C528F"/>
    <w:rsid w:val="009C5327"/>
    <w:rsid w:val="009C533D"/>
    <w:rsid w:val="009C5403"/>
    <w:rsid w:val="009C55A3"/>
    <w:rsid w:val="009C5653"/>
    <w:rsid w:val="009C567E"/>
    <w:rsid w:val="009C5730"/>
    <w:rsid w:val="009C57F9"/>
    <w:rsid w:val="009C5BA9"/>
    <w:rsid w:val="009C5BD3"/>
    <w:rsid w:val="009C5E11"/>
    <w:rsid w:val="009C5ED1"/>
    <w:rsid w:val="009C5EEF"/>
    <w:rsid w:val="009C5FDE"/>
    <w:rsid w:val="009C62BC"/>
    <w:rsid w:val="009C633A"/>
    <w:rsid w:val="009C63C6"/>
    <w:rsid w:val="009C64D3"/>
    <w:rsid w:val="009C6635"/>
    <w:rsid w:val="009C6667"/>
    <w:rsid w:val="009C66CD"/>
    <w:rsid w:val="009C6898"/>
    <w:rsid w:val="009C689E"/>
    <w:rsid w:val="009C69B8"/>
    <w:rsid w:val="009C6A46"/>
    <w:rsid w:val="009C6B8A"/>
    <w:rsid w:val="009C6C7A"/>
    <w:rsid w:val="009C6F52"/>
    <w:rsid w:val="009C708E"/>
    <w:rsid w:val="009C715D"/>
    <w:rsid w:val="009C7193"/>
    <w:rsid w:val="009C71C6"/>
    <w:rsid w:val="009C7256"/>
    <w:rsid w:val="009C72BE"/>
    <w:rsid w:val="009C7332"/>
    <w:rsid w:val="009C737F"/>
    <w:rsid w:val="009C738A"/>
    <w:rsid w:val="009C7427"/>
    <w:rsid w:val="009C74B9"/>
    <w:rsid w:val="009C7634"/>
    <w:rsid w:val="009C764D"/>
    <w:rsid w:val="009C7677"/>
    <w:rsid w:val="009C76D7"/>
    <w:rsid w:val="009C76F1"/>
    <w:rsid w:val="009C7968"/>
    <w:rsid w:val="009C79C7"/>
    <w:rsid w:val="009C7A48"/>
    <w:rsid w:val="009C7A50"/>
    <w:rsid w:val="009C7BDD"/>
    <w:rsid w:val="009C7D6D"/>
    <w:rsid w:val="009C7E2B"/>
    <w:rsid w:val="009C7E9B"/>
    <w:rsid w:val="009C7EC4"/>
    <w:rsid w:val="009D0009"/>
    <w:rsid w:val="009D0015"/>
    <w:rsid w:val="009D02D8"/>
    <w:rsid w:val="009D0337"/>
    <w:rsid w:val="009D0343"/>
    <w:rsid w:val="009D0461"/>
    <w:rsid w:val="009D0564"/>
    <w:rsid w:val="009D075A"/>
    <w:rsid w:val="009D0A78"/>
    <w:rsid w:val="009D0AF3"/>
    <w:rsid w:val="009D0B2E"/>
    <w:rsid w:val="009D0B49"/>
    <w:rsid w:val="009D0BF0"/>
    <w:rsid w:val="009D0E6C"/>
    <w:rsid w:val="009D122F"/>
    <w:rsid w:val="009D123C"/>
    <w:rsid w:val="009D12CC"/>
    <w:rsid w:val="009D1378"/>
    <w:rsid w:val="009D145E"/>
    <w:rsid w:val="009D15BE"/>
    <w:rsid w:val="009D170D"/>
    <w:rsid w:val="009D183A"/>
    <w:rsid w:val="009D18B5"/>
    <w:rsid w:val="009D1A12"/>
    <w:rsid w:val="009D1B90"/>
    <w:rsid w:val="009D1E7B"/>
    <w:rsid w:val="009D1F4B"/>
    <w:rsid w:val="009D20A1"/>
    <w:rsid w:val="009D21B9"/>
    <w:rsid w:val="009D2335"/>
    <w:rsid w:val="009D239E"/>
    <w:rsid w:val="009D246D"/>
    <w:rsid w:val="009D24FA"/>
    <w:rsid w:val="009D254B"/>
    <w:rsid w:val="009D25B8"/>
    <w:rsid w:val="009D2AF6"/>
    <w:rsid w:val="009D2B65"/>
    <w:rsid w:val="009D2B78"/>
    <w:rsid w:val="009D2BD8"/>
    <w:rsid w:val="009D2C40"/>
    <w:rsid w:val="009D2DA2"/>
    <w:rsid w:val="009D2F5B"/>
    <w:rsid w:val="009D2F68"/>
    <w:rsid w:val="009D3017"/>
    <w:rsid w:val="009D30B6"/>
    <w:rsid w:val="009D32C0"/>
    <w:rsid w:val="009D365E"/>
    <w:rsid w:val="009D36F7"/>
    <w:rsid w:val="009D383C"/>
    <w:rsid w:val="009D3A14"/>
    <w:rsid w:val="009D3AA4"/>
    <w:rsid w:val="009D3AE5"/>
    <w:rsid w:val="009D3AF4"/>
    <w:rsid w:val="009D3B22"/>
    <w:rsid w:val="009D3C02"/>
    <w:rsid w:val="009D3D6D"/>
    <w:rsid w:val="009D3E60"/>
    <w:rsid w:val="009D3F3E"/>
    <w:rsid w:val="009D3F61"/>
    <w:rsid w:val="009D417C"/>
    <w:rsid w:val="009D41D5"/>
    <w:rsid w:val="009D4206"/>
    <w:rsid w:val="009D4216"/>
    <w:rsid w:val="009D4229"/>
    <w:rsid w:val="009D424E"/>
    <w:rsid w:val="009D4259"/>
    <w:rsid w:val="009D44EE"/>
    <w:rsid w:val="009D456C"/>
    <w:rsid w:val="009D4624"/>
    <w:rsid w:val="009D46C6"/>
    <w:rsid w:val="009D46DC"/>
    <w:rsid w:val="009D46F0"/>
    <w:rsid w:val="009D46FC"/>
    <w:rsid w:val="009D486D"/>
    <w:rsid w:val="009D4A17"/>
    <w:rsid w:val="009D4ACD"/>
    <w:rsid w:val="009D4B84"/>
    <w:rsid w:val="009D4C36"/>
    <w:rsid w:val="009D4C4A"/>
    <w:rsid w:val="009D4C91"/>
    <w:rsid w:val="009D4CD4"/>
    <w:rsid w:val="009D4E02"/>
    <w:rsid w:val="009D4E9F"/>
    <w:rsid w:val="009D4FC3"/>
    <w:rsid w:val="009D5025"/>
    <w:rsid w:val="009D50E4"/>
    <w:rsid w:val="009D5128"/>
    <w:rsid w:val="009D51F1"/>
    <w:rsid w:val="009D5208"/>
    <w:rsid w:val="009D59F0"/>
    <w:rsid w:val="009D5B53"/>
    <w:rsid w:val="009D5B56"/>
    <w:rsid w:val="009D5C59"/>
    <w:rsid w:val="009D5C83"/>
    <w:rsid w:val="009D5D17"/>
    <w:rsid w:val="009D5D27"/>
    <w:rsid w:val="009D5DB3"/>
    <w:rsid w:val="009D5DD0"/>
    <w:rsid w:val="009D5FBB"/>
    <w:rsid w:val="009D60B1"/>
    <w:rsid w:val="009D6328"/>
    <w:rsid w:val="009D634E"/>
    <w:rsid w:val="009D63DA"/>
    <w:rsid w:val="009D63EB"/>
    <w:rsid w:val="009D6529"/>
    <w:rsid w:val="009D657F"/>
    <w:rsid w:val="009D6670"/>
    <w:rsid w:val="009D6759"/>
    <w:rsid w:val="009D6C6B"/>
    <w:rsid w:val="009D6CBC"/>
    <w:rsid w:val="009D6CDE"/>
    <w:rsid w:val="009D6DA3"/>
    <w:rsid w:val="009D6E8B"/>
    <w:rsid w:val="009D703F"/>
    <w:rsid w:val="009D706B"/>
    <w:rsid w:val="009D718D"/>
    <w:rsid w:val="009D71C5"/>
    <w:rsid w:val="009D7354"/>
    <w:rsid w:val="009D745A"/>
    <w:rsid w:val="009D757A"/>
    <w:rsid w:val="009D75C2"/>
    <w:rsid w:val="009D760E"/>
    <w:rsid w:val="009D7755"/>
    <w:rsid w:val="009D7780"/>
    <w:rsid w:val="009D77E0"/>
    <w:rsid w:val="009D7877"/>
    <w:rsid w:val="009D7901"/>
    <w:rsid w:val="009D79D4"/>
    <w:rsid w:val="009D7A96"/>
    <w:rsid w:val="009D7AFF"/>
    <w:rsid w:val="009D7CF4"/>
    <w:rsid w:val="009D7DB4"/>
    <w:rsid w:val="009D7E31"/>
    <w:rsid w:val="009D7F09"/>
    <w:rsid w:val="009D7F27"/>
    <w:rsid w:val="009D7F76"/>
    <w:rsid w:val="009D7FB4"/>
    <w:rsid w:val="009E0038"/>
    <w:rsid w:val="009E011C"/>
    <w:rsid w:val="009E0393"/>
    <w:rsid w:val="009E03B7"/>
    <w:rsid w:val="009E03D3"/>
    <w:rsid w:val="009E069E"/>
    <w:rsid w:val="009E0706"/>
    <w:rsid w:val="009E0711"/>
    <w:rsid w:val="009E0AAF"/>
    <w:rsid w:val="009E0B3B"/>
    <w:rsid w:val="009E0B89"/>
    <w:rsid w:val="009E0BB4"/>
    <w:rsid w:val="009E0C32"/>
    <w:rsid w:val="009E0E0A"/>
    <w:rsid w:val="009E0E41"/>
    <w:rsid w:val="009E0FD3"/>
    <w:rsid w:val="009E10BF"/>
    <w:rsid w:val="009E10E3"/>
    <w:rsid w:val="009E10E5"/>
    <w:rsid w:val="009E1134"/>
    <w:rsid w:val="009E115F"/>
    <w:rsid w:val="009E1169"/>
    <w:rsid w:val="009E1221"/>
    <w:rsid w:val="009E1250"/>
    <w:rsid w:val="009E1252"/>
    <w:rsid w:val="009E1519"/>
    <w:rsid w:val="009E154E"/>
    <w:rsid w:val="009E156D"/>
    <w:rsid w:val="009E164D"/>
    <w:rsid w:val="009E1695"/>
    <w:rsid w:val="009E1A1B"/>
    <w:rsid w:val="009E1A1F"/>
    <w:rsid w:val="009E1B7D"/>
    <w:rsid w:val="009E1D8C"/>
    <w:rsid w:val="009E1E4B"/>
    <w:rsid w:val="009E1ED8"/>
    <w:rsid w:val="009E1FB3"/>
    <w:rsid w:val="009E219E"/>
    <w:rsid w:val="009E21B3"/>
    <w:rsid w:val="009E245D"/>
    <w:rsid w:val="009E25F3"/>
    <w:rsid w:val="009E26C9"/>
    <w:rsid w:val="009E2799"/>
    <w:rsid w:val="009E27FA"/>
    <w:rsid w:val="009E2957"/>
    <w:rsid w:val="009E2A56"/>
    <w:rsid w:val="009E2C8B"/>
    <w:rsid w:val="009E2DA8"/>
    <w:rsid w:val="009E2E2D"/>
    <w:rsid w:val="009E2F7F"/>
    <w:rsid w:val="009E3258"/>
    <w:rsid w:val="009E328F"/>
    <w:rsid w:val="009E33BF"/>
    <w:rsid w:val="009E34A8"/>
    <w:rsid w:val="009E3523"/>
    <w:rsid w:val="009E3691"/>
    <w:rsid w:val="009E3903"/>
    <w:rsid w:val="009E3A9B"/>
    <w:rsid w:val="009E3B07"/>
    <w:rsid w:val="009E3E16"/>
    <w:rsid w:val="009E3F2B"/>
    <w:rsid w:val="009E403C"/>
    <w:rsid w:val="009E4234"/>
    <w:rsid w:val="009E429A"/>
    <w:rsid w:val="009E44A5"/>
    <w:rsid w:val="009E452D"/>
    <w:rsid w:val="009E4544"/>
    <w:rsid w:val="009E458E"/>
    <w:rsid w:val="009E45C5"/>
    <w:rsid w:val="009E46C1"/>
    <w:rsid w:val="009E47B1"/>
    <w:rsid w:val="009E4837"/>
    <w:rsid w:val="009E48CD"/>
    <w:rsid w:val="009E491E"/>
    <w:rsid w:val="009E492F"/>
    <w:rsid w:val="009E49EC"/>
    <w:rsid w:val="009E4A96"/>
    <w:rsid w:val="009E4AF6"/>
    <w:rsid w:val="009E4B10"/>
    <w:rsid w:val="009E4C0D"/>
    <w:rsid w:val="009E4D90"/>
    <w:rsid w:val="009E4ED8"/>
    <w:rsid w:val="009E4EE1"/>
    <w:rsid w:val="009E51BE"/>
    <w:rsid w:val="009E52E1"/>
    <w:rsid w:val="009E52E4"/>
    <w:rsid w:val="009E5418"/>
    <w:rsid w:val="009E5449"/>
    <w:rsid w:val="009E5488"/>
    <w:rsid w:val="009E5538"/>
    <w:rsid w:val="009E55F9"/>
    <w:rsid w:val="009E573D"/>
    <w:rsid w:val="009E577E"/>
    <w:rsid w:val="009E593C"/>
    <w:rsid w:val="009E595B"/>
    <w:rsid w:val="009E59B6"/>
    <w:rsid w:val="009E5A09"/>
    <w:rsid w:val="009E5A1D"/>
    <w:rsid w:val="009E5A95"/>
    <w:rsid w:val="009E5AD5"/>
    <w:rsid w:val="009E5AE4"/>
    <w:rsid w:val="009E5C57"/>
    <w:rsid w:val="009E5D05"/>
    <w:rsid w:val="009E5D1B"/>
    <w:rsid w:val="009E5DC5"/>
    <w:rsid w:val="009E5EC9"/>
    <w:rsid w:val="009E5F7C"/>
    <w:rsid w:val="009E60AF"/>
    <w:rsid w:val="009E6190"/>
    <w:rsid w:val="009E619B"/>
    <w:rsid w:val="009E63B7"/>
    <w:rsid w:val="009E63E6"/>
    <w:rsid w:val="009E64A6"/>
    <w:rsid w:val="009E65A1"/>
    <w:rsid w:val="009E6711"/>
    <w:rsid w:val="009E6780"/>
    <w:rsid w:val="009E67DA"/>
    <w:rsid w:val="009E68CF"/>
    <w:rsid w:val="009E69C5"/>
    <w:rsid w:val="009E6A3C"/>
    <w:rsid w:val="009E6B8A"/>
    <w:rsid w:val="009E6C8F"/>
    <w:rsid w:val="009E6E15"/>
    <w:rsid w:val="009E6EA3"/>
    <w:rsid w:val="009E7060"/>
    <w:rsid w:val="009E7120"/>
    <w:rsid w:val="009E71B7"/>
    <w:rsid w:val="009E735B"/>
    <w:rsid w:val="009E737F"/>
    <w:rsid w:val="009E748F"/>
    <w:rsid w:val="009E74C4"/>
    <w:rsid w:val="009E74F1"/>
    <w:rsid w:val="009E7609"/>
    <w:rsid w:val="009E76A6"/>
    <w:rsid w:val="009E76E3"/>
    <w:rsid w:val="009E76F2"/>
    <w:rsid w:val="009E77D9"/>
    <w:rsid w:val="009E785E"/>
    <w:rsid w:val="009E7986"/>
    <w:rsid w:val="009E7AE4"/>
    <w:rsid w:val="009E7B84"/>
    <w:rsid w:val="009E7F8C"/>
    <w:rsid w:val="009F0071"/>
    <w:rsid w:val="009F0084"/>
    <w:rsid w:val="009F00E6"/>
    <w:rsid w:val="009F0135"/>
    <w:rsid w:val="009F0411"/>
    <w:rsid w:val="009F044C"/>
    <w:rsid w:val="009F047B"/>
    <w:rsid w:val="009F04E3"/>
    <w:rsid w:val="009F0B9D"/>
    <w:rsid w:val="009F0D26"/>
    <w:rsid w:val="009F0EB0"/>
    <w:rsid w:val="009F0EDA"/>
    <w:rsid w:val="009F109E"/>
    <w:rsid w:val="009F11F8"/>
    <w:rsid w:val="009F1284"/>
    <w:rsid w:val="009F1537"/>
    <w:rsid w:val="009F1549"/>
    <w:rsid w:val="009F15E5"/>
    <w:rsid w:val="009F168F"/>
    <w:rsid w:val="009F1779"/>
    <w:rsid w:val="009F18D3"/>
    <w:rsid w:val="009F1958"/>
    <w:rsid w:val="009F1C92"/>
    <w:rsid w:val="009F1CDA"/>
    <w:rsid w:val="009F1CF4"/>
    <w:rsid w:val="009F1D18"/>
    <w:rsid w:val="009F1D2B"/>
    <w:rsid w:val="009F1E55"/>
    <w:rsid w:val="009F1EEF"/>
    <w:rsid w:val="009F1F0E"/>
    <w:rsid w:val="009F2021"/>
    <w:rsid w:val="009F20B1"/>
    <w:rsid w:val="009F20D7"/>
    <w:rsid w:val="009F2204"/>
    <w:rsid w:val="009F228F"/>
    <w:rsid w:val="009F2471"/>
    <w:rsid w:val="009F24D6"/>
    <w:rsid w:val="009F2544"/>
    <w:rsid w:val="009F2684"/>
    <w:rsid w:val="009F2783"/>
    <w:rsid w:val="009F29C1"/>
    <w:rsid w:val="009F29CB"/>
    <w:rsid w:val="009F2A42"/>
    <w:rsid w:val="009F2ACA"/>
    <w:rsid w:val="009F2C8F"/>
    <w:rsid w:val="009F2CD3"/>
    <w:rsid w:val="009F2D46"/>
    <w:rsid w:val="009F2DDB"/>
    <w:rsid w:val="009F2EBA"/>
    <w:rsid w:val="009F2EF1"/>
    <w:rsid w:val="009F2FF4"/>
    <w:rsid w:val="009F30E5"/>
    <w:rsid w:val="009F310F"/>
    <w:rsid w:val="009F315D"/>
    <w:rsid w:val="009F3217"/>
    <w:rsid w:val="009F328B"/>
    <w:rsid w:val="009F32F2"/>
    <w:rsid w:val="009F33C2"/>
    <w:rsid w:val="009F3420"/>
    <w:rsid w:val="009F3445"/>
    <w:rsid w:val="009F34D9"/>
    <w:rsid w:val="009F3514"/>
    <w:rsid w:val="009F37B9"/>
    <w:rsid w:val="009F37C9"/>
    <w:rsid w:val="009F383A"/>
    <w:rsid w:val="009F39CE"/>
    <w:rsid w:val="009F3AF5"/>
    <w:rsid w:val="009F3BD7"/>
    <w:rsid w:val="009F3CC5"/>
    <w:rsid w:val="009F3DB3"/>
    <w:rsid w:val="009F3E2D"/>
    <w:rsid w:val="009F3F14"/>
    <w:rsid w:val="009F3F54"/>
    <w:rsid w:val="009F406D"/>
    <w:rsid w:val="009F4128"/>
    <w:rsid w:val="009F42EC"/>
    <w:rsid w:val="009F4333"/>
    <w:rsid w:val="009F438D"/>
    <w:rsid w:val="009F43A1"/>
    <w:rsid w:val="009F4408"/>
    <w:rsid w:val="009F456E"/>
    <w:rsid w:val="009F46CA"/>
    <w:rsid w:val="009F4742"/>
    <w:rsid w:val="009F47B2"/>
    <w:rsid w:val="009F48B9"/>
    <w:rsid w:val="009F4981"/>
    <w:rsid w:val="009F4A0D"/>
    <w:rsid w:val="009F4AFF"/>
    <w:rsid w:val="009F4B24"/>
    <w:rsid w:val="009F4BD4"/>
    <w:rsid w:val="009F4C52"/>
    <w:rsid w:val="009F4D80"/>
    <w:rsid w:val="009F4FCA"/>
    <w:rsid w:val="009F5082"/>
    <w:rsid w:val="009F5138"/>
    <w:rsid w:val="009F51D1"/>
    <w:rsid w:val="009F535A"/>
    <w:rsid w:val="009F5364"/>
    <w:rsid w:val="009F5415"/>
    <w:rsid w:val="009F554A"/>
    <w:rsid w:val="009F57A3"/>
    <w:rsid w:val="009F57C1"/>
    <w:rsid w:val="009F57E3"/>
    <w:rsid w:val="009F5914"/>
    <w:rsid w:val="009F5A83"/>
    <w:rsid w:val="009F5B1E"/>
    <w:rsid w:val="009F5BAF"/>
    <w:rsid w:val="009F5D12"/>
    <w:rsid w:val="009F5E2E"/>
    <w:rsid w:val="009F5F55"/>
    <w:rsid w:val="009F5FD7"/>
    <w:rsid w:val="009F6006"/>
    <w:rsid w:val="009F60AD"/>
    <w:rsid w:val="009F61E9"/>
    <w:rsid w:val="009F6261"/>
    <w:rsid w:val="009F6352"/>
    <w:rsid w:val="009F63CD"/>
    <w:rsid w:val="009F6522"/>
    <w:rsid w:val="009F6664"/>
    <w:rsid w:val="009F66A4"/>
    <w:rsid w:val="009F66F8"/>
    <w:rsid w:val="009F6788"/>
    <w:rsid w:val="009F67A6"/>
    <w:rsid w:val="009F683F"/>
    <w:rsid w:val="009F6852"/>
    <w:rsid w:val="009F6897"/>
    <w:rsid w:val="009F68B6"/>
    <w:rsid w:val="009F6B3A"/>
    <w:rsid w:val="009F6D85"/>
    <w:rsid w:val="009F6F2E"/>
    <w:rsid w:val="009F6F4A"/>
    <w:rsid w:val="009F6FCA"/>
    <w:rsid w:val="009F6FCE"/>
    <w:rsid w:val="009F7092"/>
    <w:rsid w:val="009F7284"/>
    <w:rsid w:val="009F7294"/>
    <w:rsid w:val="009F7408"/>
    <w:rsid w:val="009F758A"/>
    <w:rsid w:val="009F7635"/>
    <w:rsid w:val="009F770D"/>
    <w:rsid w:val="009F7774"/>
    <w:rsid w:val="009F7892"/>
    <w:rsid w:val="009F7AA3"/>
    <w:rsid w:val="009F7BC0"/>
    <w:rsid w:val="009F7D17"/>
    <w:rsid w:val="009F7D55"/>
    <w:rsid w:val="009F7DBA"/>
    <w:rsid w:val="009F7F55"/>
    <w:rsid w:val="009F7F61"/>
    <w:rsid w:val="00A000B8"/>
    <w:rsid w:val="00A001DF"/>
    <w:rsid w:val="00A00334"/>
    <w:rsid w:val="00A0037A"/>
    <w:rsid w:val="00A003A2"/>
    <w:rsid w:val="00A003E6"/>
    <w:rsid w:val="00A00482"/>
    <w:rsid w:val="00A004D6"/>
    <w:rsid w:val="00A005B1"/>
    <w:rsid w:val="00A007E9"/>
    <w:rsid w:val="00A008D1"/>
    <w:rsid w:val="00A00A2C"/>
    <w:rsid w:val="00A00AD9"/>
    <w:rsid w:val="00A00B77"/>
    <w:rsid w:val="00A00BB0"/>
    <w:rsid w:val="00A00C3A"/>
    <w:rsid w:val="00A00C79"/>
    <w:rsid w:val="00A00CB9"/>
    <w:rsid w:val="00A00D17"/>
    <w:rsid w:val="00A00D1A"/>
    <w:rsid w:val="00A00D25"/>
    <w:rsid w:val="00A00D71"/>
    <w:rsid w:val="00A00D7C"/>
    <w:rsid w:val="00A00D9B"/>
    <w:rsid w:val="00A00DD1"/>
    <w:rsid w:val="00A01170"/>
    <w:rsid w:val="00A0129F"/>
    <w:rsid w:val="00A014B4"/>
    <w:rsid w:val="00A015E2"/>
    <w:rsid w:val="00A0166E"/>
    <w:rsid w:val="00A01754"/>
    <w:rsid w:val="00A0179F"/>
    <w:rsid w:val="00A018C0"/>
    <w:rsid w:val="00A01AEA"/>
    <w:rsid w:val="00A01B33"/>
    <w:rsid w:val="00A01CF1"/>
    <w:rsid w:val="00A01D6D"/>
    <w:rsid w:val="00A01DF1"/>
    <w:rsid w:val="00A01FCD"/>
    <w:rsid w:val="00A020F3"/>
    <w:rsid w:val="00A02259"/>
    <w:rsid w:val="00A022BE"/>
    <w:rsid w:val="00A022CE"/>
    <w:rsid w:val="00A022EE"/>
    <w:rsid w:val="00A025A9"/>
    <w:rsid w:val="00A02716"/>
    <w:rsid w:val="00A02856"/>
    <w:rsid w:val="00A02864"/>
    <w:rsid w:val="00A02888"/>
    <w:rsid w:val="00A02920"/>
    <w:rsid w:val="00A02B41"/>
    <w:rsid w:val="00A02CD6"/>
    <w:rsid w:val="00A02DA2"/>
    <w:rsid w:val="00A02E18"/>
    <w:rsid w:val="00A02E4A"/>
    <w:rsid w:val="00A02E65"/>
    <w:rsid w:val="00A02E70"/>
    <w:rsid w:val="00A02F79"/>
    <w:rsid w:val="00A02FCD"/>
    <w:rsid w:val="00A0304B"/>
    <w:rsid w:val="00A0310F"/>
    <w:rsid w:val="00A0315F"/>
    <w:rsid w:val="00A0345E"/>
    <w:rsid w:val="00A0375F"/>
    <w:rsid w:val="00A037E4"/>
    <w:rsid w:val="00A03835"/>
    <w:rsid w:val="00A03874"/>
    <w:rsid w:val="00A038CE"/>
    <w:rsid w:val="00A03ADD"/>
    <w:rsid w:val="00A03D05"/>
    <w:rsid w:val="00A03D0E"/>
    <w:rsid w:val="00A04019"/>
    <w:rsid w:val="00A0406B"/>
    <w:rsid w:val="00A04090"/>
    <w:rsid w:val="00A041FB"/>
    <w:rsid w:val="00A0423A"/>
    <w:rsid w:val="00A042BD"/>
    <w:rsid w:val="00A04355"/>
    <w:rsid w:val="00A0439F"/>
    <w:rsid w:val="00A04448"/>
    <w:rsid w:val="00A04554"/>
    <w:rsid w:val="00A0455C"/>
    <w:rsid w:val="00A045A7"/>
    <w:rsid w:val="00A04663"/>
    <w:rsid w:val="00A046B8"/>
    <w:rsid w:val="00A0479B"/>
    <w:rsid w:val="00A047E0"/>
    <w:rsid w:val="00A04904"/>
    <w:rsid w:val="00A04926"/>
    <w:rsid w:val="00A049EF"/>
    <w:rsid w:val="00A04A94"/>
    <w:rsid w:val="00A04AAB"/>
    <w:rsid w:val="00A04ACF"/>
    <w:rsid w:val="00A050E8"/>
    <w:rsid w:val="00A05247"/>
    <w:rsid w:val="00A055B3"/>
    <w:rsid w:val="00A0566F"/>
    <w:rsid w:val="00A0591D"/>
    <w:rsid w:val="00A059D5"/>
    <w:rsid w:val="00A05AE0"/>
    <w:rsid w:val="00A05C05"/>
    <w:rsid w:val="00A05D12"/>
    <w:rsid w:val="00A05DC7"/>
    <w:rsid w:val="00A05E4F"/>
    <w:rsid w:val="00A05E9E"/>
    <w:rsid w:val="00A0600D"/>
    <w:rsid w:val="00A061D7"/>
    <w:rsid w:val="00A06264"/>
    <w:rsid w:val="00A0628E"/>
    <w:rsid w:val="00A0636B"/>
    <w:rsid w:val="00A0636D"/>
    <w:rsid w:val="00A063A0"/>
    <w:rsid w:val="00A063EB"/>
    <w:rsid w:val="00A06625"/>
    <w:rsid w:val="00A067C2"/>
    <w:rsid w:val="00A06933"/>
    <w:rsid w:val="00A06A33"/>
    <w:rsid w:val="00A06AB6"/>
    <w:rsid w:val="00A06B0D"/>
    <w:rsid w:val="00A06B27"/>
    <w:rsid w:val="00A06B87"/>
    <w:rsid w:val="00A06BC1"/>
    <w:rsid w:val="00A06C44"/>
    <w:rsid w:val="00A06D56"/>
    <w:rsid w:val="00A06D73"/>
    <w:rsid w:val="00A06E8C"/>
    <w:rsid w:val="00A06EAE"/>
    <w:rsid w:val="00A06F65"/>
    <w:rsid w:val="00A07046"/>
    <w:rsid w:val="00A070BE"/>
    <w:rsid w:val="00A0718F"/>
    <w:rsid w:val="00A073C0"/>
    <w:rsid w:val="00A074BA"/>
    <w:rsid w:val="00A078BE"/>
    <w:rsid w:val="00A078D4"/>
    <w:rsid w:val="00A07977"/>
    <w:rsid w:val="00A07AC9"/>
    <w:rsid w:val="00A07AD2"/>
    <w:rsid w:val="00A07CB6"/>
    <w:rsid w:val="00A07CCD"/>
    <w:rsid w:val="00A07EAD"/>
    <w:rsid w:val="00A07ED3"/>
    <w:rsid w:val="00A07FCB"/>
    <w:rsid w:val="00A1033F"/>
    <w:rsid w:val="00A1034C"/>
    <w:rsid w:val="00A10460"/>
    <w:rsid w:val="00A10579"/>
    <w:rsid w:val="00A10600"/>
    <w:rsid w:val="00A1092C"/>
    <w:rsid w:val="00A10AC7"/>
    <w:rsid w:val="00A10B64"/>
    <w:rsid w:val="00A10BC4"/>
    <w:rsid w:val="00A10C6A"/>
    <w:rsid w:val="00A10E0A"/>
    <w:rsid w:val="00A10E2F"/>
    <w:rsid w:val="00A10E3E"/>
    <w:rsid w:val="00A10E8E"/>
    <w:rsid w:val="00A110CF"/>
    <w:rsid w:val="00A11181"/>
    <w:rsid w:val="00A111B0"/>
    <w:rsid w:val="00A111C3"/>
    <w:rsid w:val="00A111D6"/>
    <w:rsid w:val="00A111DC"/>
    <w:rsid w:val="00A11218"/>
    <w:rsid w:val="00A11259"/>
    <w:rsid w:val="00A115B4"/>
    <w:rsid w:val="00A115C4"/>
    <w:rsid w:val="00A115FE"/>
    <w:rsid w:val="00A11626"/>
    <w:rsid w:val="00A11873"/>
    <w:rsid w:val="00A118D9"/>
    <w:rsid w:val="00A119D2"/>
    <w:rsid w:val="00A11A15"/>
    <w:rsid w:val="00A11A5C"/>
    <w:rsid w:val="00A11A97"/>
    <w:rsid w:val="00A11C74"/>
    <w:rsid w:val="00A11DA1"/>
    <w:rsid w:val="00A11E49"/>
    <w:rsid w:val="00A1200C"/>
    <w:rsid w:val="00A1212A"/>
    <w:rsid w:val="00A12156"/>
    <w:rsid w:val="00A12199"/>
    <w:rsid w:val="00A1225E"/>
    <w:rsid w:val="00A123FB"/>
    <w:rsid w:val="00A124D7"/>
    <w:rsid w:val="00A12562"/>
    <w:rsid w:val="00A1261D"/>
    <w:rsid w:val="00A1264E"/>
    <w:rsid w:val="00A126C1"/>
    <w:rsid w:val="00A12805"/>
    <w:rsid w:val="00A12B4F"/>
    <w:rsid w:val="00A12C38"/>
    <w:rsid w:val="00A12C6F"/>
    <w:rsid w:val="00A12D55"/>
    <w:rsid w:val="00A12D89"/>
    <w:rsid w:val="00A12F2B"/>
    <w:rsid w:val="00A12F66"/>
    <w:rsid w:val="00A12F88"/>
    <w:rsid w:val="00A12FF5"/>
    <w:rsid w:val="00A12FF9"/>
    <w:rsid w:val="00A13000"/>
    <w:rsid w:val="00A130DB"/>
    <w:rsid w:val="00A13172"/>
    <w:rsid w:val="00A13399"/>
    <w:rsid w:val="00A133C0"/>
    <w:rsid w:val="00A134C5"/>
    <w:rsid w:val="00A134E8"/>
    <w:rsid w:val="00A1357C"/>
    <w:rsid w:val="00A1360E"/>
    <w:rsid w:val="00A1361E"/>
    <w:rsid w:val="00A136A4"/>
    <w:rsid w:val="00A136C6"/>
    <w:rsid w:val="00A13807"/>
    <w:rsid w:val="00A13A1D"/>
    <w:rsid w:val="00A13A74"/>
    <w:rsid w:val="00A13AB2"/>
    <w:rsid w:val="00A13BA1"/>
    <w:rsid w:val="00A13D64"/>
    <w:rsid w:val="00A13E18"/>
    <w:rsid w:val="00A13E5F"/>
    <w:rsid w:val="00A13E75"/>
    <w:rsid w:val="00A13EB8"/>
    <w:rsid w:val="00A13F58"/>
    <w:rsid w:val="00A13F62"/>
    <w:rsid w:val="00A13F8E"/>
    <w:rsid w:val="00A1409F"/>
    <w:rsid w:val="00A140EE"/>
    <w:rsid w:val="00A14159"/>
    <w:rsid w:val="00A14307"/>
    <w:rsid w:val="00A14427"/>
    <w:rsid w:val="00A144C2"/>
    <w:rsid w:val="00A1453B"/>
    <w:rsid w:val="00A14544"/>
    <w:rsid w:val="00A14656"/>
    <w:rsid w:val="00A14706"/>
    <w:rsid w:val="00A14782"/>
    <w:rsid w:val="00A147E9"/>
    <w:rsid w:val="00A14924"/>
    <w:rsid w:val="00A14A8D"/>
    <w:rsid w:val="00A14AC1"/>
    <w:rsid w:val="00A14B3F"/>
    <w:rsid w:val="00A14D72"/>
    <w:rsid w:val="00A14DAE"/>
    <w:rsid w:val="00A14F11"/>
    <w:rsid w:val="00A14F97"/>
    <w:rsid w:val="00A15225"/>
    <w:rsid w:val="00A1529E"/>
    <w:rsid w:val="00A15481"/>
    <w:rsid w:val="00A156F0"/>
    <w:rsid w:val="00A15828"/>
    <w:rsid w:val="00A1585F"/>
    <w:rsid w:val="00A15870"/>
    <w:rsid w:val="00A15B1A"/>
    <w:rsid w:val="00A15B1E"/>
    <w:rsid w:val="00A15B86"/>
    <w:rsid w:val="00A15C57"/>
    <w:rsid w:val="00A15E43"/>
    <w:rsid w:val="00A15EA7"/>
    <w:rsid w:val="00A15F64"/>
    <w:rsid w:val="00A161E9"/>
    <w:rsid w:val="00A1638B"/>
    <w:rsid w:val="00A166CB"/>
    <w:rsid w:val="00A1688E"/>
    <w:rsid w:val="00A16962"/>
    <w:rsid w:val="00A16A3F"/>
    <w:rsid w:val="00A16C2F"/>
    <w:rsid w:val="00A16C3D"/>
    <w:rsid w:val="00A16C6F"/>
    <w:rsid w:val="00A16D2B"/>
    <w:rsid w:val="00A16E61"/>
    <w:rsid w:val="00A16EB2"/>
    <w:rsid w:val="00A16ED5"/>
    <w:rsid w:val="00A17245"/>
    <w:rsid w:val="00A1737E"/>
    <w:rsid w:val="00A1741B"/>
    <w:rsid w:val="00A17487"/>
    <w:rsid w:val="00A17600"/>
    <w:rsid w:val="00A176BE"/>
    <w:rsid w:val="00A17918"/>
    <w:rsid w:val="00A17A42"/>
    <w:rsid w:val="00A17C84"/>
    <w:rsid w:val="00A17CD1"/>
    <w:rsid w:val="00A17D3E"/>
    <w:rsid w:val="00A17D49"/>
    <w:rsid w:val="00A17EAF"/>
    <w:rsid w:val="00A17EF2"/>
    <w:rsid w:val="00A17EF6"/>
    <w:rsid w:val="00A17F47"/>
    <w:rsid w:val="00A17F6F"/>
    <w:rsid w:val="00A17F83"/>
    <w:rsid w:val="00A17FA6"/>
    <w:rsid w:val="00A2005A"/>
    <w:rsid w:val="00A200FE"/>
    <w:rsid w:val="00A2012F"/>
    <w:rsid w:val="00A201DC"/>
    <w:rsid w:val="00A201F2"/>
    <w:rsid w:val="00A20218"/>
    <w:rsid w:val="00A20242"/>
    <w:rsid w:val="00A20320"/>
    <w:rsid w:val="00A2036F"/>
    <w:rsid w:val="00A2062B"/>
    <w:rsid w:val="00A20656"/>
    <w:rsid w:val="00A2070D"/>
    <w:rsid w:val="00A208AC"/>
    <w:rsid w:val="00A20A55"/>
    <w:rsid w:val="00A20AC5"/>
    <w:rsid w:val="00A20B52"/>
    <w:rsid w:val="00A20C99"/>
    <w:rsid w:val="00A20D83"/>
    <w:rsid w:val="00A20DB8"/>
    <w:rsid w:val="00A20E13"/>
    <w:rsid w:val="00A20E4C"/>
    <w:rsid w:val="00A20EEE"/>
    <w:rsid w:val="00A20F19"/>
    <w:rsid w:val="00A21049"/>
    <w:rsid w:val="00A210D7"/>
    <w:rsid w:val="00A2116A"/>
    <w:rsid w:val="00A211BE"/>
    <w:rsid w:val="00A211E6"/>
    <w:rsid w:val="00A2120C"/>
    <w:rsid w:val="00A212A6"/>
    <w:rsid w:val="00A212C5"/>
    <w:rsid w:val="00A2152E"/>
    <w:rsid w:val="00A2153F"/>
    <w:rsid w:val="00A21544"/>
    <w:rsid w:val="00A21565"/>
    <w:rsid w:val="00A215C5"/>
    <w:rsid w:val="00A21628"/>
    <w:rsid w:val="00A216C6"/>
    <w:rsid w:val="00A2171E"/>
    <w:rsid w:val="00A21745"/>
    <w:rsid w:val="00A217FF"/>
    <w:rsid w:val="00A218A1"/>
    <w:rsid w:val="00A218F8"/>
    <w:rsid w:val="00A2199B"/>
    <w:rsid w:val="00A219F5"/>
    <w:rsid w:val="00A21D7A"/>
    <w:rsid w:val="00A21E49"/>
    <w:rsid w:val="00A21E7C"/>
    <w:rsid w:val="00A22080"/>
    <w:rsid w:val="00A22083"/>
    <w:rsid w:val="00A221D6"/>
    <w:rsid w:val="00A22244"/>
    <w:rsid w:val="00A223DA"/>
    <w:rsid w:val="00A2293A"/>
    <w:rsid w:val="00A229C7"/>
    <w:rsid w:val="00A229E7"/>
    <w:rsid w:val="00A22C80"/>
    <w:rsid w:val="00A22CBF"/>
    <w:rsid w:val="00A22E8A"/>
    <w:rsid w:val="00A22F03"/>
    <w:rsid w:val="00A22F57"/>
    <w:rsid w:val="00A2307F"/>
    <w:rsid w:val="00A2313D"/>
    <w:rsid w:val="00A231C0"/>
    <w:rsid w:val="00A231E5"/>
    <w:rsid w:val="00A2322E"/>
    <w:rsid w:val="00A232A8"/>
    <w:rsid w:val="00A232EC"/>
    <w:rsid w:val="00A2354F"/>
    <w:rsid w:val="00A235C0"/>
    <w:rsid w:val="00A23637"/>
    <w:rsid w:val="00A2373D"/>
    <w:rsid w:val="00A237F9"/>
    <w:rsid w:val="00A23946"/>
    <w:rsid w:val="00A2395D"/>
    <w:rsid w:val="00A23AB4"/>
    <w:rsid w:val="00A23AE2"/>
    <w:rsid w:val="00A23B74"/>
    <w:rsid w:val="00A23B77"/>
    <w:rsid w:val="00A23C89"/>
    <w:rsid w:val="00A23CFA"/>
    <w:rsid w:val="00A23DE2"/>
    <w:rsid w:val="00A23E64"/>
    <w:rsid w:val="00A24059"/>
    <w:rsid w:val="00A240CB"/>
    <w:rsid w:val="00A241B1"/>
    <w:rsid w:val="00A2426E"/>
    <w:rsid w:val="00A24384"/>
    <w:rsid w:val="00A24479"/>
    <w:rsid w:val="00A24487"/>
    <w:rsid w:val="00A244FE"/>
    <w:rsid w:val="00A24532"/>
    <w:rsid w:val="00A24628"/>
    <w:rsid w:val="00A246B5"/>
    <w:rsid w:val="00A2470B"/>
    <w:rsid w:val="00A24936"/>
    <w:rsid w:val="00A249D9"/>
    <w:rsid w:val="00A24CEB"/>
    <w:rsid w:val="00A24D37"/>
    <w:rsid w:val="00A250D5"/>
    <w:rsid w:val="00A25104"/>
    <w:rsid w:val="00A25266"/>
    <w:rsid w:val="00A252A4"/>
    <w:rsid w:val="00A252D9"/>
    <w:rsid w:val="00A25379"/>
    <w:rsid w:val="00A253F6"/>
    <w:rsid w:val="00A2564D"/>
    <w:rsid w:val="00A25812"/>
    <w:rsid w:val="00A258D5"/>
    <w:rsid w:val="00A25904"/>
    <w:rsid w:val="00A25925"/>
    <w:rsid w:val="00A2595D"/>
    <w:rsid w:val="00A2596E"/>
    <w:rsid w:val="00A259FF"/>
    <w:rsid w:val="00A25A9C"/>
    <w:rsid w:val="00A25AD0"/>
    <w:rsid w:val="00A25B22"/>
    <w:rsid w:val="00A25B52"/>
    <w:rsid w:val="00A25BB7"/>
    <w:rsid w:val="00A25BE2"/>
    <w:rsid w:val="00A25C65"/>
    <w:rsid w:val="00A25C98"/>
    <w:rsid w:val="00A25D80"/>
    <w:rsid w:val="00A25DDD"/>
    <w:rsid w:val="00A26038"/>
    <w:rsid w:val="00A260FE"/>
    <w:rsid w:val="00A2613D"/>
    <w:rsid w:val="00A26197"/>
    <w:rsid w:val="00A261F2"/>
    <w:rsid w:val="00A26506"/>
    <w:rsid w:val="00A26518"/>
    <w:rsid w:val="00A2655D"/>
    <w:rsid w:val="00A265BB"/>
    <w:rsid w:val="00A26700"/>
    <w:rsid w:val="00A268AF"/>
    <w:rsid w:val="00A26C5B"/>
    <w:rsid w:val="00A26C9C"/>
    <w:rsid w:val="00A26CBC"/>
    <w:rsid w:val="00A26E0E"/>
    <w:rsid w:val="00A26FFA"/>
    <w:rsid w:val="00A2705F"/>
    <w:rsid w:val="00A27309"/>
    <w:rsid w:val="00A2731A"/>
    <w:rsid w:val="00A27471"/>
    <w:rsid w:val="00A275E5"/>
    <w:rsid w:val="00A27611"/>
    <w:rsid w:val="00A276A1"/>
    <w:rsid w:val="00A27760"/>
    <w:rsid w:val="00A277F2"/>
    <w:rsid w:val="00A278F0"/>
    <w:rsid w:val="00A2792C"/>
    <w:rsid w:val="00A27941"/>
    <w:rsid w:val="00A2798A"/>
    <w:rsid w:val="00A27A88"/>
    <w:rsid w:val="00A27D47"/>
    <w:rsid w:val="00A27E71"/>
    <w:rsid w:val="00A27F11"/>
    <w:rsid w:val="00A27F97"/>
    <w:rsid w:val="00A30113"/>
    <w:rsid w:val="00A3029D"/>
    <w:rsid w:val="00A303A7"/>
    <w:rsid w:val="00A303D7"/>
    <w:rsid w:val="00A3042C"/>
    <w:rsid w:val="00A3061C"/>
    <w:rsid w:val="00A30637"/>
    <w:rsid w:val="00A3069E"/>
    <w:rsid w:val="00A306D9"/>
    <w:rsid w:val="00A307BC"/>
    <w:rsid w:val="00A308D4"/>
    <w:rsid w:val="00A30912"/>
    <w:rsid w:val="00A30990"/>
    <w:rsid w:val="00A30B6D"/>
    <w:rsid w:val="00A30D01"/>
    <w:rsid w:val="00A30D76"/>
    <w:rsid w:val="00A30D7C"/>
    <w:rsid w:val="00A30E8F"/>
    <w:rsid w:val="00A30EF1"/>
    <w:rsid w:val="00A30FD9"/>
    <w:rsid w:val="00A310B4"/>
    <w:rsid w:val="00A31144"/>
    <w:rsid w:val="00A311F6"/>
    <w:rsid w:val="00A312F2"/>
    <w:rsid w:val="00A313FC"/>
    <w:rsid w:val="00A31437"/>
    <w:rsid w:val="00A3144C"/>
    <w:rsid w:val="00A31484"/>
    <w:rsid w:val="00A314B8"/>
    <w:rsid w:val="00A31543"/>
    <w:rsid w:val="00A315C0"/>
    <w:rsid w:val="00A3161E"/>
    <w:rsid w:val="00A31A1C"/>
    <w:rsid w:val="00A31A79"/>
    <w:rsid w:val="00A31B99"/>
    <w:rsid w:val="00A31D23"/>
    <w:rsid w:val="00A31D93"/>
    <w:rsid w:val="00A31DC0"/>
    <w:rsid w:val="00A31DE9"/>
    <w:rsid w:val="00A31F1A"/>
    <w:rsid w:val="00A32097"/>
    <w:rsid w:val="00A32198"/>
    <w:rsid w:val="00A322A8"/>
    <w:rsid w:val="00A32424"/>
    <w:rsid w:val="00A324A1"/>
    <w:rsid w:val="00A324FC"/>
    <w:rsid w:val="00A32517"/>
    <w:rsid w:val="00A32550"/>
    <w:rsid w:val="00A325FB"/>
    <w:rsid w:val="00A32687"/>
    <w:rsid w:val="00A32788"/>
    <w:rsid w:val="00A327D1"/>
    <w:rsid w:val="00A32848"/>
    <w:rsid w:val="00A32B61"/>
    <w:rsid w:val="00A32BD6"/>
    <w:rsid w:val="00A32C93"/>
    <w:rsid w:val="00A32CF5"/>
    <w:rsid w:val="00A32E66"/>
    <w:rsid w:val="00A32EAF"/>
    <w:rsid w:val="00A32EE5"/>
    <w:rsid w:val="00A32EF1"/>
    <w:rsid w:val="00A331E0"/>
    <w:rsid w:val="00A33283"/>
    <w:rsid w:val="00A3347B"/>
    <w:rsid w:val="00A33606"/>
    <w:rsid w:val="00A3363B"/>
    <w:rsid w:val="00A3388D"/>
    <w:rsid w:val="00A338B2"/>
    <w:rsid w:val="00A339BC"/>
    <w:rsid w:val="00A33A12"/>
    <w:rsid w:val="00A33B36"/>
    <w:rsid w:val="00A33B6C"/>
    <w:rsid w:val="00A33CC6"/>
    <w:rsid w:val="00A33D22"/>
    <w:rsid w:val="00A33D32"/>
    <w:rsid w:val="00A33D9C"/>
    <w:rsid w:val="00A34052"/>
    <w:rsid w:val="00A3411E"/>
    <w:rsid w:val="00A341C6"/>
    <w:rsid w:val="00A34288"/>
    <w:rsid w:val="00A34345"/>
    <w:rsid w:val="00A343A2"/>
    <w:rsid w:val="00A3471E"/>
    <w:rsid w:val="00A3483A"/>
    <w:rsid w:val="00A34A2F"/>
    <w:rsid w:val="00A34AC6"/>
    <w:rsid w:val="00A34BE4"/>
    <w:rsid w:val="00A34E9A"/>
    <w:rsid w:val="00A35047"/>
    <w:rsid w:val="00A35256"/>
    <w:rsid w:val="00A3569E"/>
    <w:rsid w:val="00A35745"/>
    <w:rsid w:val="00A3574F"/>
    <w:rsid w:val="00A35786"/>
    <w:rsid w:val="00A357A7"/>
    <w:rsid w:val="00A35851"/>
    <w:rsid w:val="00A359C7"/>
    <w:rsid w:val="00A35AD0"/>
    <w:rsid w:val="00A35C98"/>
    <w:rsid w:val="00A35CB7"/>
    <w:rsid w:val="00A35D04"/>
    <w:rsid w:val="00A35E2E"/>
    <w:rsid w:val="00A35E30"/>
    <w:rsid w:val="00A35EA2"/>
    <w:rsid w:val="00A35FAF"/>
    <w:rsid w:val="00A3605C"/>
    <w:rsid w:val="00A360AC"/>
    <w:rsid w:val="00A360DF"/>
    <w:rsid w:val="00A360FF"/>
    <w:rsid w:val="00A36119"/>
    <w:rsid w:val="00A362EC"/>
    <w:rsid w:val="00A3647A"/>
    <w:rsid w:val="00A36492"/>
    <w:rsid w:val="00A364C4"/>
    <w:rsid w:val="00A36671"/>
    <w:rsid w:val="00A366F7"/>
    <w:rsid w:val="00A3670A"/>
    <w:rsid w:val="00A3670C"/>
    <w:rsid w:val="00A367DD"/>
    <w:rsid w:val="00A36874"/>
    <w:rsid w:val="00A368A1"/>
    <w:rsid w:val="00A368BF"/>
    <w:rsid w:val="00A3696A"/>
    <w:rsid w:val="00A36B9B"/>
    <w:rsid w:val="00A36C6B"/>
    <w:rsid w:val="00A36C9A"/>
    <w:rsid w:val="00A36FF4"/>
    <w:rsid w:val="00A37043"/>
    <w:rsid w:val="00A372B9"/>
    <w:rsid w:val="00A37321"/>
    <w:rsid w:val="00A375BF"/>
    <w:rsid w:val="00A377F1"/>
    <w:rsid w:val="00A37855"/>
    <w:rsid w:val="00A37875"/>
    <w:rsid w:val="00A37B4D"/>
    <w:rsid w:val="00A37DE4"/>
    <w:rsid w:val="00A37EA2"/>
    <w:rsid w:val="00A40174"/>
    <w:rsid w:val="00A401C6"/>
    <w:rsid w:val="00A40205"/>
    <w:rsid w:val="00A40281"/>
    <w:rsid w:val="00A40457"/>
    <w:rsid w:val="00A405E7"/>
    <w:rsid w:val="00A406CA"/>
    <w:rsid w:val="00A40729"/>
    <w:rsid w:val="00A408F4"/>
    <w:rsid w:val="00A40965"/>
    <w:rsid w:val="00A40968"/>
    <w:rsid w:val="00A40AB3"/>
    <w:rsid w:val="00A40CA9"/>
    <w:rsid w:val="00A40DE1"/>
    <w:rsid w:val="00A40DE8"/>
    <w:rsid w:val="00A40DF2"/>
    <w:rsid w:val="00A40EC8"/>
    <w:rsid w:val="00A412E0"/>
    <w:rsid w:val="00A41331"/>
    <w:rsid w:val="00A415DE"/>
    <w:rsid w:val="00A416AE"/>
    <w:rsid w:val="00A417E5"/>
    <w:rsid w:val="00A4182C"/>
    <w:rsid w:val="00A41943"/>
    <w:rsid w:val="00A4195A"/>
    <w:rsid w:val="00A41A87"/>
    <w:rsid w:val="00A41A8A"/>
    <w:rsid w:val="00A41AC3"/>
    <w:rsid w:val="00A41AE0"/>
    <w:rsid w:val="00A41B7D"/>
    <w:rsid w:val="00A41C2E"/>
    <w:rsid w:val="00A41CA0"/>
    <w:rsid w:val="00A41CF1"/>
    <w:rsid w:val="00A41E1C"/>
    <w:rsid w:val="00A41EBE"/>
    <w:rsid w:val="00A420AE"/>
    <w:rsid w:val="00A42342"/>
    <w:rsid w:val="00A423A2"/>
    <w:rsid w:val="00A42467"/>
    <w:rsid w:val="00A42582"/>
    <w:rsid w:val="00A425D5"/>
    <w:rsid w:val="00A42712"/>
    <w:rsid w:val="00A42A7E"/>
    <w:rsid w:val="00A42B59"/>
    <w:rsid w:val="00A42B83"/>
    <w:rsid w:val="00A42D86"/>
    <w:rsid w:val="00A42EE3"/>
    <w:rsid w:val="00A42FC1"/>
    <w:rsid w:val="00A43013"/>
    <w:rsid w:val="00A43101"/>
    <w:rsid w:val="00A43163"/>
    <w:rsid w:val="00A43292"/>
    <w:rsid w:val="00A432BF"/>
    <w:rsid w:val="00A433C9"/>
    <w:rsid w:val="00A43493"/>
    <w:rsid w:val="00A434E6"/>
    <w:rsid w:val="00A43569"/>
    <w:rsid w:val="00A43B36"/>
    <w:rsid w:val="00A43C52"/>
    <w:rsid w:val="00A43DA0"/>
    <w:rsid w:val="00A43DF5"/>
    <w:rsid w:val="00A43F31"/>
    <w:rsid w:val="00A4405C"/>
    <w:rsid w:val="00A440EA"/>
    <w:rsid w:val="00A4416D"/>
    <w:rsid w:val="00A44652"/>
    <w:rsid w:val="00A446D6"/>
    <w:rsid w:val="00A4473F"/>
    <w:rsid w:val="00A44789"/>
    <w:rsid w:val="00A44800"/>
    <w:rsid w:val="00A44880"/>
    <w:rsid w:val="00A449EB"/>
    <w:rsid w:val="00A44ADE"/>
    <w:rsid w:val="00A44AE0"/>
    <w:rsid w:val="00A44B03"/>
    <w:rsid w:val="00A44B79"/>
    <w:rsid w:val="00A44BF7"/>
    <w:rsid w:val="00A44C15"/>
    <w:rsid w:val="00A44D55"/>
    <w:rsid w:val="00A44F12"/>
    <w:rsid w:val="00A44F6D"/>
    <w:rsid w:val="00A44FE7"/>
    <w:rsid w:val="00A450C9"/>
    <w:rsid w:val="00A450CA"/>
    <w:rsid w:val="00A45131"/>
    <w:rsid w:val="00A452B3"/>
    <w:rsid w:val="00A452D1"/>
    <w:rsid w:val="00A45485"/>
    <w:rsid w:val="00A45594"/>
    <w:rsid w:val="00A4562B"/>
    <w:rsid w:val="00A4566B"/>
    <w:rsid w:val="00A45783"/>
    <w:rsid w:val="00A457BB"/>
    <w:rsid w:val="00A45858"/>
    <w:rsid w:val="00A45862"/>
    <w:rsid w:val="00A45948"/>
    <w:rsid w:val="00A459B3"/>
    <w:rsid w:val="00A45A4A"/>
    <w:rsid w:val="00A45A95"/>
    <w:rsid w:val="00A45C1C"/>
    <w:rsid w:val="00A45D30"/>
    <w:rsid w:val="00A45E07"/>
    <w:rsid w:val="00A45FDB"/>
    <w:rsid w:val="00A4608C"/>
    <w:rsid w:val="00A4628D"/>
    <w:rsid w:val="00A463C5"/>
    <w:rsid w:val="00A46488"/>
    <w:rsid w:val="00A464FA"/>
    <w:rsid w:val="00A465C1"/>
    <w:rsid w:val="00A46775"/>
    <w:rsid w:val="00A4680E"/>
    <w:rsid w:val="00A4685A"/>
    <w:rsid w:val="00A46910"/>
    <w:rsid w:val="00A469B7"/>
    <w:rsid w:val="00A46BB1"/>
    <w:rsid w:val="00A46BDA"/>
    <w:rsid w:val="00A46C43"/>
    <w:rsid w:val="00A46CB2"/>
    <w:rsid w:val="00A46DD0"/>
    <w:rsid w:val="00A46ED7"/>
    <w:rsid w:val="00A46F66"/>
    <w:rsid w:val="00A4701F"/>
    <w:rsid w:val="00A4704E"/>
    <w:rsid w:val="00A47111"/>
    <w:rsid w:val="00A4730F"/>
    <w:rsid w:val="00A47501"/>
    <w:rsid w:val="00A4751A"/>
    <w:rsid w:val="00A4759E"/>
    <w:rsid w:val="00A475AC"/>
    <w:rsid w:val="00A47607"/>
    <w:rsid w:val="00A476E5"/>
    <w:rsid w:val="00A4776D"/>
    <w:rsid w:val="00A47870"/>
    <w:rsid w:val="00A479E7"/>
    <w:rsid w:val="00A47B40"/>
    <w:rsid w:val="00A47B6B"/>
    <w:rsid w:val="00A47CE3"/>
    <w:rsid w:val="00A47D5C"/>
    <w:rsid w:val="00A47E1E"/>
    <w:rsid w:val="00A47EC8"/>
    <w:rsid w:val="00A50259"/>
    <w:rsid w:val="00A502DA"/>
    <w:rsid w:val="00A5041C"/>
    <w:rsid w:val="00A5049D"/>
    <w:rsid w:val="00A5063D"/>
    <w:rsid w:val="00A507B1"/>
    <w:rsid w:val="00A5082A"/>
    <w:rsid w:val="00A5082C"/>
    <w:rsid w:val="00A5086B"/>
    <w:rsid w:val="00A508F4"/>
    <w:rsid w:val="00A50974"/>
    <w:rsid w:val="00A5099E"/>
    <w:rsid w:val="00A50A3F"/>
    <w:rsid w:val="00A50A6B"/>
    <w:rsid w:val="00A50C9B"/>
    <w:rsid w:val="00A50D75"/>
    <w:rsid w:val="00A50DB3"/>
    <w:rsid w:val="00A50E98"/>
    <w:rsid w:val="00A50F73"/>
    <w:rsid w:val="00A51306"/>
    <w:rsid w:val="00A51358"/>
    <w:rsid w:val="00A514EE"/>
    <w:rsid w:val="00A5165E"/>
    <w:rsid w:val="00A5171B"/>
    <w:rsid w:val="00A51731"/>
    <w:rsid w:val="00A517A3"/>
    <w:rsid w:val="00A51B90"/>
    <w:rsid w:val="00A51C5A"/>
    <w:rsid w:val="00A51C5D"/>
    <w:rsid w:val="00A51D5D"/>
    <w:rsid w:val="00A51E73"/>
    <w:rsid w:val="00A51F62"/>
    <w:rsid w:val="00A51FCF"/>
    <w:rsid w:val="00A51FD8"/>
    <w:rsid w:val="00A52217"/>
    <w:rsid w:val="00A522B0"/>
    <w:rsid w:val="00A52410"/>
    <w:rsid w:val="00A52484"/>
    <w:rsid w:val="00A526F0"/>
    <w:rsid w:val="00A5281B"/>
    <w:rsid w:val="00A52836"/>
    <w:rsid w:val="00A52AA8"/>
    <w:rsid w:val="00A52CE1"/>
    <w:rsid w:val="00A52E10"/>
    <w:rsid w:val="00A52E96"/>
    <w:rsid w:val="00A52E98"/>
    <w:rsid w:val="00A52EF3"/>
    <w:rsid w:val="00A52F39"/>
    <w:rsid w:val="00A53216"/>
    <w:rsid w:val="00A5332E"/>
    <w:rsid w:val="00A533AB"/>
    <w:rsid w:val="00A533BD"/>
    <w:rsid w:val="00A5353A"/>
    <w:rsid w:val="00A53578"/>
    <w:rsid w:val="00A53599"/>
    <w:rsid w:val="00A535C9"/>
    <w:rsid w:val="00A53640"/>
    <w:rsid w:val="00A53736"/>
    <w:rsid w:val="00A53745"/>
    <w:rsid w:val="00A53836"/>
    <w:rsid w:val="00A5383A"/>
    <w:rsid w:val="00A5393E"/>
    <w:rsid w:val="00A53A29"/>
    <w:rsid w:val="00A53A56"/>
    <w:rsid w:val="00A53CA8"/>
    <w:rsid w:val="00A53DCD"/>
    <w:rsid w:val="00A53E43"/>
    <w:rsid w:val="00A53EBD"/>
    <w:rsid w:val="00A53EC3"/>
    <w:rsid w:val="00A53EF1"/>
    <w:rsid w:val="00A540B0"/>
    <w:rsid w:val="00A541F8"/>
    <w:rsid w:val="00A543FB"/>
    <w:rsid w:val="00A54614"/>
    <w:rsid w:val="00A5467C"/>
    <w:rsid w:val="00A54926"/>
    <w:rsid w:val="00A549A1"/>
    <w:rsid w:val="00A54A53"/>
    <w:rsid w:val="00A54BF7"/>
    <w:rsid w:val="00A54C20"/>
    <w:rsid w:val="00A54C73"/>
    <w:rsid w:val="00A54DE0"/>
    <w:rsid w:val="00A54DFE"/>
    <w:rsid w:val="00A54E79"/>
    <w:rsid w:val="00A54EF3"/>
    <w:rsid w:val="00A54F72"/>
    <w:rsid w:val="00A55137"/>
    <w:rsid w:val="00A5523B"/>
    <w:rsid w:val="00A5529A"/>
    <w:rsid w:val="00A553BA"/>
    <w:rsid w:val="00A55475"/>
    <w:rsid w:val="00A554FC"/>
    <w:rsid w:val="00A55711"/>
    <w:rsid w:val="00A55983"/>
    <w:rsid w:val="00A559C1"/>
    <w:rsid w:val="00A55A15"/>
    <w:rsid w:val="00A55C9B"/>
    <w:rsid w:val="00A55CBF"/>
    <w:rsid w:val="00A55CC5"/>
    <w:rsid w:val="00A55D7F"/>
    <w:rsid w:val="00A55DE6"/>
    <w:rsid w:val="00A55E34"/>
    <w:rsid w:val="00A55F3E"/>
    <w:rsid w:val="00A55FA5"/>
    <w:rsid w:val="00A561C4"/>
    <w:rsid w:val="00A561D7"/>
    <w:rsid w:val="00A56317"/>
    <w:rsid w:val="00A56385"/>
    <w:rsid w:val="00A564CC"/>
    <w:rsid w:val="00A566D4"/>
    <w:rsid w:val="00A56721"/>
    <w:rsid w:val="00A56912"/>
    <w:rsid w:val="00A56997"/>
    <w:rsid w:val="00A56AFE"/>
    <w:rsid w:val="00A56BB3"/>
    <w:rsid w:val="00A56CA8"/>
    <w:rsid w:val="00A56CE9"/>
    <w:rsid w:val="00A56D10"/>
    <w:rsid w:val="00A56DC9"/>
    <w:rsid w:val="00A56DEF"/>
    <w:rsid w:val="00A56E26"/>
    <w:rsid w:val="00A56E63"/>
    <w:rsid w:val="00A56E97"/>
    <w:rsid w:val="00A5705D"/>
    <w:rsid w:val="00A570D0"/>
    <w:rsid w:val="00A57267"/>
    <w:rsid w:val="00A57333"/>
    <w:rsid w:val="00A57447"/>
    <w:rsid w:val="00A5752A"/>
    <w:rsid w:val="00A57621"/>
    <w:rsid w:val="00A57697"/>
    <w:rsid w:val="00A57862"/>
    <w:rsid w:val="00A578D0"/>
    <w:rsid w:val="00A579EF"/>
    <w:rsid w:val="00A57B61"/>
    <w:rsid w:val="00A57CC9"/>
    <w:rsid w:val="00A57D7C"/>
    <w:rsid w:val="00A57EC3"/>
    <w:rsid w:val="00A57F36"/>
    <w:rsid w:val="00A57FA4"/>
    <w:rsid w:val="00A603BB"/>
    <w:rsid w:val="00A6041C"/>
    <w:rsid w:val="00A604AB"/>
    <w:rsid w:val="00A606FA"/>
    <w:rsid w:val="00A60865"/>
    <w:rsid w:val="00A60B11"/>
    <w:rsid w:val="00A60D68"/>
    <w:rsid w:val="00A60FC9"/>
    <w:rsid w:val="00A61044"/>
    <w:rsid w:val="00A61121"/>
    <w:rsid w:val="00A61184"/>
    <w:rsid w:val="00A611A6"/>
    <w:rsid w:val="00A611C0"/>
    <w:rsid w:val="00A6122B"/>
    <w:rsid w:val="00A612C2"/>
    <w:rsid w:val="00A613C0"/>
    <w:rsid w:val="00A613F7"/>
    <w:rsid w:val="00A614C1"/>
    <w:rsid w:val="00A614F5"/>
    <w:rsid w:val="00A61595"/>
    <w:rsid w:val="00A617F0"/>
    <w:rsid w:val="00A61818"/>
    <w:rsid w:val="00A61988"/>
    <w:rsid w:val="00A61A18"/>
    <w:rsid w:val="00A61A52"/>
    <w:rsid w:val="00A61D02"/>
    <w:rsid w:val="00A61E30"/>
    <w:rsid w:val="00A61FBE"/>
    <w:rsid w:val="00A6207F"/>
    <w:rsid w:val="00A620A0"/>
    <w:rsid w:val="00A6220B"/>
    <w:rsid w:val="00A6221B"/>
    <w:rsid w:val="00A6238E"/>
    <w:rsid w:val="00A62409"/>
    <w:rsid w:val="00A624D4"/>
    <w:rsid w:val="00A6285C"/>
    <w:rsid w:val="00A62987"/>
    <w:rsid w:val="00A62A4A"/>
    <w:rsid w:val="00A62A4D"/>
    <w:rsid w:val="00A62B10"/>
    <w:rsid w:val="00A62C25"/>
    <w:rsid w:val="00A62C76"/>
    <w:rsid w:val="00A62C7C"/>
    <w:rsid w:val="00A62E16"/>
    <w:rsid w:val="00A62E48"/>
    <w:rsid w:val="00A62ECA"/>
    <w:rsid w:val="00A62EF1"/>
    <w:rsid w:val="00A62F10"/>
    <w:rsid w:val="00A62F1D"/>
    <w:rsid w:val="00A630F1"/>
    <w:rsid w:val="00A6312B"/>
    <w:rsid w:val="00A6314C"/>
    <w:rsid w:val="00A631FE"/>
    <w:rsid w:val="00A6323C"/>
    <w:rsid w:val="00A63398"/>
    <w:rsid w:val="00A6340A"/>
    <w:rsid w:val="00A6344D"/>
    <w:rsid w:val="00A63457"/>
    <w:rsid w:val="00A6350E"/>
    <w:rsid w:val="00A6357B"/>
    <w:rsid w:val="00A63644"/>
    <w:rsid w:val="00A637CC"/>
    <w:rsid w:val="00A637D8"/>
    <w:rsid w:val="00A63A02"/>
    <w:rsid w:val="00A63CC5"/>
    <w:rsid w:val="00A63E81"/>
    <w:rsid w:val="00A63EBD"/>
    <w:rsid w:val="00A63F58"/>
    <w:rsid w:val="00A6400B"/>
    <w:rsid w:val="00A640A4"/>
    <w:rsid w:val="00A6437D"/>
    <w:rsid w:val="00A643EB"/>
    <w:rsid w:val="00A64510"/>
    <w:rsid w:val="00A646CB"/>
    <w:rsid w:val="00A646CD"/>
    <w:rsid w:val="00A6472B"/>
    <w:rsid w:val="00A647F9"/>
    <w:rsid w:val="00A647FB"/>
    <w:rsid w:val="00A648AE"/>
    <w:rsid w:val="00A64995"/>
    <w:rsid w:val="00A64C5A"/>
    <w:rsid w:val="00A64FC3"/>
    <w:rsid w:val="00A65133"/>
    <w:rsid w:val="00A65146"/>
    <w:rsid w:val="00A6522F"/>
    <w:rsid w:val="00A6523C"/>
    <w:rsid w:val="00A652D8"/>
    <w:rsid w:val="00A65394"/>
    <w:rsid w:val="00A6553A"/>
    <w:rsid w:val="00A65560"/>
    <w:rsid w:val="00A655D8"/>
    <w:rsid w:val="00A65784"/>
    <w:rsid w:val="00A65B8A"/>
    <w:rsid w:val="00A65D31"/>
    <w:rsid w:val="00A65D34"/>
    <w:rsid w:val="00A66030"/>
    <w:rsid w:val="00A66087"/>
    <w:rsid w:val="00A66198"/>
    <w:rsid w:val="00A661C2"/>
    <w:rsid w:val="00A66213"/>
    <w:rsid w:val="00A662C4"/>
    <w:rsid w:val="00A663AD"/>
    <w:rsid w:val="00A6642E"/>
    <w:rsid w:val="00A6664D"/>
    <w:rsid w:val="00A66680"/>
    <w:rsid w:val="00A666A7"/>
    <w:rsid w:val="00A667F2"/>
    <w:rsid w:val="00A66B74"/>
    <w:rsid w:val="00A66BDE"/>
    <w:rsid w:val="00A66D11"/>
    <w:rsid w:val="00A66E92"/>
    <w:rsid w:val="00A66EEF"/>
    <w:rsid w:val="00A66F0A"/>
    <w:rsid w:val="00A6702F"/>
    <w:rsid w:val="00A6710B"/>
    <w:rsid w:val="00A67163"/>
    <w:rsid w:val="00A67208"/>
    <w:rsid w:val="00A67209"/>
    <w:rsid w:val="00A672C2"/>
    <w:rsid w:val="00A67332"/>
    <w:rsid w:val="00A6753C"/>
    <w:rsid w:val="00A675DF"/>
    <w:rsid w:val="00A67636"/>
    <w:rsid w:val="00A6766F"/>
    <w:rsid w:val="00A676BB"/>
    <w:rsid w:val="00A67712"/>
    <w:rsid w:val="00A6773B"/>
    <w:rsid w:val="00A67A16"/>
    <w:rsid w:val="00A67A4A"/>
    <w:rsid w:val="00A67A81"/>
    <w:rsid w:val="00A67B06"/>
    <w:rsid w:val="00A67BFD"/>
    <w:rsid w:val="00A67CCA"/>
    <w:rsid w:val="00A67D34"/>
    <w:rsid w:val="00A67D60"/>
    <w:rsid w:val="00A67F2D"/>
    <w:rsid w:val="00A67FD1"/>
    <w:rsid w:val="00A701AA"/>
    <w:rsid w:val="00A702C2"/>
    <w:rsid w:val="00A70509"/>
    <w:rsid w:val="00A70580"/>
    <w:rsid w:val="00A705D7"/>
    <w:rsid w:val="00A705EE"/>
    <w:rsid w:val="00A7060C"/>
    <w:rsid w:val="00A7061A"/>
    <w:rsid w:val="00A70749"/>
    <w:rsid w:val="00A70891"/>
    <w:rsid w:val="00A708DD"/>
    <w:rsid w:val="00A70A97"/>
    <w:rsid w:val="00A70ABF"/>
    <w:rsid w:val="00A70AC5"/>
    <w:rsid w:val="00A70B48"/>
    <w:rsid w:val="00A70B4C"/>
    <w:rsid w:val="00A70B61"/>
    <w:rsid w:val="00A70C13"/>
    <w:rsid w:val="00A70DF2"/>
    <w:rsid w:val="00A70E0C"/>
    <w:rsid w:val="00A70EBB"/>
    <w:rsid w:val="00A70F0F"/>
    <w:rsid w:val="00A70F26"/>
    <w:rsid w:val="00A712BD"/>
    <w:rsid w:val="00A712E9"/>
    <w:rsid w:val="00A715A9"/>
    <w:rsid w:val="00A71742"/>
    <w:rsid w:val="00A717C2"/>
    <w:rsid w:val="00A7181D"/>
    <w:rsid w:val="00A71847"/>
    <w:rsid w:val="00A718F4"/>
    <w:rsid w:val="00A71AE3"/>
    <w:rsid w:val="00A71B1A"/>
    <w:rsid w:val="00A71B9E"/>
    <w:rsid w:val="00A71BE7"/>
    <w:rsid w:val="00A71C48"/>
    <w:rsid w:val="00A71DC5"/>
    <w:rsid w:val="00A71E37"/>
    <w:rsid w:val="00A71E95"/>
    <w:rsid w:val="00A71F7E"/>
    <w:rsid w:val="00A71FF3"/>
    <w:rsid w:val="00A7200C"/>
    <w:rsid w:val="00A7208C"/>
    <w:rsid w:val="00A7211F"/>
    <w:rsid w:val="00A7228D"/>
    <w:rsid w:val="00A722AA"/>
    <w:rsid w:val="00A72383"/>
    <w:rsid w:val="00A7242A"/>
    <w:rsid w:val="00A725DC"/>
    <w:rsid w:val="00A7264F"/>
    <w:rsid w:val="00A727D0"/>
    <w:rsid w:val="00A72888"/>
    <w:rsid w:val="00A72896"/>
    <w:rsid w:val="00A728D5"/>
    <w:rsid w:val="00A72A8B"/>
    <w:rsid w:val="00A72B47"/>
    <w:rsid w:val="00A72C08"/>
    <w:rsid w:val="00A72CE2"/>
    <w:rsid w:val="00A72DD2"/>
    <w:rsid w:val="00A72DDE"/>
    <w:rsid w:val="00A72FE0"/>
    <w:rsid w:val="00A73048"/>
    <w:rsid w:val="00A7312D"/>
    <w:rsid w:val="00A73607"/>
    <w:rsid w:val="00A7365E"/>
    <w:rsid w:val="00A736CD"/>
    <w:rsid w:val="00A73722"/>
    <w:rsid w:val="00A73783"/>
    <w:rsid w:val="00A738C7"/>
    <w:rsid w:val="00A73996"/>
    <w:rsid w:val="00A739C7"/>
    <w:rsid w:val="00A73AE1"/>
    <w:rsid w:val="00A73C72"/>
    <w:rsid w:val="00A73C7D"/>
    <w:rsid w:val="00A73CE9"/>
    <w:rsid w:val="00A73D8C"/>
    <w:rsid w:val="00A73F20"/>
    <w:rsid w:val="00A73F32"/>
    <w:rsid w:val="00A73FC1"/>
    <w:rsid w:val="00A73FD0"/>
    <w:rsid w:val="00A74192"/>
    <w:rsid w:val="00A7420F"/>
    <w:rsid w:val="00A742F5"/>
    <w:rsid w:val="00A74353"/>
    <w:rsid w:val="00A7435D"/>
    <w:rsid w:val="00A743DC"/>
    <w:rsid w:val="00A7453F"/>
    <w:rsid w:val="00A7458B"/>
    <w:rsid w:val="00A74630"/>
    <w:rsid w:val="00A74640"/>
    <w:rsid w:val="00A74656"/>
    <w:rsid w:val="00A746C2"/>
    <w:rsid w:val="00A7475A"/>
    <w:rsid w:val="00A7477E"/>
    <w:rsid w:val="00A7480B"/>
    <w:rsid w:val="00A7498D"/>
    <w:rsid w:val="00A74A75"/>
    <w:rsid w:val="00A74B4C"/>
    <w:rsid w:val="00A74BE6"/>
    <w:rsid w:val="00A74BEA"/>
    <w:rsid w:val="00A7502E"/>
    <w:rsid w:val="00A752AB"/>
    <w:rsid w:val="00A752EE"/>
    <w:rsid w:val="00A7549A"/>
    <w:rsid w:val="00A756CF"/>
    <w:rsid w:val="00A756D2"/>
    <w:rsid w:val="00A757C7"/>
    <w:rsid w:val="00A75982"/>
    <w:rsid w:val="00A75A84"/>
    <w:rsid w:val="00A75AE4"/>
    <w:rsid w:val="00A75BF2"/>
    <w:rsid w:val="00A75C72"/>
    <w:rsid w:val="00A75CC3"/>
    <w:rsid w:val="00A75D87"/>
    <w:rsid w:val="00A75DAF"/>
    <w:rsid w:val="00A75E6A"/>
    <w:rsid w:val="00A75ED9"/>
    <w:rsid w:val="00A75FB5"/>
    <w:rsid w:val="00A75FB8"/>
    <w:rsid w:val="00A75FE9"/>
    <w:rsid w:val="00A76137"/>
    <w:rsid w:val="00A7617C"/>
    <w:rsid w:val="00A7637C"/>
    <w:rsid w:val="00A765DB"/>
    <w:rsid w:val="00A76688"/>
    <w:rsid w:val="00A766C4"/>
    <w:rsid w:val="00A766FB"/>
    <w:rsid w:val="00A767FF"/>
    <w:rsid w:val="00A769A8"/>
    <w:rsid w:val="00A769AF"/>
    <w:rsid w:val="00A769C5"/>
    <w:rsid w:val="00A76A5E"/>
    <w:rsid w:val="00A76BD4"/>
    <w:rsid w:val="00A76CA4"/>
    <w:rsid w:val="00A76CB5"/>
    <w:rsid w:val="00A76DEE"/>
    <w:rsid w:val="00A76F2E"/>
    <w:rsid w:val="00A76F80"/>
    <w:rsid w:val="00A7704C"/>
    <w:rsid w:val="00A771DC"/>
    <w:rsid w:val="00A77213"/>
    <w:rsid w:val="00A77219"/>
    <w:rsid w:val="00A772E0"/>
    <w:rsid w:val="00A77414"/>
    <w:rsid w:val="00A77441"/>
    <w:rsid w:val="00A77463"/>
    <w:rsid w:val="00A77476"/>
    <w:rsid w:val="00A7751E"/>
    <w:rsid w:val="00A775FC"/>
    <w:rsid w:val="00A776E7"/>
    <w:rsid w:val="00A7775D"/>
    <w:rsid w:val="00A7791C"/>
    <w:rsid w:val="00A779A9"/>
    <w:rsid w:val="00A77AE2"/>
    <w:rsid w:val="00A77BD4"/>
    <w:rsid w:val="00A77C22"/>
    <w:rsid w:val="00A77C32"/>
    <w:rsid w:val="00A77CA4"/>
    <w:rsid w:val="00A77D5E"/>
    <w:rsid w:val="00A77E87"/>
    <w:rsid w:val="00A77F0B"/>
    <w:rsid w:val="00A80102"/>
    <w:rsid w:val="00A8030A"/>
    <w:rsid w:val="00A804C9"/>
    <w:rsid w:val="00A8052B"/>
    <w:rsid w:val="00A80585"/>
    <w:rsid w:val="00A80620"/>
    <w:rsid w:val="00A80641"/>
    <w:rsid w:val="00A806CE"/>
    <w:rsid w:val="00A8088E"/>
    <w:rsid w:val="00A808AE"/>
    <w:rsid w:val="00A809EA"/>
    <w:rsid w:val="00A80AB9"/>
    <w:rsid w:val="00A80AE0"/>
    <w:rsid w:val="00A80B4E"/>
    <w:rsid w:val="00A80B55"/>
    <w:rsid w:val="00A80B59"/>
    <w:rsid w:val="00A80C15"/>
    <w:rsid w:val="00A80C64"/>
    <w:rsid w:val="00A80E90"/>
    <w:rsid w:val="00A80E97"/>
    <w:rsid w:val="00A80EA8"/>
    <w:rsid w:val="00A812B1"/>
    <w:rsid w:val="00A812E9"/>
    <w:rsid w:val="00A81307"/>
    <w:rsid w:val="00A81729"/>
    <w:rsid w:val="00A8174A"/>
    <w:rsid w:val="00A81AFF"/>
    <w:rsid w:val="00A81B67"/>
    <w:rsid w:val="00A81F1E"/>
    <w:rsid w:val="00A820A2"/>
    <w:rsid w:val="00A8234E"/>
    <w:rsid w:val="00A8237E"/>
    <w:rsid w:val="00A8240C"/>
    <w:rsid w:val="00A82422"/>
    <w:rsid w:val="00A8252B"/>
    <w:rsid w:val="00A82578"/>
    <w:rsid w:val="00A82634"/>
    <w:rsid w:val="00A826F2"/>
    <w:rsid w:val="00A826FC"/>
    <w:rsid w:val="00A82776"/>
    <w:rsid w:val="00A82B40"/>
    <w:rsid w:val="00A82F28"/>
    <w:rsid w:val="00A83164"/>
    <w:rsid w:val="00A831D5"/>
    <w:rsid w:val="00A831EC"/>
    <w:rsid w:val="00A8331C"/>
    <w:rsid w:val="00A833AC"/>
    <w:rsid w:val="00A8342F"/>
    <w:rsid w:val="00A834A0"/>
    <w:rsid w:val="00A834BB"/>
    <w:rsid w:val="00A83775"/>
    <w:rsid w:val="00A838EE"/>
    <w:rsid w:val="00A83958"/>
    <w:rsid w:val="00A83A29"/>
    <w:rsid w:val="00A83A61"/>
    <w:rsid w:val="00A83AA0"/>
    <w:rsid w:val="00A83BD4"/>
    <w:rsid w:val="00A83CA7"/>
    <w:rsid w:val="00A83CC2"/>
    <w:rsid w:val="00A83CF6"/>
    <w:rsid w:val="00A83D16"/>
    <w:rsid w:val="00A83DB3"/>
    <w:rsid w:val="00A83E98"/>
    <w:rsid w:val="00A83EC3"/>
    <w:rsid w:val="00A83F85"/>
    <w:rsid w:val="00A841F5"/>
    <w:rsid w:val="00A84210"/>
    <w:rsid w:val="00A8431E"/>
    <w:rsid w:val="00A8436A"/>
    <w:rsid w:val="00A843C5"/>
    <w:rsid w:val="00A843EA"/>
    <w:rsid w:val="00A843FD"/>
    <w:rsid w:val="00A8459F"/>
    <w:rsid w:val="00A845BD"/>
    <w:rsid w:val="00A847A2"/>
    <w:rsid w:val="00A84860"/>
    <w:rsid w:val="00A8487D"/>
    <w:rsid w:val="00A849BE"/>
    <w:rsid w:val="00A84C5D"/>
    <w:rsid w:val="00A84C97"/>
    <w:rsid w:val="00A84CCD"/>
    <w:rsid w:val="00A84E3F"/>
    <w:rsid w:val="00A850E5"/>
    <w:rsid w:val="00A8518C"/>
    <w:rsid w:val="00A85209"/>
    <w:rsid w:val="00A8533D"/>
    <w:rsid w:val="00A85493"/>
    <w:rsid w:val="00A85593"/>
    <w:rsid w:val="00A856F9"/>
    <w:rsid w:val="00A858CB"/>
    <w:rsid w:val="00A85905"/>
    <w:rsid w:val="00A85954"/>
    <w:rsid w:val="00A8595D"/>
    <w:rsid w:val="00A85B0E"/>
    <w:rsid w:val="00A85B26"/>
    <w:rsid w:val="00A85D4A"/>
    <w:rsid w:val="00A85DE0"/>
    <w:rsid w:val="00A85E02"/>
    <w:rsid w:val="00A85EB5"/>
    <w:rsid w:val="00A85FC2"/>
    <w:rsid w:val="00A8600D"/>
    <w:rsid w:val="00A8601B"/>
    <w:rsid w:val="00A86136"/>
    <w:rsid w:val="00A86200"/>
    <w:rsid w:val="00A86288"/>
    <w:rsid w:val="00A86296"/>
    <w:rsid w:val="00A8637D"/>
    <w:rsid w:val="00A863C8"/>
    <w:rsid w:val="00A8652D"/>
    <w:rsid w:val="00A86543"/>
    <w:rsid w:val="00A866B4"/>
    <w:rsid w:val="00A866FC"/>
    <w:rsid w:val="00A8674A"/>
    <w:rsid w:val="00A86A22"/>
    <w:rsid w:val="00A86F3F"/>
    <w:rsid w:val="00A86FBA"/>
    <w:rsid w:val="00A87037"/>
    <w:rsid w:val="00A870A9"/>
    <w:rsid w:val="00A87228"/>
    <w:rsid w:val="00A87247"/>
    <w:rsid w:val="00A872D6"/>
    <w:rsid w:val="00A87315"/>
    <w:rsid w:val="00A876CE"/>
    <w:rsid w:val="00A8777F"/>
    <w:rsid w:val="00A877A2"/>
    <w:rsid w:val="00A877F1"/>
    <w:rsid w:val="00A87888"/>
    <w:rsid w:val="00A87943"/>
    <w:rsid w:val="00A8795C"/>
    <w:rsid w:val="00A879F3"/>
    <w:rsid w:val="00A87A9F"/>
    <w:rsid w:val="00A87B0C"/>
    <w:rsid w:val="00A87BBD"/>
    <w:rsid w:val="00A87BCF"/>
    <w:rsid w:val="00A87BE2"/>
    <w:rsid w:val="00A87D26"/>
    <w:rsid w:val="00A87D50"/>
    <w:rsid w:val="00A87EFD"/>
    <w:rsid w:val="00A90096"/>
    <w:rsid w:val="00A9013A"/>
    <w:rsid w:val="00A9017C"/>
    <w:rsid w:val="00A902E3"/>
    <w:rsid w:val="00A905D8"/>
    <w:rsid w:val="00A90629"/>
    <w:rsid w:val="00A90697"/>
    <w:rsid w:val="00A906A1"/>
    <w:rsid w:val="00A90755"/>
    <w:rsid w:val="00A90845"/>
    <w:rsid w:val="00A90860"/>
    <w:rsid w:val="00A908E5"/>
    <w:rsid w:val="00A9099B"/>
    <w:rsid w:val="00A90B10"/>
    <w:rsid w:val="00A90BB4"/>
    <w:rsid w:val="00A90C1D"/>
    <w:rsid w:val="00A90E7E"/>
    <w:rsid w:val="00A90F9E"/>
    <w:rsid w:val="00A90FC3"/>
    <w:rsid w:val="00A91042"/>
    <w:rsid w:val="00A911B6"/>
    <w:rsid w:val="00A9124C"/>
    <w:rsid w:val="00A91305"/>
    <w:rsid w:val="00A9142F"/>
    <w:rsid w:val="00A9162F"/>
    <w:rsid w:val="00A9181E"/>
    <w:rsid w:val="00A91AE6"/>
    <w:rsid w:val="00A91BFA"/>
    <w:rsid w:val="00A91E4D"/>
    <w:rsid w:val="00A91FA1"/>
    <w:rsid w:val="00A92031"/>
    <w:rsid w:val="00A921AA"/>
    <w:rsid w:val="00A92264"/>
    <w:rsid w:val="00A9239C"/>
    <w:rsid w:val="00A9272F"/>
    <w:rsid w:val="00A92766"/>
    <w:rsid w:val="00A92831"/>
    <w:rsid w:val="00A92AD7"/>
    <w:rsid w:val="00A92B9F"/>
    <w:rsid w:val="00A92E1C"/>
    <w:rsid w:val="00A92E42"/>
    <w:rsid w:val="00A92E60"/>
    <w:rsid w:val="00A92E6B"/>
    <w:rsid w:val="00A92E87"/>
    <w:rsid w:val="00A92F22"/>
    <w:rsid w:val="00A9319E"/>
    <w:rsid w:val="00A93242"/>
    <w:rsid w:val="00A93539"/>
    <w:rsid w:val="00A93633"/>
    <w:rsid w:val="00A93785"/>
    <w:rsid w:val="00A9392B"/>
    <w:rsid w:val="00A939EC"/>
    <w:rsid w:val="00A93A1B"/>
    <w:rsid w:val="00A93B54"/>
    <w:rsid w:val="00A93BAC"/>
    <w:rsid w:val="00A93C98"/>
    <w:rsid w:val="00A93CE9"/>
    <w:rsid w:val="00A93D4E"/>
    <w:rsid w:val="00A93D77"/>
    <w:rsid w:val="00A93E52"/>
    <w:rsid w:val="00A93F5C"/>
    <w:rsid w:val="00A940D0"/>
    <w:rsid w:val="00A94191"/>
    <w:rsid w:val="00A94423"/>
    <w:rsid w:val="00A944A0"/>
    <w:rsid w:val="00A945E0"/>
    <w:rsid w:val="00A94688"/>
    <w:rsid w:val="00A94841"/>
    <w:rsid w:val="00A948CC"/>
    <w:rsid w:val="00A9499B"/>
    <w:rsid w:val="00A949A5"/>
    <w:rsid w:val="00A94AB8"/>
    <w:rsid w:val="00A94D6F"/>
    <w:rsid w:val="00A94E75"/>
    <w:rsid w:val="00A94E89"/>
    <w:rsid w:val="00A94F2A"/>
    <w:rsid w:val="00A94FEE"/>
    <w:rsid w:val="00A95050"/>
    <w:rsid w:val="00A95075"/>
    <w:rsid w:val="00A95157"/>
    <w:rsid w:val="00A951D9"/>
    <w:rsid w:val="00A95290"/>
    <w:rsid w:val="00A952C3"/>
    <w:rsid w:val="00A953FA"/>
    <w:rsid w:val="00A955AE"/>
    <w:rsid w:val="00A9567C"/>
    <w:rsid w:val="00A956BB"/>
    <w:rsid w:val="00A9580B"/>
    <w:rsid w:val="00A95938"/>
    <w:rsid w:val="00A959A4"/>
    <w:rsid w:val="00A95A5C"/>
    <w:rsid w:val="00A95AB2"/>
    <w:rsid w:val="00A95AF2"/>
    <w:rsid w:val="00A95BA4"/>
    <w:rsid w:val="00A95C26"/>
    <w:rsid w:val="00A95C31"/>
    <w:rsid w:val="00A95CAF"/>
    <w:rsid w:val="00A95FFE"/>
    <w:rsid w:val="00A96022"/>
    <w:rsid w:val="00A96130"/>
    <w:rsid w:val="00A9644F"/>
    <w:rsid w:val="00A96531"/>
    <w:rsid w:val="00A9673A"/>
    <w:rsid w:val="00A96747"/>
    <w:rsid w:val="00A967CE"/>
    <w:rsid w:val="00A9689E"/>
    <w:rsid w:val="00A96B22"/>
    <w:rsid w:val="00A96B5E"/>
    <w:rsid w:val="00A96B6C"/>
    <w:rsid w:val="00A96C13"/>
    <w:rsid w:val="00A96C2F"/>
    <w:rsid w:val="00A96C72"/>
    <w:rsid w:val="00A96C9C"/>
    <w:rsid w:val="00A96DD3"/>
    <w:rsid w:val="00A96DFE"/>
    <w:rsid w:val="00A96E90"/>
    <w:rsid w:val="00A96F74"/>
    <w:rsid w:val="00A97072"/>
    <w:rsid w:val="00A9717A"/>
    <w:rsid w:val="00A97180"/>
    <w:rsid w:val="00A97234"/>
    <w:rsid w:val="00A97269"/>
    <w:rsid w:val="00A973EE"/>
    <w:rsid w:val="00A97508"/>
    <w:rsid w:val="00A9775D"/>
    <w:rsid w:val="00A979F2"/>
    <w:rsid w:val="00A97A33"/>
    <w:rsid w:val="00A97A5D"/>
    <w:rsid w:val="00A97AE7"/>
    <w:rsid w:val="00A97B22"/>
    <w:rsid w:val="00A97B5C"/>
    <w:rsid w:val="00A97BA1"/>
    <w:rsid w:val="00A97E24"/>
    <w:rsid w:val="00A97E5C"/>
    <w:rsid w:val="00A97EC7"/>
    <w:rsid w:val="00A97F16"/>
    <w:rsid w:val="00A97F1C"/>
    <w:rsid w:val="00AA0003"/>
    <w:rsid w:val="00AA028B"/>
    <w:rsid w:val="00AA029D"/>
    <w:rsid w:val="00AA045D"/>
    <w:rsid w:val="00AA04A4"/>
    <w:rsid w:val="00AA0581"/>
    <w:rsid w:val="00AA0657"/>
    <w:rsid w:val="00AA074B"/>
    <w:rsid w:val="00AA0973"/>
    <w:rsid w:val="00AA098A"/>
    <w:rsid w:val="00AA0AD7"/>
    <w:rsid w:val="00AA0AE3"/>
    <w:rsid w:val="00AA0BE0"/>
    <w:rsid w:val="00AA0BE6"/>
    <w:rsid w:val="00AA0D4D"/>
    <w:rsid w:val="00AA0D7B"/>
    <w:rsid w:val="00AA0E20"/>
    <w:rsid w:val="00AA0EE9"/>
    <w:rsid w:val="00AA0F2D"/>
    <w:rsid w:val="00AA1106"/>
    <w:rsid w:val="00AA12B5"/>
    <w:rsid w:val="00AA13F5"/>
    <w:rsid w:val="00AA1479"/>
    <w:rsid w:val="00AA149F"/>
    <w:rsid w:val="00AA154C"/>
    <w:rsid w:val="00AA156A"/>
    <w:rsid w:val="00AA165B"/>
    <w:rsid w:val="00AA16DF"/>
    <w:rsid w:val="00AA178A"/>
    <w:rsid w:val="00AA17DE"/>
    <w:rsid w:val="00AA183F"/>
    <w:rsid w:val="00AA191E"/>
    <w:rsid w:val="00AA198E"/>
    <w:rsid w:val="00AA1B68"/>
    <w:rsid w:val="00AA1BBD"/>
    <w:rsid w:val="00AA1BC0"/>
    <w:rsid w:val="00AA1C1F"/>
    <w:rsid w:val="00AA1D16"/>
    <w:rsid w:val="00AA1D88"/>
    <w:rsid w:val="00AA1DD1"/>
    <w:rsid w:val="00AA1DEE"/>
    <w:rsid w:val="00AA1EE2"/>
    <w:rsid w:val="00AA1F61"/>
    <w:rsid w:val="00AA1FB1"/>
    <w:rsid w:val="00AA201C"/>
    <w:rsid w:val="00AA20F9"/>
    <w:rsid w:val="00AA21C2"/>
    <w:rsid w:val="00AA2207"/>
    <w:rsid w:val="00AA238C"/>
    <w:rsid w:val="00AA240E"/>
    <w:rsid w:val="00AA2468"/>
    <w:rsid w:val="00AA2474"/>
    <w:rsid w:val="00AA2494"/>
    <w:rsid w:val="00AA249D"/>
    <w:rsid w:val="00AA2718"/>
    <w:rsid w:val="00AA271B"/>
    <w:rsid w:val="00AA28F5"/>
    <w:rsid w:val="00AA2955"/>
    <w:rsid w:val="00AA295A"/>
    <w:rsid w:val="00AA2A96"/>
    <w:rsid w:val="00AA2AA2"/>
    <w:rsid w:val="00AA2AF2"/>
    <w:rsid w:val="00AA2B0E"/>
    <w:rsid w:val="00AA2C1C"/>
    <w:rsid w:val="00AA2C21"/>
    <w:rsid w:val="00AA2D78"/>
    <w:rsid w:val="00AA2E22"/>
    <w:rsid w:val="00AA2E9A"/>
    <w:rsid w:val="00AA30CA"/>
    <w:rsid w:val="00AA36B5"/>
    <w:rsid w:val="00AA38C8"/>
    <w:rsid w:val="00AA3993"/>
    <w:rsid w:val="00AA3ADA"/>
    <w:rsid w:val="00AA3D69"/>
    <w:rsid w:val="00AA3EB2"/>
    <w:rsid w:val="00AA3FC8"/>
    <w:rsid w:val="00AA4361"/>
    <w:rsid w:val="00AA43BE"/>
    <w:rsid w:val="00AA442F"/>
    <w:rsid w:val="00AA4471"/>
    <w:rsid w:val="00AA4496"/>
    <w:rsid w:val="00AA44E5"/>
    <w:rsid w:val="00AA45DF"/>
    <w:rsid w:val="00AA4647"/>
    <w:rsid w:val="00AA4706"/>
    <w:rsid w:val="00AA48C8"/>
    <w:rsid w:val="00AA493A"/>
    <w:rsid w:val="00AA4BAC"/>
    <w:rsid w:val="00AA4C3D"/>
    <w:rsid w:val="00AA4C40"/>
    <w:rsid w:val="00AA4C94"/>
    <w:rsid w:val="00AA4CC9"/>
    <w:rsid w:val="00AA4DE4"/>
    <w:rsid w:val="00AA4E8E"/>
    <w:rsid w:val="00AA4FB4"/>
    <w:rsid w:val="00AA4FC5"/>
    <w:rsid w:val="00AA501D"/>
    <w:rsid w:val="00AA50FE"/>
    <w:rsid w:val="00AA5105"/>
    <w:rsid w:val="00AA51B3"/>
    <w:rsid w:val="00AA51CB"/>
    <w:rsid w:val="00AA51D1"/>
    <w:rsid w:val="00AA538B"/>
    <w:rsid w:val="00AA5421"/>
    <w:rsid w:val="00AA550C"/>
    <w:rsid w:val="00AA5569"/>
    <w:rsid w:val="00AA560A"/>
    <w:rsid w:val="00AA57B4"/>
    <w:rsid w:val="00AA57BB"/>
    <w:rsid w:val="00AA57F8"/>
    <w:rsid w:val="00AA5822"/>
    <w:rsid w:val="00AA58F4"/>
    <w:rsid w:val="00AA5BB5"/>
    <w:rsid w:val="00AA5CB7"/>
    <w:rsid w:val="00AA5D30"/>
    <w:rsid w:val="00AA5EE6"/>
    <w:rsid w:val="00AA6013"/>
    <w:rsid w:val="00AA6123"/>
    <w:rsid w:val="00AA62DB"/>
    <w:rsid w:val="00AA6480"/>
    <w:rsid w:val="00AA6717"/>
    <w:rsid w:val="00AA67EF"/>
    <w:rsid w:val="00AA6845"/>
    <w:rsid w:val="00AA685B"/>
    <w:rsid w:val="00AA69E9"/>
    <w:rsid w:val="00AA6A6B"/>
    <w:rsid w:val="00AA6A70"/>
    <w:rsid w:val="00AA6BB8"/>
    <w:rsid w:val="00AA6C6A"/>
    <w:rsid w:val="00AA6E96"/>
    <w:rsid w:val="00AA6EB2"/>
    <w:rsid w:val="00AA6F4E"/>
    <w:rsid w:val="00AA71A6"/>
    <w:rsid w:val="00AA71AE"/>
    <w:rsid w:val="00AA71F6"/>
    <w:rsid w:val="00AA7236"/>
    <w:rsid w:val="00AA73CE"/>
    <w:rsid w:val="00AA74FD"/>
    <w:rsid w:val="00AA7516"/>
    <w:rsid w:val="00AA757F"/>
    <w:rsid w:val="00AA7604"/>
    <w:rsid w:val="00AA7674"/>
    <w:rsid w:val="00AA78A1"/>
    <w:rsid w:val="00AA7908"/>
    <w:rsid w:val="00AA7957"/>
    <w:rsid w:val="00AA7980"/>
    <w:rsid w:val="00AA79B2"/>
    <w:rsid w:val="00AA7A9E"/>
    <w:rsid w:val="00AA7AC4"/>
    <w:rsid w:val="00AA7C40"/>
    <w:rsid w:val="00AA7D9A"/>
    <w:rsid w:val="00AA7EF5"/>
    <w:rsid w:val="00AA7EFF"/>
    <w:rsid w:val="00AA7F3C"/>
    <w:rsid w:val="00AA7F40"/>
    <w:rsid w:val="00AA7F77"/>
    <w:rsid w:val="00AA7F7F"/>
    <w:rsid w:val="00AB02C7"/>
    <w:rsid w:val="00AB044F"/>
    <w:rsid w:val="00AB04BC"/>
    <w:rsid w:val="00AB05FD"/>
    <w:rsid w:val="00AB06D7"/>
    <w:rsid w:val="00AB0740"/>
    <w:rsid w:val="00AB079A"/>
    <w:rsid w:val="00AB07C4"/>
    <w:rsid w:val="00AB0891"/>
    <w:rsid w:val="00AB0910"/>
    <w:rsid w:val="00AB09CE"/>
    <w:rsid w:val="00AB09D7"/>
    <w:rsid w:val="00AB09E1"/>
    <w:rsid w:val="00AB0B19"/>
    <w:rsid w:val="00AB0C1B"/>
    <w:rsid w:val="00AB0CAA"/>
    <w:rsid w:val="00AB0CDA"/>
    <w:rsid w:val="00AB0F1C"/>
    <w:rsid w:val="00AB0F23"/>
    <w:rsid w:val="00AB0FEF"/>
    <w:rsid w:val="00AB10B8"/>
    <w:rsid w:val="00AB1266"/>
    <w:rsid w:val="00AB129D"/>
    <w:rsid w:val="00AB13BE"/>
    <w:rsid w:val="00AB1479"/>
    <w:rsid w:val="00AB14B1"/>
    <w:rsid w:val="00AB1506"/>
    <w:rsid w:val="00AB178A"/>
    <w:rsid w:val="00AB184D"/>
    <w:rsid w:val="00AB194F"/>
    <w:rsid w:val="00AB1AB4"/>
    <w:rsid w:val="00AB1B60"/>
    <w:rsid w:val="00AB1C2A"/>
    <w:rsid w:val="00AB1C4B"/>
    <w:rsid w:val="00AB1C99"/>
    <w:rsid w:val="00AB1DB8"/>
    <w:rsid w:val="00AB1DB9"/>
    <w:rsid w:val="00AB1DE9"/>
    <w:rsid w:val="00AB1E24"/>
    <w:rsid w:val="00AB1E37"/>
    <w:rsid w:val="00AB1EE2"/>
    <w:rsid w:val="00AB1FED"/>
    <w:rsid w:val="00AB206D"/>
    <w:rsid w:val="00AB20E6"/>
    <w:rsid w:val="00AB2118"/>
    <w:rsid w:val="00AB2219"/>
    <w:rsid w:val="00AB22BF"/>
    <w:rsid w:val="00AB230D"/>
    <w:rsid w:val="00AB23FC"/>
    <w:rsid w:val="00AB2488"/>
    <w:rsid w:val="00AB2517"/>
    <w:rsid w:val="00AB2546"/>
    <w:rsid w:val="00AB257F"/>
    <w:rsid w:val="00AB2612"/>
    <w:rsid w:val="00AB275D"/>
    <w:rsid w:val="00AB27BE"/>
    <w:rsid w:val="00AB2A75"/>
    <w:rsid w:val="00AB2AFB"/>
    <w:rsid w:val="00AB2B66"/>
    <w:rsid w:val="00AB2BA7"/>
    <w:rsid w:val="00AB2D89"/>
    <w:rsid w:val="00AB2D93"/>
    <w:rsid w:val="00AB2DCF"/>
    <w:rsid w:val="00AB2DE0"/>
    <w:rsid w:val="00AB3022"/>
    <w:rsid w:val="00AB30AC"/>
    <w:rsid w:val="00AB317B"/>
    <w:rsid w:val="00AB31B9"/>
    <w:rsid w:val="00AB31EB"/>
    <w:rsid w:val="00AB31F0"/>
    <w:rsid w:val="00AB3223"/>
    <w:rsid w:val="00AB324E"/>
    <w:rsid w:val="00AB3455"/>
    <w:rsid w:val="00AB37A6"/>
    <w:rsid w:val="00AB37AA"/>
    <w:rsid w:val="00AB37C3"/>
    <w:rsid w:val="00AB37E6"/>
    <w:rsid w:val="00AB387B"/>
    <w:rsid w:val="00AB3912"/>
    <w:rsid w:val="00AB39C8"/>
    <w:rsid w:val="00AB3B1B"/>
    <w:rsid w:val="00AB3B61"/>
    <w:rsid w:val="00AB3CA7"/>
    <w:rsid w:val="00AB3D30"/>
    <w:rsid w:val="00AB3DB4"/>
    <w:rsid w:val="00AB3E27"/>
    <w:rsid w:val="00AB3F55"/>
    <w:rsid w:val="00AB40A0"/>
    <w:rsid w:val="00AB40A1"/>
    <w:rsid w:val="00AB40B1"/>
    <w:rsid w:val="00AB40D1"/>
    <w:rsid w:val="00AB417F"/>
    <w:rsid w:val="00AB41CE"/>
    <w:rsid w:val="00AB41FC"/>
    <w:rsid w:val="00AB4201"/>
    <w:rsid w:val="00AB458B"/>
    <w:rsid w:val="00AB45F1"/>
    <w:rsid w:val="00AB461D"/>
    <w:rsid w:val="00AB463B"/>
    <w:rsid w:val="00AB470F"/>
    <w:rsid w:val="00AB47F3"/>
    <w:rsid w:val="00AB48BF"/>
    <w:rsid w:val="00AB4943"/>
    <w:rsid w:val="00AB4A16"/>
    <w:rsid w:val="00AB4A96"/>
    <w:rsid w:val="00AB4E94"/>
    <w:rsid w:val="00AB4FCA"/>
    <w:rsid w:val="00AB4FF2"/>
    <w:rsid w:val="00AB50BC"/>
    <w:rsid w:val="00AB5174"/>
    <w:rsid w:val="00AB518E"/>
    <w:rsid w:val="00AB5294"/>
    <w:rsid w:val="00AB530F"/>
    <w:rsid w:val="00AB5329"/>
    <w:rsid w:val="00AB5341"/>
    <w:rsid w:val="00AB5439"/>
    <w:rsid w:val="00AB555F"/>
    <w:rsid w:val="00AB55DE"/>
    <w:rsid w:val="00AB5627"/>
    <w:rsid w:val="00AB56B5"/>
    <w:rsid w:val="00AB56EE"/>
    <w:rsid w:val="00AB5791"/>
    <w:rsid w:val="00AB59A4"/>
    <w:rsid w:val="00AB59DC"/>
    <w:rsid w:val="00AB5A53"/>
    <w:rsid w:val="00AB5D60"/>
    <w:rsid w:val="00AB5D81"/>
    <w:rsid w:val="00AB5DAD"/>
    <w:rsid w:val="00AB5E20"/>
    <w:rsid w:val="00AB5F4E"/>
    <w:rsid w:val="00AB6254"/>
    <w:rsid w:val="00AB6439"/>
    <w:rsid w:val="00AB6479"/>
    <w:rsid w:val="00AB669F"/>
    <w:rsid w:val="00AB6867"/>
    <w:rsid w:val="00AB6874"/>
    <w:rsid w:val="00AB6913"/>
    <w:rsid w:val="00AB6A9C"/>
    <w:rsid w:val="00AB6AED"/>
    <w:rsid w:val="00AB6BA8"/>
    <w:rsid w:val="00AB6D1F"/>
    <w:rsid w:val="00AB6D94"/>
    <w:rsid w:val="00AB6E17"/>
    <w:rsid w:val="00AB6EA4"/>
    <w:rsid w:val="00AB7059"/>
    <w:rsid w:val="00AB708E"/>
    <w:rsid w:val="00AB72E7"/>
    <w:rsid w:val="00AB7340"/>
    <w:rsid w:val="00AB744F"/>
    <w:rsid w:val="00AB74E2"/>
    <w:rsid w:val="00AB75A0"/>
    <w:rsid w:val="00AB75D9"/>
    <w:rsid w:val="00AB75F0"/>
    <w:rsid w:val="00AB7681"/>
    <w:rsid w:val="00AB76D6"/>
    <w:rsid w:val="00AB780E"/>
    <w:rsid w:val="00AB79F3"/>
    <w:rsid w:val="00AB7A14"/>
    <w:rsid w:val="00AB7AA8"/>
    <w:rsid w:val="00AB7ABF"/>
    <w:rsid w:val="00AB7B21"/>
    <w:rsid w:val="00AB7C31"/>
    <w:rsid w:val="00AB7CE4"/>
    <w:rsid w:val="00AB7D7B"/>
    <w:rsid w:val="00AB7DD7"/>
    <w:rsid w:val="00AB7E29"/>
    <w:rsid w:val="00AB7E9D"/>
    <w:rsid w:val="00AB7EE4"/>
    <w:rsid w:val="00AC00E7"/>
    <w:rsid w:val="00AC018F"/>
    <w:rsid w:val="00AC01C9"/>
    <w:rsid w:val="00AC01F1"/>
    <w:rsid w:val="00AC03C5"/>
    <w:rsid w:val="00AC03FC"/>
    <w:rsid w:val="00AC0411"/>
    <w:rsid w:val="00AC058D"/>
    <w:rsid w:val="00AC0631"/>
    <w:rsid w:val="00AC07A2"/>
    <w:rsid w:val="00AC095D"/>
    <w:rsid w:val="00AC09B0"/>
    <w:rsid w:val="00AC0A48"/>
    <w:rsid w:val="00AC0B4D"/>
    <w:rsid w:val="00AC0B7D"/>
    <w:rsid w:val="00AC0BE1"/>
    <w:rsid w:val="00AC0C01"/>
    <w:rsid w:val="00AC0C79"/>
    <w:rsid w:val="00AC0DEF"/>
    <w:rsid w:val="00AC0E4A"/>
    <w:rsid w:val="00AC0E61"/>
    <w:rsid w:val="00AC0FF3"/>
    <w:rsid w:val="00AC10ED"/>
    <w:rsid w:val="00AC11A0"/>
    <w:rsid w:val="00AC11EC"/>
    <w:rsid w:val="00AC1245"/>
    <w:rsid w:val="00AC1279"/>
    <w:rsid w:val="00AC1317"/>
    <w:rsid w:val="00AC1662"/>
    <w:rsid w:val="00AC166E"/>
    <w:rsid w:val="00AC1682"/>
    <w:rsid w:val="00AC1A6D"/>
    <w:rsid w:val="00AC1AB4"/>
    <w:rsid w:val="00AC1AD0"/>
    <w:rsid w:val="00AC1B52"/>
    <w:rsid w:val="00AC1C66"/>
    <w:rsid w:val="00AC1CE1"/>
    <w:rsid w:val="00AC1D7B"/>
    <w:rsid w:val="00AC1DB1"/>
    <w:rsid w:val="00AC1F58"/>
    <w:rsid w:val="00AC2122"/>
    <w:rsid w:val="00AC229A"/>
    <w:rsid w:val="00AC23E7"/>
    <w:rsid w:val="00AC2664"/>
    <w:rsid w:val="00AC2700"/>
    <w:rsid w:val="00AC2713"/>
    <w:rsid w:val="00AC2738"/>
    <w:rsid w:val="00AC27C3"/>
    <w:rsid w:val="00AC27D7"/>
    <w:rsid w:val="00AC2958"/>
    <w:rsid w:val="00AC29F5"/>
    <w:rsid w:val="00AC2B3B"/>
    <w:rsid w:val="00AC2BE2"/>
    <w:rsid w:val="00AC2C02"/>
    <w:rsid w:val="00AC2C39"/>
    <w:rsid w:val="00AC2C96"/>
    <w:rsid w:val="00AC2CCE"/>
    <w:rsid w:val="00AC2D73"/>
    <w:rsid w:val="00AC2E6E"/>
    <w:rsid w:val="00AC2F18"/>
    <w:rsid w:val="00AC2F3D"/>
    <w:rsid w:val="00AC3113"/>
    <w:rsid w:val="00AC3240"/>
    <w:rsid w:val="00AC3309"/>
    <w:rsid w:val="00AC3342"/>
    <w:rsid w:val="00AC3347"/>
    <w:rsid w:val="00AC335C"/>
    <w:rsid w:val="00AC357D"/>
    <w:rsid w:val="00AC36BE"/>
    <w:rsid w:val="00AC371C"/>
    <w:rsid w:val="00AC382A"/>
    <w:rsid w:val="00AC385D"/>
    <w:rsid w:val="00AC38E3"/>
    <w:rsid w:val="00AC39FC"/>
    <w:rsid w:val="00AC3A0A"/>
    <w:rsid w:val="00AC3AE5"/>
    <w:rsid w:val="00AC3BD6"/>
    <w:rsid w:val="00AC3D0C"/>
    <w:rsid w:val="00AC3D16"/>
    <w:rsid w:val="00AC3D2F"/>
    <w:rsid w:val="00AC3D9E"/>
    <w:rsid w:val="00AC3DD2"/>
    <w:rsid w:val="00AC3F0D"/>
    <w:rsid w:val="00AC40EA"/>
    <w:rsid w:val="00AC41AD"/>
    <w:rsid w:val="00AC4261"/>
    <w:rsid w:val="00AC427E"/>
    <w:rsid w:val="00AC43E7"/>
    <w:rsid w:val="00AC44F8"/>
    <w:rsid w:val="00AC452F"/>
    <w:rsid w:val="00AC4558"/>
    <w:rsid w:val="00AC4596"/>
    <w:rsid w:val="00AC479A"/>
    <w:rsid w:val="00AC47DD"/>
    <w:rsid w:val="00AC49D3"/>
    <w:rsid w:val="00AC4A1B"/>
    <w:rsid w:val="00AC4A26"/>
    <w:rsid w:val="00AC4A33"/>
    <w:rsid w:val="00AC4AAF"/>
    <w:rsid w:val="00AC4AFA"/>
    <w:rsid w:val="00AC4D44"/>
    <w:rsid w:val="00AC4D76"/>
    <w:rsid w:val="00AC4F03"/>
    <w:rsid w:val="00AC4F28"/>
    <w:rsid w:val="00AC4F2A"/>
    <w:rsid w:val="00AC4FDC"/>
    <w:rsid w:val="00AC5022"/>
    <w:rsid w:val="00AC52B0"/>
    <w:rsid w:val="00AC52D5"/>
    <w:rsid w:val="00AC534F"/>
    <w:rsid w:val="00AC540E"/>
    <w:rsid w:val="00AC5536"/>
    <w:rsid w:val="00AC561E"/>
    <w:rsid w:val="00AC5968"/>
    <w:rsid w:val="00AC59D7"/>
    <w:rsid w:val="00AC59E9"/>
    <w:rsid w:val="00AC5ADE"/>
    <w:rsid w:val="00AC5B8E"/>
    <w:rsid w:val="00AC5BAE"/>
    <w:rsid w:val="00AC5C40"/>
    <w:rsid w:val="00AC5DA0"/>
    <w:rsid w:val="00AC5DC6"/>
    <w:rsid w:val="00AC5EF3"/>
    <w:rsid w:val="00AC60E6"/>
    <w:rsid w:val="00AC6197"/>
    <w:rsid w:val="00AC6266"/>
    <w:rsid w:val="00AC629A"/>
    <w:rsid w:val="00AC62A3"/>
    <w:rsid w:val="00AC63E2"/>
    <w:rsid w:val="00AC651B"/>
    <w:rsid w:val="00AC6522"/>
    <w:rsid w:val="00AC65DE"/>
    <w:rsid w:val="00AC6686"/>
    <w:rsid w:val="00AC6807"/>
    <w:rsid w:val="00AC686B"/>
    <w:rsid w:val="00AC6A68"/>
    <w:rsid w:val="00AC6A8F"/>
    <w:rsid w:val="00AC6AB4"/>
    <w:rsid w:val="00AC6B1F"/>
    <w:rsid w:val="00AC6BDD"/>
    <w:rsid w:val="00AC6DE5"/>
    <w:rsid w:val="00AC6ED5"/>
    <w:rsid w:val="00AC6F2A"/>
    <w:rsid w:val="00AC6F97"/>
    <w:rsid w:val="00AC70B3"/>
    <w:rsid w:val="00AC71EF"/>
    <w:rsid w:val="00AC7267"/>
    <w:rsid w:val="00AC730B"/>
    <w:rsid w:val="00AC73A2"/>
    <w:rsid w:val="00AC73DE"/>
    <w:rsid w:val="00AC7429"/>
    <w:rsid w:val="00AC7485"/>
    <w:rsid w:val="00AC749B"/>
    <w:rsid w:val="00AC7535"/>
    <w:rsid w:val="00AC759D"/>
    <w:rsid w:val="00AC7610"/>
    <w:rsid w:val="00AC77B6"/>
    <w:rsid w:val="00AC7A5F"/>
    <w:rsid w:val="00AC7AF5"/>
    <w:rsid w:val="00AC7CAB"/>
    <w:rsid w:val="00AC7CAD"/>
    <w:rsid w:val="00AC7CC6"/>
    <w:rsid w:val="00AC7D08"/>
    <w:rsid w:val="00AC7DE5"/>
    <w:rsid w:val="00AC7E1C"/>
    <w:rsid w:val="00AC7E71"/>
    <w:rsid w:val="00AC7F50"/>
    <w:rsid w:val="00AC7F84"/>
    <w:rsid w:val="00AD0053"/>
    <w:rsid w:val="00AD00C5"/>
    <w:rsid w:val="00AD04FE"/>
    <w:rsid w:val="00AD076C"/>
    <w:rsid w:val="00AD094A"/>
    <w:rsid w:val="00AD099A"/>
    <w:rsid w:val="00AD0B76"/>
    <w:rsid w:val="00AD0E2E"/>
    <w:rsid w:val="00AD0E57"/>
    <w:rsid w:val="00AD0F34"/>
    <w:rsid w:val="00AD0F69"/>
    <w:rsid w:val="00AD0FD1"/>
    <w:rsid w:val="00AD1024"/>
    <w:rsid w:val="00AD114A"/>
    <w:rsid w:val="00AD1343"/>
    <w:rsid w:val="00AD158C"/>
    <w:rsid w:val="00AD16BE"/>
    <w:rsid w:val="00AD176C"/>
    <w:rsid w:val="00AD177F"/>
    <w:rsid w:val="00AD1780"/>
    <w:rsid w:val="00AD1844"/>
    <w:rsid w:val="00AD1C12"/>
    <w:rsid w:val="00AD1E89"/>
    <w:rsid w:val="00AD1E8A"/>
    <w:rsid w:val="00AD1EC7"/>
    <w:rsid w:val="00AD2005"/>
    <w:rsid w:val="00AD202E"/>
    <w:rsid w:val="00AD203A"/>
    <w:rsid w:val="00AD205B"/>
    <w:rsid w:val="00AD210D"/>
    <w:rsid w:val="00AD2156"/>
    <w:rsid w:val="00AD222B"/>
    <w:rsid w:val="00AD228E"/>
    <w:rsid w:val="00AD2464"/>
    <w:rsid w:val="00AD24CF"/>
    <w:rsid w:val="00AD24E5"/>
    <w:rsid w:val="00AD2624"/>
    <w:rsid w:val="00AD2636"/>
    <w:rsid w:val="00AD26AF"/>
    <w:rsid w:val="00AD2963"/>
    <w:rsid w:val="00AD29B8"/>
    <w:rsid w:val="00AD2B04"/>
    <w:rsid w:val="00AD2B34"/>
    <w:rsid w:val="00AD2D0E"/>
    <w:rsid w:val="00AD2DB9"/>
    <w:rsid w:val="00AD2E0D"/>
    <w:rsid w:val="00AD2E27"/>
    <w:rsid w:val="00AD2EB8"/>
    <w:rsid w:val="00AD2F53"/>
    <w:rsid w:val="00AD2F57"/>
    <w:rsid w:val="00AD2FC9"/>
    <w:rsid w:val="00AD2FCE"/>
    <w:rsid w:val="00AD3048"/>
    <w:rsid w:val="00AD3077"/>
    <w:rsid w:val="00AD3294"/>
    <w:rsid w:val="00AD32FB"/>
    <w:rsid w:val="00AD33EA"/>
    <w:rsid w:val="00AD34AE"/>
    <w:rsid w:val="00AD3898"/>
    <w:rsid w:val="00AD38CF"/>
    <w:rsid w:val="00AD39B8"/>
    <w:rsid w:val="00AD39E8"/>
    <w:rsid w:val="00AD3A1B"/>
    <w:rsid w:val="00AD3A56"/>
    <w:rsid w:val="00AD3AE1"/>
    <w:rsid w:val="00AD3B85"/>
    <w:rsid w:val="00AD3BD0"/>
    <w:rsid w:val="00AD3E0A"/>
    <w:rsid w:val="00AD3FA2"/>
    <w:rsid w:val="00AD3FF6"/>
    <w:rsid w:val="00AD4075"/>
    <w:rsid w:val="00AD42B1"/>
    <w:rsid w:val="00AD4374"/>
    <w:rsid w:val="00AD455B"/>
    <w:rsid w:val="00AD458A"/>
    <w:rsid w:val="00AD4698"/>
    <w:rsid w:val="00AD4704"/>
    <w:rsid w:val="00AD4A0E"/>
    <w:rsid w:val="00AD4C57"/>
    <w:rsid w:val="00AD4C98"/>
    <w:rsid w:val="00AD4CF9"/>
    <w:rsid w:val="00AD506B"/>
    <w:rsid w:val="00AD50F2"/>
    <w:rsid w:val="00AD5179"/>
    <w:rsid w:val="00AD5180"/>
    <w:rsid w:val="00AD5236"/>
    <w:rsid w:val="00AD52D2"/>
    <w:rsid w:val="00AD535E"/>
    <w:rsid w:val="00AD53F6"/>
    <w:rsid w:val="00AD53FD"/>
    <w:rsid w:val="00AD5491"/>
    <w:rsid w:val="00AD56F5"/>
    <w:rsid w:val="00AD5841"/>
    <w:rsid w:val="00AD591E"/>
    <w:rsid w:val="00AD5987"/>
    <w:rsid w:val="00AD5A0E"/>
    <w:rsid w:val="00AD5B24"/>
    <w:rsid w:val="00AD5D8C"/>
    <w:rsid w:val="00AD5E0E"/>
    <w:rsid w:val="00AD5E27"/>
    <w:rsid w:val="00AD5E79"/>
    <w:rsid w:val="00AD5EA9"/>
    <w:rsid w:val="00AD6019"/>
    <w:rsid w:val="00AD607C"/>
    <w:rsid w:val="00AD6257"/>
    <w:rsid w:val="00AD6451"/>
    <w:rsid w:val="00AD650A"/>
    <w:rsid w:val="00AD65A5"/>
    <w:rsid w:val="00AD67A6"/>
    <w:rsid w:val="00AD67AD"/>
    <w:rsid w:val="00AD67D0"/>
    <w:rsid w:val="00AD688C"/>
    <w:rsid w:val="00AD6A16"/>
    <w:rsid w:val="00AD6A6C"/>
    <w:rsid w:val="00AD6B03"/>
    <w:rsid w:val="00AD6B55"/>
    <w:rsid w:val="00AD6B62"/>
    <w:rsid w:val="00AD6C9C"/>
    <w:rsid w:val="00AD6DC5"/>
    <w:rsid w:val="00AD6E48"/>
    <w:rsid w:val="00AD6F07"/>
    <w:rsid w:val="00AD705E"/>
    <w:rsid w:val="00AD71AD"/>
    <w:rsid w:val="00AD7306"/>
    <w:rsid w:val="00AD7377"/>
    <w:rsid w:val="00AD74A2"/>
    <w:rsid w:val="00AD74F5"/>
    <w:rsid w:val="00AD74F9"/>
    <w:rsid w:val="00AD75E6"/>
    <w:rsid w:val="00AD7663"/>
    <w:rsid w:val="00AD7771"/>
    <w:rsid w:val="00AD78BA"/>
    <w:rsid w:val="00AD7977"/>
    <w:rsid w:val="00AD7B99"/>
    <w:rsid w:val="00AD7C0D"/>
    <w:rsid w:val="00AD7D7D"/>
    <w:rsid w:val="00AD7D9E"/>
    <w:rsid w:val="00AD7DDB"/>
    <w:rsid w:val="00AD7DFA"/>
    <w:rsid w:val="00AD7E23"/>
    <w:rsid w:val="00AD7F2E"/>
    <w:rsid w:val="00AE0052"/>
    <w:rsid w:val="00AE009A"/>
    <w:rsid w:val="00AE00A6"/>
    <w:rsid w:val="00AE00D6"/>
    <w:rsid w:val="00AE01F3"/>
    <w:rsid w:val="00AE01FC"/>
    <w:rsid w:val="00AE0248"/>
    <w:rsid w:val="00AE032D"/>
    <w:rsid w:val="00AE03C1"/>
    <w:rsid w:val="00AE0455"/>
    <w:rsid w:val="00AE046D"/>
    <w:rsid w:val="00AE0601"/>
    <w:rsid w:val="00AE0717"/>
    <w:rsid w:val="00AE08CC"/>
    <w:rsid w:val="00AE093D"/>
    <w:rsid w:val="00AE0942"/>
    <w:rsid w:val="00AE0ADF"/>
    <w:rsid w:val="00AE0BB4"/>
    <w:rsid w:val="00AE0BEE"/>
    <w:rsid w:val="00AE0C3A"/>
    <w:rsid w:val="00AE0F38"/>
    <w:rsid w:val="00AE0F83"/>
    <w:rsid w:val="00AE1050"/>
    <w:rsid w:val="00AE10F0"/>
    <w:rsid w:val="00AE1283"/>
    <w:rsid w:val="00AE1296"/>
    <w:rsid w:val="00AE1362"/>
    <w:rsid w:val="00AE1383"/>
    <w:rsid w:val="00AE1492"/>
    <w:rsid w:val="00AE14C1"/>
    <w:rsid w:val="00AE1516"/>
    <w:rsid w:val="00AE1524"/>
    <w:rsid w:val="00AE15C1"/>
    <w:rsid w:val="00AE1632"/>
    <w:rsid w:val="00AE1837"/>
    <w:rsid w:val="00AE1844"/>
    <w:rsid w:val="00AE19FF"/>
    <w:rsid w:val="00AE1A73"/>
    <w:rsid w:val="00AE1A86"/>
    <w:rsid w:val="00AE1AB4"/>
    <w:rsid w:val="00AE1D37"/>
    <w:rsid w:val="00AE1D59"/>
    <w:rsid w:val="00AE1DA0"/>
    <w:rsid w:val="00AE1F45"/>
    <w:rsid w:val="00AE1F49"/>
    <w:rsid w:val="00AE1FD4"/>
    <w:rsid w:val="00AE20B5"/>
    <w:rsid w:val="00AE2206"/>
    <w:rsid w:val="00AE2275"/>
    <w:rsid w:val="00AE2667"/>
    <w:rsid w:val="00AE2795"/>
    <w:rsid w:val="00AE2805"/>
    <w:rsid w:val="00AE29C6"/>
    <w:rsid w:val="00AE2A7A"/>
    <w:rsid w:val="00AE2C93"/>
    <w:rsid w:val="00AE2CE7"/>
    <w:rsid w:val="00AE2EBE"/>
    <w:rsid w:val="00AE303B"/>
    <w:rsid w:val="00AE3040"/>
    <w:rsid w:val="00AE3043"/>
    <w:rsid w:val="00AE32AF"/>
    <w:rsid w:val="00AE32F6"/>
    <w:rsid w:val="00AE34AE"/>
    <w:rsid w:val="00AE35EC"/>
    <w:rsid w:val="00AE38EC"/>
    <w:rsid w:val="00AE3A4F"/>
    <w:rsid w:val="00AE3AC0"/>
    <w:rsid w:val="00AE3AD2"/>
    <w:rsid w:val="00AE3B22"/>
    <w:rsid w:val="00AE3C1D"/>
    <w:rsid w:val="00AE3CC8"/>
    <w:rsid w:val="00AE3D19"/>
    <w:rsid w:val="00AE3D67"/>
    <w:rsid w:val="00AE3DE0"/>
    <w:rsid w:val="00AE3E63"/>
    <w:rsid w:val="00AE3EE9"/>
    <w:rsid w:val="00AE3F8A"/>
    <w:rsid w:val="00AE3FFB"/>
    <w:rsid w:val="00AE3FFE"/>
    <w:rsid w:val="00AE419A"/>
    <w:rsid w:val="00AE424D"/>
    <w:rsid w:val="00AE4293"/>
    <w:rsid w:val="00AE4382"/>
    <w:rsid w:val="00AE43C6"/>
    <w:rsid w:val="00AE43CD"/>
    <w:rsid w:val="00AE44A1"/>
    <w:rsid w:val="00AE45BD"/>
    <w:rsid w:val="00AE463C"/>
    <w:rsid w:val="00AE489F"/>
    <w:rsid w:val="00AE48EF"/>
    <w:rsid w:val="00AE4930"/>
    <w:rsid w:val="00AE4A63"/>
    <w:rsid w:val="00AE4BA3"/>
    <w:rsid w:val="00AE4E54"/>
    <w:rsid w:val="00AE4E95"/>
    <w:rsid w:val="00AE4EE4"/>
    <w:rsid w:val="00AE4F07"/>
    <w:rsid w:val="00AE4F5E"/>
    <w:rsid w:val="00AE5005"/>
    <w:rsid w:val="00AE504B"/>
    <w:rsid w:val="00AE544E"/>
    <w:rsid w:val="00AE54E4"/>
    <w:rsid w:val="00AE573C"/>
    <w:rsid w:val="00AE575E"/>
    <w:rsid w:val="00AE57BB"/>
    <w:rsid w:val="00AE5900"/>
    <w:rsid w:val="00AE5950"/>
    <w:rsid w:val="00AE5956"/>
    <w:rsid w:val="00AE59B9"/>
    <w:rsid w:val="00AE5A3E"/>
    <w:rsid w:val="00AE5A53"/>
    <w:rsid w:val="00AE5C51"/>
    <w:rsid w:val="00AE5CA7"/>
    <w:rsid w:val="00AE5D39"/>
    <w:rsid w:val="00AE5D44"/>
    <w:rsid w:val="00AE5E21"/>
    <w:rsid w:val="00AE5FEC"/>
    <w:rsid w:val="00AE5FFB"/>
    <w:rsid w:val="00AE6201"/>
    <w:rsid w:val="00AE6327"/>
    <w:rsid w:val="00AE636A"/>
    <w:rsid w:val="00AE6431"/>
    <w:rsid w:val="00AE64E1"/>
    <w:rsid w:val="00AE65A7"/>
    <w:rsid w:val="00AE6601"/>
    <w:rsid w:val="00AE69FE"/>
    <w:rsid w:val="00AE6B2C"/>
    <w:rsid w:val="00AE6BCA"/>
    <w:rsid w:val="00AE6C24"/>
    <w:rsid w:val="00AE6C57"/>
    <w:rsid w:val="00AE6DAD"/>
    <w:rsid w:val="00AE7062"/>
    <w:rsid w:val="00AE71C5"/>
    <w:rsid w:val="00AE7241"/>
    <w:rsid w:val="00AE7310"/>
    <w:rsid w:val="00AE7338"/>
    <w:rsid w:val="00AE73B8"/>
    <w:rsid w:val="00AE73E9"/>
    <w:rsid w:val="00AE758A"/>
    <w:rsid w:val="00AE766B"/>
    <w:rsid w:val="00AE7742"/>
    <w:rsid w:val="00AE7838"/>
    <w:rsid w:val="00AE7B5B"/>
    <w:rsid w:val="00AE7B76"/>
    <w:rsid w:val="00AE7D14"/>
    <w:rsid w:val="00AE7D58"/>
    <w:rsid w:val="00AE7DAC"/>
    <w:rsid w:val="00AE7E02"/>
    <w:rsid w:val="00AE7E56"/>
    <w:rsid w:val="00AE7ECD"/>
    <w:rsid w:val="00AF016B"/>
    <w:rsid w:val="00AF01D6"/>
    <w:rsid w:val="00AF01FE"/>
    <w:rsid w:val="00AF02C8"/>
    <w:rsid w:val="00AF02F6"/>
    <w:rsid w:val="00AF03B0"/>
    <w:rsid w:val="00AF0423"/>
    <w:rsid w:val="00AF050C"/>
    <w:rsid w:val="00AF053F"/>
    <w:rsid w:val="00AF06A7"/>
    <w:rsid w:val="00AF06E9"/>
    <w:rsid w:val="00AF0711"/>
    <w:rsid w:val="00AF0882"/>
    <w:rsid w:val="00AF0A46"/>
    <w:rsid w:val="00AF0A80"/>
    <w:rsid w:val="00AF0AA8"/>
    <w:rsid w:val="00AF0ACA"/>
    <w:rsid w:val="00AF0BCD"/>
    <w:rsid w:val="00AF0D06"/>
    <w:rsid w:val="00AF122C"/>
    <w:rsid w:val="00AF12B8"/>
    <w:rsid w:val="00AF13AD"/>
    <w:rsid w:val="00AF143C"/>
    <w:rsid w:val="00AF1646"/>
    <w:rsid w:val="00AF16D7"/>
    <w:rsid w:val="00AF16E2"/>
    <w:rsid w:val="00AF16E4"/>
    <w:rsid w:val="00AF170D"/>
    <w:rsid w:val="00AF1726"/>
    <w:rsid w:val="00AF17D3"/>
    <w:rsid w:val="00AF1D17"/>
    <w:rsid w:val="00AF1D29"/>
    <w:rsid w:val="00AF1F65"/>
    <w:rsid w:val="00AF2095"/>
    <w:rsid w:val="00AF230A"/>
    <w:rsid w:val="00AF23A4"/>
    <w:rsid w:val="00AF2406"/>
    <w:rsid w:val="00AF24A9"/>
    <w:rsid w:val="00AF250D"/>
    <w:rsid w:val="00AF258E"/>
    <w:rsid w:val="00AF2617"/>
    <w:rsid w:val="00AF26EC"/>
    <w:rsid w:val="00AF272D"/>
    <w:rsid w:val="00AF288A"/>
    <w:rsid w:val="00AF2954"/>
    <w:rsid w:val="00AF29D6"/>
    <w:rsid w:val="00AF29E5"/>
    <w:rsid w:val="00AF2C5C"/>
    <w:rsid w:val="00AF2C66"/>
    <w:rsid w:val="00AF2CB6"/>
    <w:rsid w:val="00AF2D4B"/>
    <w:rsid w:val="00AF2D99"/>
    <w:rsid w:val="00AF2E6C"/>
    <w:rsid w:val="00AF2F21"/>
    <w:rsid w:val="00AF2F7E"/>
    <w:rsid w:val="00AF3007"/>
    <w:rsid w:val="00AF3041"/>
    <w:rsid w:val="00AF3045"/>
    <w:rsid w:val="00AF305A"/>
    <w:rsid w:val="00AF326E"/>
    <w:rsid w:val="00AF3410"/>
    <w:rsid w:val="00AF345C"/>
    <w:rsid w:val="00AF353A"/>
    <w:rsid w:val="00AF36FB"/>
    <w:rsid w:val="00AF378D"/>
    <w:rsid w:val="00AF37F1"/>
    <w:rsid w:val="00AF3827"/>
    <w:rsid w:val="00AF38D5"/>
    <w:rsid w:val="00AF3A2F"/>
    <w:rsid w:val="00AF3A5D"/>
    <w:rsid w:val="00AF3AEF"/>
    <w:rsid w:val="00AF3AF7"/>
    <w:rsid w:val="00AF3B8B"/>
    <w:rsid w:val="00AF3BA7"/>
    <w:rsid w:val="00AF3BEE"/>
    <w:rsid w:val="00AF3C33"/>
    <w:rsid w:val="00AF3C89"/>
    <w:rsid w:val="00AF3C9A"/>
    <w:rsid w:val="00AF3F2D"/>
    <w:rsid w:val="00AF4043"/>
    <w:rsid w:val="00AF414A"/>
    <w:rsid w:val="00AF417D"/>
    <w:rsid w:val="00AF4183"/>
    <w:rsid w:val="00AF422F"/>
    <w:rsid w:val="00AF425B"/>
    <w:rsid w:val="00AF4261"/>
    <w:rsid w:val="00AF44F2"/>
    <w:rsid w:val="00AF44FE"/>
    <w:rsid w:val="00AF460C"/>
    <w:rsid w:val="00AF467A"/>
    <w:rsid w:val="00AF4687"/>
    <w:rsid w:val="00AF478C"/>
    <w:rsid w:val="00AF497E"/>
    <w:rsid w:val="00AF499B"/>
    <w:rsid w:val="00AF4A1F"/>
    <w:rsid w:val="00AF4B48"/>
    <w:rsid w:val="00AF4CF7"/>
    <w:rsid w:val="00AF4CFE"/>
    <w:rsid w:val="00AF4D40"/>
    <w:rsid w:val="00AF4D4B"/>
    <w:rsid w:val="00AF4D82"/>
    <w:rsid w:val="00AF4F6A"/>
    <w:rsid w:val="00AF521E"/>
    <w:rsid w:val="00AF52B0"/>
    <w:rsid w:val="00AF52D6"/>
    <w:rsid w:val="00AF540D"/>
    <w:rsid w:val="00AF5A32"/>
    <w:rsid w:val="00AF5A53"/>
    <w:rsid w:val="00AF5BC3"/>
    <w:rsid w:val="00AF5BDA"/>
    <w:rsid w:val="00AF5BEA"/>
    <w:rsid w:val="00AF5C23"/>
    <w:rsid w:val="00AF5C41"/>
    <w:rsid w:val="00AF5C79"/>
    <w:rsid w:val="00AF5D1E"/>
    <w:rsid w:val="00AF5DE1"/>
    <w:rsid w:val="00AF605C"/>
    <w:rsid w:val="00AF617A"/>
    <w:rsid w:val="00AF62B7"/>
    <w:rsid w:val="00AF62CF"/>
    <w:rsid w:val="00AF63BF"/>
    <w:rsid w:val="00AF6405"/>
    <w:rsid w:val="00AF6719"/>
    <w:rsid w:val="00AF6740"/>
    <w:rsid w:val="00AF6878"/>
    <w:rsid w:val="00AF692C"/>
    <w:rsid w:val="00AF6A0F"/>
    <w:rsid w:val="00AF6B1B"/>
    <w:rsid w:val="00AF6B20"/>
    <w:rsid w:val="00AF6B23"/>
    <w:rsid w:val="00AF6B24"/>
    <w:rsid w:val="00AF6B7B"/>
    <w:rsid w:val="00AF6BED"/>
    <w:rsid w:val="00AF6CDA"/>
    <w:rsid w:val="00AF6E9C"/>
    <w:rsid w:val="00AF6EEC"/>
    <w:rsid w:val="00AF7053"/>
    <w:rsid w:val="00AF709A"/>
    <w:rsid w:val="00AF71FB"/>
    <w:rsid w:val="00AF73C4"/>
    <w:rsid w:val="00AF7437"/>
    <w:rsid w:val="00AF7458"/>
    <w:rsid w:val="00AF748A"/>
    <w:rsid w:val="00AF7528"/>
    <w:rsid w:val="00AF7586"/>
    <w:rsid w:val="00AF75EA"/>
    <w:rsid w:val="00AF7674"/>
    <w:rsid w:val="00AF77D1"/>
    <w:rsid w:val="00AF7A42"/>
    <w:rsid w:val="00AF7B10"/>
    <w:rsid w:val="00AF7B77"/>
    <w:rsid w:val="00AF7BE3"/>
    <w:rsid w:val="00AF7CE3"/>
    <w:rsid w:val="00AF7D4E"/>
    <w:rsid w:val="00AF7EBB"/>
    <w:rsid w:val="00AF7F5A"/>
    <w:rsid w:val="00B00094"/>
    <w:rsid w:val="00B0016A"/>
    <w:rsid w:val="00B00406"/>
    <w:rsid w:val="00B004C8"/>
    <w:rsid w:val="00B005AD"/>
    <w:rsid w:val="00B006B3"/>
    <w:rsid w:val="00B006B9"/>
    <w:rsid w:val="00B00783"/>
    <w:rsid w:val="00B007AA"/>
    <w:rsid w:val="00B0086A"/>
    <w:rsid w:val="00B008F5"/>
    <w:rsid w:val="00B00925"/>
    <w:rsid w:val="00B009F1"/>
    <w:rsid w:val="00B00CC2"/>
    <w:rsid w:val="00B00CE3"/>
    <w:rsid w:val="00B00DDC"/>
    <w:rsid w:val="00B00F9E"/>
    <w:rsid w:val="00B00FB9"/>
    <w:rsid w:val="00B010B9"/>
    <w:rsid w:val="00B0118A"/>
    <w:rsid w:val="00B011B8"/>
    <w:rsid w:val="00B0122A"/>
    <w:rsid w:val="00B01401"/>
    <w:rsid w:val="00B014A4"/>
    <w:rsid w:val="00B014F1"/>
    <w:rsid w:val="00B01659"/>
    <w:rsid w:val="00B01967"/>
    <w:rsid w:val="00B01991"/>
    <w:rsid w:val="00B01ABD"/>
    <w:rsid w:val="00B01B31"/>
    <w:rsid w:val="00B01C89"/>
    <w:rsid w:val="00B01D08"/>
    <w:rsid w:val="00B01D76"/>
    <w:rsid w:val="00B01E84"/>
    <w:rsid w:val="00B01EB7"/>
    <w:rsid w:val="00B01F36"/>
    <w:rsid w:val="00B0200A"/>
    <w:rsid w:val="00B020E2"/>
    <w:rsid w:val="00B022C8"/>
    <w:rsid w:val="00B022E5"/>
    <w:rsid w:val="00B0230B"/>
    <w:rsid w:val="00B02372"/>
    <w:rsid w:val="00B02450"/>
    <w:rsid w:val="00B024AB"/>
    <w:rsid w:val="00B025EF"/>
    <w:rsid w:val="00B0265D"/>
    <w:rsid w:val="00B0293E"/>
    <w:rsid w:val="00B02971"/>
    <w:rsid w:val="00B02A10"/>
    <w:rsid w:val="00B02A4E"/>
    <w:rsid w:val="00B02A6C"/>
    <w:rsid w:val="00B02AA7"/>
    <w:rsid w:val="00B02B98"/>
    <w:rsid w:val="00B02B9C"/>
    <w:rsid w:val="00B02BA5"/>
    <w:rsid w:val="00B02DC4"/>
    <w:rsid w:val="00B02F22"/>
    <w:rsid w:val="00B02F78"/>
    <w:rsid w:val="00B03292"/>
    <w:rsid w:val="00B032B6"/>
    <w:rsid w:val="00B032CE"/>
    <w:rsid w:val="00B03349"/>
    <w:rsid w:val="00B033C5"/>
    <w:rsid w:val="00B034D0"/>
    <w:rsid w:val="00B035CF"/>
    <w:rsid w:val="00B035DE"/>
    <w:rsid w:val="00B037BA"/>
    <w:rsid w:val="00B03881"/>
    <w:rsid w:val="00B038B3"/>
    <w:rsid w:val="00B03ACE"/>
    <w:rsid w:val="00B03B82"/>
    <w:rsid w:val="00B03B85"/>
    <w:rsid w:val="00B03CBF"/>
    <w:rsid w:val="00B03E0F"/>
    <w:rsid w:val="00B03E18"/>
    <w:rsid w:val="00B03E50"/>
    <w:rsid w:val="00B03E8E"/>
    <w:rsid w:val="00B03EC3"/>
    <w:rsid w:val="00B03F1C"/>
    <w:rsid w:val="00B03F35"/>
    <w:rsid w:val="00B03F37"/>
    <w:rsid w:val="00B04043"/>
    <w:rsid w:val="00B04061"/>
    <w:rsid w:val="00B044BB"/>
    <w:rsid w:val="00B044E8"/>
    <w:rsid w:val="00B0468F"/>
    <w:rsid w:val="00B04796"/>
    <w:rsid w:val="00B049E4"/>
    <w:rsid w:val="00B04A1C"/>
    <w:rsid w:val="00B04AFB"/>
    <w:rsid w:val="00B04B46"/>
    <w:rsid w:val="00B04DBC"/>
    <w:rsid w:val="00B04DD6"/>
    <w:rsid w:val="00B04EC8"/>
    <w:rsid w:val="00B04F70"/>
    <w:rsid w:val="00B04FB6"/>
    <w:rsid w:val="00B04FD3"/>
    <w:rsid w:val="00B05183"/>
    <w:rsid w:val="00B0518C"/>
    <w:rsid w:val="00B0539F"/>
    <w:rsid w:val="00B05444"/>
    <w:rsid w:val="00B0545D"/>
    <w:rsid w:val="00B055E0"/>
    <w:rsid w:val="00B055F8"/>
    <w:rsid w:val="00B0564B"/>
    <w:rsid w:val="00B05671"/>
    <w:rsid w:val="00B05ACE"/>
    <w:rsid w:val="00B05B05"/>
    <w:rsid w:val="00B05B26"/>
    <w:rsid w:val="00B05C2E"/>
    <w:rsid w:val="00B05C92"/>
    <w:rsid w:val="00B05D7E"/>
    <w:rsid w:val="00B05D8C"/>
    <w:rsid w:val="00B05EA2"/>
    <w:rsid w:val="00B05ED0"/>
    <w:rsid w:val="00B06016"/>
    <w:rsid w:val="00B06025"/>
    <w:rsid w:val="00B0618C"/>
    <w:rsid w:val="00B06255"/>
    <w:rsid w:val="00B06368"/>
    <w:rsid w:val="00B065F9"/>
    <w:rsid w:val="00B0686E"/>
    <w:rsid w:val="00B069E4"/>
    <w:rsid w:val="00B06BE5"/>
    <w:rsid w:val="00B06CE8"/>
    <w:rsid w:val="00B06E0A"/>
    <w:rsid w:val="00B06E47"/>
    <w:rsid w:val="00B06F64"/>
    <w:rsid w:val="00B0703B"/>
    <w:rsid w:val="00B070FE"/>
    <w:rsid w:val="00B0719A"/>
    <w:rsid w:val="00B072EC"/>
    <w:rsid w:val="00B075C5"/>
    <w:rsid w:val="00B07656"/>
    <w:rsid w:val="00B07AF9"/>
    <w:rsid w:val="00B07B9C"/>
    <w:rsid w:val="00B07C31"/>
    <w:rsid w:val="00B07C4A"/>
    <w:rsid w:val="00B07C71"/>
    <w:rsid w:val="00B07D02"/>
    <w:rsid w:val="00B07E15"/>
    <w:rsid w:val="00B07E65"/>
    <w:rsid w:val="00B07EE2"/>
    <w:rsid w:val="00B07FDC"/>
    <w:rsid w:val="00B100F2"/>
    <w:rsid w:val="00B10252"/>
    <w:rsid w:val="00B102B8"/>
    <w:rsid w:val="00B10307"/>
    <w:rsid w:val="00B1032E"/>
    <w:rsid w:val="00B10378"/>
    <w:rsid w:val="00B103E3"/>
    <w:rsid w:val="00B10609"/>
    <w:rsid w:val="00B1072F"/>
    <w:rsid w:val="00B10794"/>
    <w:rsid w:val="00B107F1"/>
    <w:rsid w:val="00B10826"/>
    <w:rsid w:val="00B108F9"/>
    <w:rsid w:val="00B109EF"/>
    <w:rsid w:val="00B10BD4"/>
    <w:rsid w:val="00B10D53"/>
    <w:rsid w:val="00B10D83"/>
    <w:rsid w:val="00B10DE5"/>
    <w:rsid w:val="00B10DEB"/>
    <w:rsid w:val="00B11096"/>
    <w:rsid w:val="00B110A1"/>
    <w:rsid w:val="00B111C4"/>
    <w:rsid w:val="00B11213"/>
    <w:rsid w:val="00B1125C"/>
    <w:rsid w:val="00B112B3"/>
    <w:rsid w:val="00B1147C"/>
    <w:rsid w:val="00B1159E"/>
    <w:rsid w:val="00B11662"/>
    <w:rsid w:val="00B116EA"/>
    <w:rsid w:val="00B11815"/>
    <w:rsid w:val="00B118C3"/>
    <w:rsid w:val="00B11A31"/>
    <w:rsid w:val="00B11B8A"/>
    <w:rsid w:val="00B11B9B"/>
    <w:rsid w:val="00B11D2F"/>
    <w:rsid w:val="00B11E4B"/>
    <w:rsid w:val="00B11FC2"/>
    <w:rsid w:val="00B1214F"/>
    <w:rsid w:val="00B12190"/>
    <w:rsid w:val="00B12271"/>
    <w:rsid w:val="00B1231D"/>
    <w:rsid w:val="00B12424"/>
    <w:rsid w:val="00B1248F"/>
    <w:rsid w:val="00B125EF"/>
    <w:rsid w:val="00B125F7"/>
    <w:rsid w:val="00B1263A"/>
    <w:rsid w:val="00B12646"/>
    <w:rsid w:val="00B12683"/>
    <w:rsid w:val="00B12687"/>
    <w:rsid w:val="00B126E2"/>
    <w:rsid w:val="00B12743"/>
    <w:rsid w:val="00B128BC"/>
    <w:rsid w:val="00B1298F"/>
    <w:rsid w:val="00B12A10"/>
    <w:rsid w:val="00B12B63"/>
    <w:rsid w:val="00B12C59"/>
    <w:rsid w:val="00B12CDA"/>
    <w:rsid w:val="00B12D41"/>
    <w:rsid w:val="00B12D64"/>
    <w:rsid w:val="00B12DFD"/>
    <w:rsid w:val="00B130AC"/>
    <w:rsid w:val="00B13143"/>
    <w:rsid w:val="00B13152"/>
    <w:rsid w:val="00B13174"/>
    <w:rsid w:val="00B132BE"/>
    <w:rsid w:val="00B13450"/>
    <w:rsid w:val="00B134B3"/>
    <w:rsid w:val="00B13521"/>
    <w:rsid w:val="00B1368E"/>
    <w:rsid w:val="00B13770"/>
    <w:rsid w:val="00B13853"/>
    <w:rsid w:val="00B138B8"/>
    <w:rsid w:val="00B138E9"/>
    <w:rsid w:val="00B13A9A"/>
    <w:rsid w:val="00B13B14"/>
    <w:rsid w:val="00B13E8A"/>
    <w:rsid w:val="00B140F9"/>
    <w:rsid w:val="00B1415A"/>
    <w:rsid w:val="00B1443C"/>
    <w:rsid w:val="00B144F5"/>
    <w:rsid w:val="00B14534"/>
    <w:rsid w:val="00B1468F"/>
    <w:rsid w:val="00B146F8"/>
    <w:rsid w:val="00B1485D"/>
    <w:rsid w:val="00B14881"/>
    <w:rsid w:val="00B14938"/>
    <w:rsid w:val="00B14973"/>
    <w:rsid w:val="00B149E4"/>
    <w:rsid w:val="00B14A0C"/>
    <w:rsid w:val="00B14AD8"/>
    <w:rsid w:val="00B14ADA"/>
    <w:rsid w:val="00B14B9D"/>
    <w:rsid w:val="00B14C69"/>
    <w:rsid w:val="00B14CA7"/>
    <w:rsid w:val="00B14F7D"/>
    <w:rsid w:val="00B15588"/>
    <w:rsid w:val="00B1565A"/>
    <w:rsid w:val="00B15685"/>
    <w:rsid w:val="00B156BD"/>
    <w:rsid w:val="00B15786"/>
    <w:rsid w:val="00B158FD"/>
    <w:rsid w:val="00B159B4"/>
    <w:rsid w:val="00B15DB5"/>
    <w:rsid w:val="00B15E11"/>
    <w:rsid w:val="00B15E5B"/>
    <w:rsid w:val="00B15E60"/>
    <w:rsid w:val="00B15F36"/>
    <w:rsid w:val="00B161A8"/>
    <w:rsid w:val="00B161AD"/>
    <w:rsid w:val="00B161DD"/>
    <w:rsid w:val="00B16245"/>
    <w:rsid w:val="00B1633A"/>
    <w:rsid w:val="00B16349"/>
    <w:rsid w:val="00B16397"/>
    <w:rsid w:val="00B16457"/>
    <w:rsid w:val="00B16593"/>
    <w:rsid w:val="00B165D7"/>
    <w:rsid w:val="00B1660C"/>
    <w:rsid w:val="00B16610"/>
    <w:rsid w:val="00B1667B"/>
    <w:rsid w:val="00B167C8"/>
    <w:rsid w:val="00B16968"/>
    <w:rsid w:val="00B169AE"/>
    <w:rsid w:val="00B169CD"/>
    <w:rsid w:val="00B16A96"/>
    <w:rsid w:val="00B16E37"/>
    <w:rsid w:val="00B16EB4"/>
    <w:rsid w:val="00B16F39"/>
    <w:rsid w:val="00B16F55"/>
    <w:rsid w:val="00B17276"/>
    <w:rsid w:val="00B17433"/>
    <w:rsid w:val="00B1752B"/>
    <w:rsid w:val="00B1752F"/>
    <w:rsid w:val="00B1753D"/>
    <w:rsid w:val="00B176FD"/>
    <w:rsid w:val="00B17701"/>
    <w:rsid w:val="00B17871"/>
    <w:rsid w:val="00B1788C"/>
    <w:rsid w:val="00B1793C"/>
    <w:rsid w:val="00B179B5"/>
    <w:rsid w:val="00B179E1"/>
    <w:rsid w:val="00B179EF"/>
    <w:rsid w:val="00B17A48"/>
    <w:rsid w:val="00B17BD1"/>
    <w:rsid w:val="00B17D49"/>
    <w:rsid w:val="00B17DFF"/>
    <w:rsid w:val="00B17E61"/>
    <w:rsid w:val="00B17EC3"/>
    <w:rsid w:val="00B17F3C"/>
    <w:rsid w:val="00B17FBB"/>
    <w:rsid w:val="00B2026A"/>
    <w:rsid w:val="00B20286"/>
    <w:rsid w:val="00B20328"/>
    <w:rsid w:val="00B20384"/>
    <w:rsid w:val="00B205BC"/>
    <w:rsid w:val="00B20632"/>
    <w:rsid w:val="00B20707"/>
    <w:rsid w:val="00B207CD"/>
    <w:rsid w:val="00B207E7"/>
    <w:rsid w:val="00B2087A"/>
    <w:rsid w:val="00B208A6"/>
    <w:rsid w:val="00B209D5"/>
    <w:rsid w:val="00B20C2F"/>
    <w:rsid w:val="00B20DB0"/>
    <w:rsid w:val="00B20DCB"/>
    <w:rsid w:val="00B20E22"/>
    <w:rsid w:val="00B20F67"/>
    <w:rsid w:val="00B2113E"/>
    <w:rsid w:val="00B2117E"/>
    <w:rsid w:val="00B21225"/>
    <w:rsid w:val="00B213EC"/>
    <w:rsid w:val="00B2144E"/>
    <w:rsid w:val="00B21575"/>
    <w:rsid w:val="00B2171F"/>
    <w:rsid w:val="00B217E5"/>
    <w:rsid w:val="00B2181F"/>
    <w:rsid w:val="00B218E3"/>
    <w:rsid w:val="00B21976"/>
    <w:rsid w:val="00B21997"/>
    <w:rsid w:val="00B219B0"/>
    <w:rsid w:val="00B21A4A"/>
    <w:rsid w:val="00B21A85"/>
    <w:rsid w:val="00B21ACF"/>
    <w:rsid w:val="00B21BFF"/>
    <w:rsid w:val="00B21C15"/>
    <w:rsid w:val="00B21C8B"/>
    <w:rsid w:val="00B21C9B"/>
    <w:rsid w:val="00B21D2B"/>
    <w:rsid w:val="00B21D40"/>
    <w:rsid w:val="00B21D74"/>
    <w:rsid w:val="00B21D98"/>
    <w:rsid w:val="00B21E89"/>
    <w:rsid w:val="00B21E8A"/>
    <w:rsid w:val="00B21EAC"/>
    <w:rsid w:val="00B21F3C"/>
    <w:rsid w:val="00B21F6A"/>
    <w:rsid w:val="00B22089"/>
    <w:rsid w:val="00B22184"/>
    <w:rsid w:val="00B2232B"/>
    <w:rsid w:val="00B22395"/>
    <w:rsid w:val="00B223B1"/>
    <w:rsid w:val="00B223D1"/>
    <w:rsid w:val="00B223FF"/>
    <w:rsid w:val="00B22459"/>
    <w:rsid w:val="00B224CB"/>
    <w:rsid w:val="00B22509"/>
    <w:rsid w:val="00B22696"/>
    <w:rsid w:val="00B22765"/>
    <w:rsid w:val="00B229A7"/>
    <w:rsid w:val="00B22A67"/>
    <w:rsid w:val="00B22B06"/>
    <w:rsid w:val="00B22C4E"/>
    <w:rsid w:val="00B22E44"/>
    <w:rsid w:val="00B22F28"/>
    <w:rsid w:val="00B22F53"/>
    <w:rsid w:val="00B22FA4"/>
    <w:rsid w:val="00B23186"/>
    <w:rsid w:val="00B23265"/>
    <w:rsid w:val="00B232FF"/>
    <w:rsid w:val="00B23390"/>
    <w:rsid w:val="00B233CE"/>
    <w:rsid w:val="00B2351B"/>
    <w:rsid w:val="00B23721"/>
    <w:rsid w:val="00B2376A"/>
    <w:rsid w:val="00B239D7"/>
    <w:rsid w:val="00B23A6A"/>
    <w:rsid w:val="00B23B5E"/>
    <w:rsid w:val="00B23BB5"/>
    <w:rsid w:val="00B23D00"/>
    <w:rsid w:val="00B23D32"/>
    <w:rsid w:val="00B23D6A"/>
    <w:rsid w:val="00B23E4D"/>
    <w:rsid w:val="00B23E99"/>
    <w:rsid w:val="00B23E9D"/>
    <w:rsid w:val="00B23EE9"/>
    <w:rsid w:val="00B23F41"/>
    <w:rsid w:val="00B240A0"/>
    <w:rsid w:val="00B2413E"/>
    <w:rsid w:val="00B2417F"/>
    <w:rsid w:val="00B24325"/>
    <w:rsid w:val="00B2437D"/>
    <w:rsid w:val="00B244C3"/>
    <w:rsid w:val="00B24694"/>
    <w:rsid w:val="00B24709"/>
    <w:rsid w:val="00B2472C"/>
    <w:rsid w:val="00B247E0"/>
    <w:rsid w:val="00B24974"/>
    <w:rsid w:val="00B249B3"/>
    <w:rsid w:val="00B24B0E"/>
    <w:rsid w:val="00B24B84"/>
    <w:rsid w:val="00B24BB8"/>
    <w:rsid w:val="00B24C19"/>
    <w:rsid w:val="00B24E9B"/>
    <w:rsid w:val="00B25032"/>
    <w:rsid w:val="00B250AE"/>
    <w:rsid w:val="00B25120"/>
    <w:rsid w:val="00B2515D"/>
    <w:rsid w:val="00B251BF"/>
    <w:rsid w:val="00B2523E"/>
    <w:rsid w:val="00B2526F"/>
    <w:rsid w:val="00B25296"/>
    <w:rsid w:val="00B252C7"/>
    <w:rsid w:val="00B2535C"/>
    <w:rsid w:val="00B25384"/>
    <w:rsid w:val="00B25439"/>
    <w:rsid w:val="00B254AA"/>
    <w:rsid w:val="00B25505"/>
    <w:rsid w:val="00B255DC"/>
    <w:rsid w:val="00B256E0"/>
    <w:rsid w:val="00B25A55"/>
    <w:rsid w:val="00B25AF9"/>
    <w:rsid w:val="00B25D5F"/>
    <w:rsid w:val="00B25EB5"/>
    <w:rsid w:val="00B26022"/>
    <w:rsid w:val="00B2609B"/>
    <w:rsid w:val="00B261EB"/>
    <w:rsid w:val="00B262C8"/>
    <w:rsid w:val="00B26322"/>
    <w:rsid w:val="00B2633A"/>
    <w:rsid w:val="00B263F6"/>
    <w:rsid w:val="00B264EE"/>
    <w:rsid w:val="00B265B5"/>
    <w:rsid w:val="00B26627"/>
    <w:rsid w:val="00B26629"/>
    <w:rsid w:val="00B266B7"/>
    <w:rsid w:val="00B267CF"/>
    <w:rsid w:val="00B26DF8"/>
    <w:rsid w:val="00B26E9D"/>
    <w:rsid w:val="00B26F0D"/>
    <w:rsid w:val="00B27135"/>
    <w:rsid w:val="00B2716E"/>
    <w:rsid w:val="00B271AE"/>
    <w:rsid w:val="00B272AB"/>
    <w:rsid w:val="00B27305"/>
    <w:rsid w:val="00B27316"/>
    <w:rsid w:val="00B273E7"/>
    <w:rsid w:val="00B2756A"/>
    <w:rsid w:val="00B275AE"/>
    <w:rsid w:val="00B275CC"/>
    <w:rsid w:val="00B27722"/>
    <w:rsid w:val="00B2774A"/>
    <w:rsid w:val="00B278D5"/>
    <w:rsid w:val="00B279CE"/>
    <w:rsid w:val="00B279DB"/>
    <w:rsid w:val="00B279FF"/>
    <w:rsid w:val="00B27BA9"/>
    <w:rsid w:val="00B27C70"/>
    <w:rsid w:val="00B27D86"/>
    <w:rsid w:val="00B27EFB"/>
    <w:rsid w:val="00B27FCB"/>
    <w:rsid w:val="00B3009E"/>
    <w:rsid w:val="00B30252"/>
    <w:rsid w:val="00B3027C"/>
    <w:rsid w:val="00B302CE"/>
    <w:rsid w:val="00B302D7"/>
    <w:rsid w:val="00B30326"/>
    <w:rsid w:val="00B30528"/>
    <w:rsid w:val="00B30664"/>
    <w:rsid w:val="00B30758"/>
    <w:rsid w:val="00B30A9C"/>
    <w:rsid w:val="00B30AE4"/>
    <w:rsid w:val="00B30C5B"/>
    <w:rsid w:val="00B30D1C"/>
    <w:rsid w:val="00B30FE1"/>
    <w:rsid w:val="00B31077"/>
    <w:rsid w:val="00B31163"/>
    <w:rsid w:val="00B311D4"/>
    <w:rsid w:val="00B313BF"/>
    <w:rsid w:val="00B313DD"/>
    <w:rsid w:val="00B3176A"/>
    <w:rsid w:val="00B31A12"/>
    <w:rsid w:val="00B31A29"/>
    <w:rsid w:val="00B31A3B"/>
    <w:rsid w:val="00B31ADE"/>
    <w:rsid w:val="00B31B26"/>
    <w:rsid w:val="00B31EE6"/>
    <w:rsid w:val="00B31F13"/>
    <w:rsid w:val="00B320F3"/>
    <w:rsid w:val="00B3210A"/>
    <w:rsid w:val="00B32195"/>
    <w:rsid w:val="00B32273"/>
    <w:rsid w:val="00B32275"/>
    <w:rsid w:val="00B32370"/>
    <w:rsid w:val="00B3239B"/>
    <w:rsid w:val="00B32420"/>
    <w:rsid w:val="00B32521"/>
    <w:rsid w:val="00B32539"/>
    <w:rsid w:val="00B3265E"/>
    <w:rsid w:val="00B327AC"/>
    <w:rsid w:val="00B32829"/>
    <w:rsid w:val="00B3282A"/>
    <w:rsid w:val="00B3298A"/>
    <w:rsid w:val="00B329B5"/>
    <w:rsid w:val="00B32B07"/>
    <w:rsid w:val="00B32D24"/>
    <w:rsid w:val="00B32E5F"/>
    <w:rsid w:val="00B32FA0"/>
    <w:rsid w:val="00B32FCD"/>
    <w:rsid w:val="00B331C6"/>
    <w:rsid w:val="00B3320D"/>
    <w:rsid w:val="00B33263"/>
    <w:rsid w:val="00B332FA"/>
    <w:rsid w:val="00B33409"/>
    <w:rsid w:val="00B337C2"/>
    <w:rsid w:val="00B3394B"/>
    <w:rsid w:val="00B339D6"/>
    <w:rsid w:val="00B33A92"/>
    <w:rsid w:val="00B33AF9"/>
    <w:rsid w:val="00B33B74"/>
    <w:rsid w:val="00B33C59"/>
    <w:rsid w:val="00B33D3F"/>
    <w:rsid w:val="00B33D95"/>
    <w:rsid w:val="00B33E66"/>
    <w:rsid w:val="00B341DC"/>
    <w:rsid w:val="00B342A2"/>
    <w:rsid w:val="00B3431A"/>
    <w:rsid w:val="00B3439C"/>
    <w:rsid w:val="00B34495"/>
    <w:rsid w:val="00B34516"/>
    <w:rsid w:val="00B34559"/>
    <w:rsid w:val="00B345D7"/>
    <w:rsid w:val="00B34689"/>
    <w:rsid w:val="00B34725"/>
    <w:rsid w:val="00B3489D"/>
    <w:rsid w:val="00B34902"/>
    <w:rsid w:val="00B3495C"/>
    <w:rsid w:val="00B34A83"/>
    <w:rsid w:val="00B34AE1"/>
    <w:rsid w:val="00B34C27"/>
    <w:rsid w:val="00B34C69"/>
    <w:rsid w:val="00B34DCC"/>
    <w:rsid w:val="00B34F08"/>
    <w:rsid w:val="00B35033"/>
    <w:rsid w:val="00B35057"/>
    <w:rsid w:val="00B3509B"/>
    <w:rsid w:val="00B35132"/>
    <w:rsid w:val="00B35203"/>
    <w:rsid w:val="00B3529F"/>
    <w:rsid w:val="00B352C1"/>
    <w:rsid w:val="00B353D0"/>
    <w:rsid w:val="00B353D2"/>
    <w:rsid w:val="00B35471"/>
    <w:rsid w:val="00B354FA"/>
    <w:rsid w:val="00B35635"/>
    <w:rsid w:val="00B356DB"/>
    <w:rsid w:val="00B35B59"/>
    <w:rsid w:val="00B35EBC"/>
    <w:rsid w:val="00B35FFD"/>
    <w:rsid w:val="00B36001"/>
    <w:rsid w:val="00B3600E"/>
    <w:rsid w:val="00B36013"/>
    <w:rsid w:val="00B36016"/>
    <w:rsid w:val="00B36027"/>
    <w:rsid w:val="00B3605D"/>
    <w:rsid w:val="00B36138"/>
    <w:rsid w:val="00B36210"/>
    <w:rsid w:val="00B36215"/>
    <w:rsid w:val="00B362D1"/>
    <w:rsid w:val="00B364E1"/>
    <w:rsid w:val="00B36622"/>
    <w:rsid w:val="00B3675C"/>
    <w:rsid w:val="00B3682B"/>
    <w:rsid w:val="00B36848"/>
    <w:rsid w:val="00B368E5"/>
    <w:rsid w:val="00B36944"/>
    <w:rsid w:val="00B3698A"/>
    <w:rsid w:val="00B36A6B"/>
    <w:rsid w:val="00B36A8F"/>
    <w:rsid w:val="00B36C30"/>
    <w:rsid w:val="00B36DE9"/>
    <w:rsid w:val="00B36E1A"/>
    <w:rsid w:val="00B36E41"/>
    <w:rsid w:val="00B36E8C"/>
    <w:rsid w:val="00B36EB7"/>
    <w:rsid w:val="00B37008"/>
    <w:rsid w:val="00B37106"/>
    <w:rsid w:val="00B37235"/>
    <w:rsid w:val="00B372FD"/>
    <w:rsid w:val="00B37335"/>
    <w:rsid w:val="00B37404"/>
    <w:rsid w:val="00B3742D"/>
    <w:rsid w:val="00B37491"/>
    <w:rsid w:val="00B3749B"/>
    <w:rsid w:val="00B374AA"/>
    <w:rsid w:val="00B37747"/>
    <w:rsid w:val="00B37758"/>
    <w:rsid w:val="00B377B9"/>
    <w:rsid w:val="00B378C5"/>
    <w:rsid w:val="00B37983"/>
    <w:rsid w:val="00B379BF"/>
    <w:rsid w:val="00B379D6"/>
    <w:rsid w:val="00B37C2E"/>
    <w:rsid w:val="00B37CA2"/>
    <w:rsid w:val="00B37E2D"/>
    <w:rsid w:val="00B37EAB"/>
    <w:rsid w:val="00B37EC4"/>
    <w:rsid w:val="00B37F80"/>
    <w:rsid w:val="00B37F89"/>
    <w:rsid w:val="00B401F5"/>
    <w:rsid w:val="00B40206"/>
    <w:rsid w:val="00B4031A"/>
    <w:rsid w:val="00B403C1"/>
    <w:rsid w:val="00B403DB"/>
    <w:rsid w:val="00B404B8"/>
    <w:rsid w:val="00B405DC"/>
    <w:rsid w:val="00B40604"/>
    <w:rsid w:val="00B40622"/>
    <w:rsid w:val="00B40657"/>
    <w:rsid w:val="00B4065F"/>
    <w:rsid w:val="00B40AF3"/>
    <w:rsid w:val="00B40B23"/>
    <w:rsid w:val="00B40C28"/>
    <w:rsid w:val="00B40CB4"/>
    <w:rsid w:val="00B40D1B"/>
    <w:rsid w:val="00B40DB4"/>
    <w:rsid w:val="00B40ECC"/>
    <w:rsid w:val="00B40F6A"/>
    <w:rsid w:val="00B40F7E"/>
    <w:rsid w:val="00B40F9F"/>
    <w:rsid w:val="00B40FCD"/>
    <w:rsid w:val="00B4100B"/>
    <w:rsid w:val="00B41094"/>
    <w:rsid w:val="00B410A7"/>
    <w:rsid w:val="00B410EB"/>
    <w:rsid w:val="00B411AD"/>
    <w:rsid w:val="00B41383"/>
    <w:rsid w:val="00B41390"/>
    <w:rsid w:val="00B414F0"/>
    <w:rsid w:val="00B41504"/>
    <w:rsid w:val="00B415CC"/>
    <w:rsid w:val="00B4167D"/>
    <w:rsid w:val="00B416FF"/>
    <w:rsid w:val="00B41722"/>
    <w:rsid w:val="00B417A0"/>
    <w:rsid w:val="00B41813"/>
    <w:rsid w:val="00B419D1"/>
    <w:rsid w:val="00B41AEE"/>
    <w:rsid w:val="00B41B28"/>
    <w:rsid w:val="00B41BA4"/>
    <w:rsid w:val="00B41CF3"/>
    <w:rsid w:val="00B41EBA"/>
    <w:rsid w:val="00B42087"/>
    <w:rsid w:val="00B422C3"/>
    <w:rsid w:val="00B423A3"/>
    <w:rsid w:val="00B4247A"/>
    <w:rsid w:val="00B426E8"/>
    <w:rsid w:val="00B42725"/>
    <w:rsid w:val="00B4284E"/>
    <w:rsid w:val="00B42916"/>
    <w:rsid w:val="00B42C49"/>
    <w:rsid w:val="00B42CB0"/>
    <w:rsid w:val="00B42CE8"/>
    <w:rsid w:val="00B42D39"/>
    <w:rsid w:val="00B42D4B"/>
    <w:rsid w:val="00B42D99"/>
    <w:rsid w:val="00B42E32"/>
    <w:rsid w:val="00B42E91"/>
    <w:rsid w:val="00B42E9C"/>
    <w:rsid w:val="00B4302A"/>
    <w:rsid w:val="00B43034"/>
    <w:rsid w:val="00B430DD"/>
    <w:rsid w:val="00B432B6"/>
    <w:rsid w:val="00B43368"/>
    <w:rsid w:val="00B4339F"/>
    <w:rsid w:val="00B433D5"/>
    <w:rsid w:val="00B433F4"/>
    <w:rsid w:val="00B434AD"/>
    <w:rsid w:val="00B434E4"/>
    <w:rsid w:val="00B43588"/>
    <w:rsid w:val="00B436CC"/>
    <w:rsid w:val="00B436EA"/>
    <w:rsid w:val="00B43742"/>
    <w:rsid w:val="00B43856"/>
    <w:rsid w:val="00B438A6"/>
    <w:rsid w:val="00B438EE"/>
    <w:rsid w:val="00B43965"/>
    <w:rsid w:val="00B43976"/>
    <w:rsid w:val="00B43A95"/>
    <w:rsid w:val="00B43B56"/>
    <w:rsid w:val="00B43BEB"/>
    <w:rsid w:val="00B43CF6"/>
    <w:rsid w:val="00B44041"/>
    <w:rsid w:val="00B440DA"/>
    <w:rsid w:val="00B44159"/>
    <w:rsid w:val="00B4420F"/>
    <w:rsid w:val="00B4425A"/>
    <w:rsid w:val="00B44447"/>
    <w:rsid w:val="00B444EE"/>
    <w:rsid w:val="00B4468E"/>
    <w:rsid w:val="00B4469E"/>
    <w:rsid w:val="00B44748"/>
    <w:rsid w:val="00B4482C"/>
    <w:rsid w:val="00B449D5"/>
    <w:rsid w:val="00B44A67"/>
    <w:rsid w:val="00B44A7B"/>
    <w:rsid w:val="00B44A84"/>
    <w:rsid w:val="00B44C55"/>
    <w:rsid w:val="00B44CB5"/>
    <w:rsid w:val="00B44EEC"/>
    <w:rsid w:val="00B4509C"/>
    <w:rsid w:val="00B45102"/>
    <w:rsid w:val="00B451D7"/>
    <w:rsid w:val="00B454C0"/>
    <w:rsid w:val="00B455A4"/>
    <w:rsid w:val="00B456B1"/>
    <w:rsid w:val="00B45730"/>
    <w:rsid w:val="00B45779"/>
    <w:rsid w:val="00B457CC"/>
    <w:rsid w:val="00B458EF"/>
    <w:rsid w:val="00B458F5"/>
    <w:rsid w:val="00B459DE"/>
    <w:rsid w:val="00B459E4"/>
    <w:rsid w:val="00B45A1B"/>
    <w:rsid w:val="00B45A9E"/>
    <w:rsid w:val="00B45B47"/>
    <w:rsid w:val="00B45B71"/>
    <w:rsid w:val="00B45C6B"/>
    <w:rsid w:val="00B45E65"/>
    <w:rsid w:val="00B45F30"/>
    <w:rsid w:val="00B45FE8"/>
    <w:rsid w:val="00B460CA"/>
    <w:rsid w:val="00B461B1"/>
    <w:rsid w:val="00B46268"/>
    <w:rsid w:val="00B462F4"/>
    <w:rsid w:val="00B4635B"/>
    <w:rsid w:val="00B4649E"/>
    <w:rsid w:val="00B465E4"/>
    <w:rsid w:val="00B466BE"/>
    <w:rsid w:val="00B46797"/>
    <w:rsid w:val="00B46C94"/>
    <w:rsid w:val="00B46D1C"/>
    <w:rsid w:val="00B46D34"/>
    <w:rsid w:val="00B46EA6"/>
    <w:rsid w:val="00B46EE9"/>
    <w:rsid w:val="00B470E6"/>
    <w:rsid w:val="00B47125"/>
    <w:rsid w:val="00B47272"/>
    <w:rsid w:val="00B472C3"/>
    <w:rsid w:val="00B473A7"/>
    <w:rsid w:val="00B473D3"/>
    <w:rsid w:val="00B47513"/>
    <w:rsid w:val="00B47615"/>
    <w:rsid w:val="00B4763C"/>
    <w:rsid w:val="00B476BF"/>
    <w:rsid w:val="00B476E7"/>
    <w:rsid w:val="00B4783B"/>
    <w:rsid w:val="00B4794C"/>
    <w:rsid w:val="00B47952"/>
    <w:rsid w:val="00B479CB"/>
    <w:rsid w:val="00B479CE"/>
    <w:rsid w:val="00B47A0D"/>
    <w:rsid w:val="00B47A0F"/>
    <w:rsid w:val="00B47C02"/>
    <w:rsid w:val="00B47D3D"/>
    <w:rsid w:val="00B47D47"/>
    <w:rsid w:val="00B47E0C"/>
    <w:rsid w:val="00B47E64"/>
    <w:rsid w:val="00B47F8E"/>
    <w:rsid w:val="00B50048"/>
    <w:rsid w:val="00B5005A"/>
    <w:rsid w:val="00B501F0"/>
    <w:rsid w:val="00B502AC"/>
    <w:rsid w:val="00B506E3"/>
    <w:rsid w:val="00B5077A"/>
    <w:rsid w:val="00B507F0"/>
    <w:rsid w:val="00B50864"/>
    <w:rsid w:val="00B5092F"/>
    <w:rsid w:val="00B509A5"/>
    <w:rsid w:val="00B509FE"/>
    <w:rsid w:val="00B50B76"/>
    <w:rsid w:val="00B50EBD"/>
    <w:rsid w:val="00B50ECA"/>
    <w:rsid w:val="00B51081"/>
    <w:rsid w:val="00B51129"/>
    <w:rsid w:val="00B51178"/>
    <w:rsid w:val="00B511B1"/>
    <w:rsid w:val="00B511EE"/>
    <w:rsid w:val="00B51240"/>
    <w:rsid w:val="00B5125B"/>
    <w:rsid w:val="00B5125C"/>
    <w:rsid w:val="00B512AF"/>
    <w:rsid w:val="00B512C3"/>
    <w:rsid w:val="00B512C7"/>
    <w:rsid w:val="00B512DE"/>
    <w:rsid w:val="00B5133D"/>
    <w:rsid w:val="00B513D9"/>
    <w:rsid w:val="00B513E4"/>
    <w:rsid w:val="00B51535"/>
    <w:rsid w:val="00B516A1"/>
    <w:rsid w:val="00B516CF"/>
    <w:rsid w:val="00B51740"/>
    <w:rsid w:val="00B51762"/>
    <w:rsid w:val="00B51935"/>
    <w:rsid w:val="00B51AF1"/>
    <w:rsid w:val="00B51B72"/>
    <w:rsid w:val="00B51C26"/>
    <w:rsid w:val="00B51CB9"/>
    <w:rsid w:val="00B51DCD"/>
    <w:rsid w:val="00B51E61"/>
    <w:rsid w:val="00B51E63"/>
    <w:rsid w:val="00B51EDE"/>
    <w:rsid w:val="00B51FAB"/>
    <w:rsid w:val="00B52087"/>
    <w:rsid w:val="00B520A7"/>
    <w:rsid w:val="00B520B0"/>
    <w:rsid w:val="00B5213E"/>
    <w:rsid w:val="00B52201"/>
    <w:rsid w:val="00B52289"/>
    <w:rsid w:val="00B523B2"/>
    <w:rsid w:val="00B523C5"/>
    <w:rsid w:val="00B52424"/>
    <w:rsid w:val="00B52645"/>
    <w:rsid w:val="00B52719"/>
    <w:rsid w:val="00B528A7"/>
    <w:rsid w:val="00B528C0"/>
    <w:rsid w:val="00B5291E"/>
    <w:rsid w:val="00B52960"/>
    <w:rsid w:val="00B52A8D"/>
    <w:rsid w:val="00B52BBD"/>
    <w:rsid w:val="00B52BDC"/>
    <w:rsid w:val="00B52CC1"/>
    <w:rsid w:val="00B52D7B"/>
    <w:rsid w:val="00B52E5F"/>
    <w:rsid w:val="00B53015"/>
    <w:rsid w:val="00B530A9"/>
    <w:rsid w:val="00B530D5"/>
    <w:rsid w:val="00B532F0"/>
    <w:rsid w:val="00B533BC"/>
    <w:rsid w:val="00B534C0"/>
    <w:rsid w:val="00B5355E"/>
    <w:rsid w:val="00B5363A"/>
    <w:rsid w:val="00B53695"/>
    <w:rsid w:val="00B5386E"/>
    <w:rsid w:val="00B538C0"/>
    <w:rsid w:val="00B538CA"/>
    <w:rsid w:val="00B539D5"/>
    <w:rsid w:val="00B53A76"/>
    <w:rsid w:val="00B53AA6"/>
    <w:rsid w:val="00B53C30"/>
    <w:rsid w:val="00B53C3E"/>
    <w:rsid w:val="00B53D35"/>
    <w:rsid w:val="00B53E2E"/>
    <w:rsid w:val="00B53F4C"/>
    <w:rsid w:val="00B53F76"/>
    <w:rsid w:val="00B53FB8"/>
    <w:rsid w:val="00B53FCE"/>
    <w:rsid w:val="00B540D9"/>
    <w:rsid w:val="00B541F1"/>
    <w:rsid w:val="00B542AD"/>
    <w:rsid w:val="00B54348"/>
    <w:rsid w:val="00B544A1"/>
    <w:rsid w:val="00B546D0"/>
    <w:rsid w:val="00B5475C"/>
    <w:rsid w:val="00B548F3"/>
    <w:rsid w:val="00B54A17"/>
    <w:rsid w:val="00B54B20"/>
    <w:rsid w:val="00B54B7D"/>
    <w:rsid w:val="00B54C2C"/>
    <w:rsid w:val="00B54C88"/>
    <w:rsid w:val="00B54CA5"/>
    <w:rsid w:val="00B54CB4"/>
    <w:rsid w:val="00B54D73"/>
    <w:rsid w:val="00B54FF5"/>
    <w:rsid w:val="00B55116"/>
    <w:rsid w:val="00B5512E"/>
    <w:rsid w:val="00B551D2"/>
    <w:rsid w:val="00B552B6"/>
    <w:rsid w:val="00B553C7"/>
    <w:rsid w:val="00B55517"/>
    <w:rsid w:val="00B5585D"/>
    <w:rsid w:val="00B55890"/>
    <w:rsid w:val="00B55B24"/>
    <w:rsid w:val="00B55B4F"/>
    <w:rsid w:val="00B55B6F"/>
    <w:rsid w:val="00B55D43"/>
    <w:rsid w:val="00B55DCF"/>
    <w:rsid w:val="00B55EC3"/>
    <w:rsid w:val="00B55FC9"/>
    <w:rsid w:val="00B5628A"/>
    <w:rsid w:val="00B56636"/>
    <w:rsid w:val="00B56679"/>
    <w:rsid w:val="00B5673D"/>
    <w:rsid w:val="00B569CB"/>
    <w:rsid w:val="00B56A2C"/>
    <w:rsid w:val="00B56B04"/>
    <w:rsid w:val="00B56C10"/>
    <w:rsid w:val="00B56C77"/>
    <w:rsid w:val="00B56CF0"/>
    <w:rsid w:val="00B56D4A"/>
    <w:rsid w:val="00B56E46"/>
    <w:rsid w:val="00B56E53"/>
    <w:rsid w:val="00B56EE5"/>
    <w:rsid w:val="00B56FC1"/>
    <w:rsid w:val="00B571CC"/>
    <w:rsid w:val="00B571D2"/>
    <w:rsid w:val="00B57788"/>
    <w:rsid w:val="00B5797B"/>
    <w:rsid w:val="00B57983"/>
    <w:rsid w:val="00B57BBF"/>
    <w:rsid w:val="00B57C8F"/>
    <w:rsid w:val="00B57CA5"/>
    <w:rsid w:val="00B57D9B"/>
    <w:rsid w:val="00B57DDC"/>
    <w:rsid w:val="00B600EB"/>
    <w:rsid w:val="00B60293"/>
    <w:rsid w:val="00B602A4"/>
    <w:rsid w:val="00B60319"/>
    <w:rsid w:val="00B603B7"/>
    <w:rsid w:val="00B6046B"/>
    <w:rsid w:val="00B6046E"/>
    <w:rsid w:val="00B604F2"/>
    <w:rsid w:val="00B6058C"/>
    <w:rsid w:val="00B6076D"/>
    <w:rsid w:val="00B60773"/>
    <w:rsid w:val="00B6078A"/>
    <w:rsid w:val="00B60803"/>
    <w:rsid w:val="00B608FF"/>
    <w:rsid w:val="00B609DC"/>
    <w:rsid w:val="00B60B5B"/>
    <w:rsid w:val="00B60D55"/>
    <w:rsid w:val="00B60D77"/>
    <w:rsid w:val="00B60E55"/>
    <w:rsid w:val="00B60E5D"/>
    <w:rsid w:val="00B60E7D"/>
    <w:rsid w:val="00B60FA1"/>
    <w:rsid w:val="00B60FEB"/>
    <w:rsid w:val="00B6142B"/>
    <w:rsid w:val="00B614B5"/>
    <w:rsid w:val="00B614CA"/>
    <w:rsid w:val="00B614CE"/>
    <w:rsid w:val="00B61506"/>
    <w:rsid w:val="00B61685"/>
    <w:rsid w:val="00B616FD"/>
    <w:rsid w:val="00B61747"/>
    <w:rsid w:val="00B61796"/>
    <w:rsid w:val="00B617B9"/>
    <w:rsid w:val="00B619B5"/>
    <w:rsid w:val="00B61C08"/>
    <w:rsid w:val="00B61C66"/>
    <w:rsid w:val="00B61D16"/>
    <w:rsid w:val="00B61D67"/>
    <w:rsid w:val="00B61EF0"/>
    <w:rsid w:val="00B61F20"/>
    <w:rsid w:val="00B61F57"/>
    <w:rsid w:val="00B62046"/>
    <w:rsid w:val="00B6218A"/>
    <w:rsid w:val="00B621B1"/>
    <w:rsid w:val="00B6222E"/>
    <w:rsid w:val="00B622DD"/>
    <w:rsid w:val="00B62307"/>
    <w:rsid w:val="00B626D6"/>
    <w:rsid w:val="00B62758"/>
    <w:rsid w:val="00B62774"/>
    <w:rsid w:val="00B628DB"/>
    <w:rsid w:val="00B6293F"/>
    <w:rsid w:val="00B62972"/>
    <w:rsid w:val="00B629F8"/>
    <w:rsid w:val="00B62A45"/>
    <w:rsid w:val="00B62A4D"/>
    <w:rsid w:val="00B62A77"/>
    <w:rsid w:val="00B62A92"/>
    <w:rsid w:val="00B62B30"/>
    <w:rsid w:val="00B62C1C"/>
    <w:rsid w:val="00B62CB0"/>
    <w:rsid w:val="00B62D05"/>
    <w:rsid w:val="00B62D44"/>
    <w:rsid w:val="00B62D94"/>
    <w:rsid w:val="00B62E71"/>
    <w:rsid w:val="00B62EA8"/>
    <w:rsid w:val="00B62EF7"/>
    <w:rsid w:val="00B62F88"/>
    <w:rsid w:val="00B63085"/>
    <w:rsid w:val="00B630D1"/>
    <w:rsid w:val="00B631CA"/>
    <w:rsid w:val="00B63378"/>
    <w:rsid w:val="00B633F0"/>
    <w:rsid w:val="00B634B1"/>
    <w:rsid w:val="00B63594"/>
    <w:rsid w:val="00B63614"/>
    <w:rsid w:val="00B6369E"/>
    <w:rsid w:val="00B638A1"/>
    <w:rsid w:val="00B6391F"/>
    <w:rsid w:val="00B6393E"/>
    <w:rsid w:val="00B6394E"/>
    <w:rsid w:val="00B639C0"/>
    <w:rsid w:val="00B639F2"/>
    <w:rsid w:val="00B63A28"/>
    <w:rsid w:val="00B63AF9"/>
    <w:rsid w:val="00B63BED"/>
    <w:rsid w:val="00B63D68"/>
    <w:rsid w:val="00B63E22"/>
    <w:rsid w:val="00B64295"/>
    <w:rsid w:val="00B64474"/>
    <w:rsid w:val="00B64496"/>
    <w:rsid w:val="00B644C3"/>
    <w:rsid w:val="00B64519"/>
    <w:rsid w:val="00B6471A"/>
    <w:rsid w:val="00B64756"/>
    <w:rsid w:val="00B64A7B"/>
    <w:rsid w:val="00B64A89"/>
    <w:rsid w:val="00B64B04"/>
    <w:rsid w:val="00B64CBE"/>
    <w:rsid w:val="00B64CC9"/>
    <w:rsid w:val="00B64DCF"/>
    <w:rsid w:val="00B64DF4"/>
    <w:rsid w:val="00B64E43"/>
    <w:rsid w:val="00B64E4E"/>
    <w:rsid w:val="00B64E8C"/>
    <w:rsid w:val="00B64F3D"/>
    <w:rsid w:val="00B64F54"/>
    <w:rsid w:val="00B65012"/>
    <w:rsid w:val="00B6501C"/>
    <w:rsid w:val="00B6504E"/>
    <w:rsid w:val="00B651D7"/>
    <w:rsid w:val="00B65227"/>
    <w:rsid w:val="00B6525D"/>
    <w:rsid w:val="00B65346"/>
    <w:rsid w:val="00B65391"/>
    <w:rsid w:val="00B653BF"/>
    <w:rsid w:val="00B65447"/>
    <w:rsid w:val="00B6546A"/>
    <w:rsid w:val="00B65488"/>
    <w:rsid w:val="00B6548E"/>
    <w:rsid w:val="00B65537"/>
    <w:rsid w:val="00B656B2"/>
    <w:rsid w:val="00B6580D"/>
    <w:rsid w:val="00B65905"/>
    <w:rsid w:val="00B65926"/>
    <w:rsid w:val="00B65994"/>
    <w:rsid w:val="00B659E0"/>
    <w:rsid w:val="00B65ABD"/>
    <w:rsid w:val="00B65B04"/>
    <w:rsid w:val="00B65CDB"/>
    <w:rsid w:val="00B65F64"/>
    <w:rsid w:val="00B65F7A"/>
    <w:rsid w:val="00B65FBC"/>
    <w:rsid w:val="00B65FDF"/>
    <w:rsid w:val="00B65FF1"/>
    <w:rsid w:val="00B6620E"/>
    <w:rsid w:val="00B66213"/>
    <w:rsid w:val="00B66657"/>
    <w:rsid w:val="00B667DC"/>
    <w:rsid w:val="00B6694D"/>
    <w:rsid w:val="00B66A03"/>
    <w:rsid w:val="00B66BDF"/>
    <w:rsid w:val="00B66CAF"/>
    <w:rsid w:val="00B66D03"/>
    <w:rsid w:val="00B66E3F"/>
    <w:rsid w:val="00B66E61"/>
    <w:rsid w:val="00B66F77"/>
    <w:rsid w:val="00B66FDF"/>
    <w:rsid w:val="00B6712C"/>
    <w:rsid w:val="00B671E0"/>
    <w:rsid w:val="00B6723B"/>
    <w:rsid w:val="00B67538"/>
    <w:rsid w:val="00B67546"/>
    <w:rsid w:val="00B6776A"/>
    <w:rsid w:val="00B67859"/>
    <w:rsid w:val="00B678BC"/>
    <w:rsid w:val="00B678C4"/>
    <w:rsid w:val="00B67969"/>
    <w:rsid w:val="00B67A50"/>
    <w:rsid w:val="00B67A5B"/>
    <w:rsid w:val="00B67B04"/>
    <w:rsid w:val="00B67B2B"/>
    <w:rsid w:val="00B67B53"/>
    <w:rsid w:val="00B67BF2"/>
    <w:rsid w:val="00B67DF8"/>
    <w:rsid w:val="00B67E67"/>
    <w:rsid w:val="00B70014"/>
    <w:rsid w:val="00B7006C"/>
    <w:rsid w:val="00B7019B"/>
    <w:rsid w:val="00B7019F"/>
    <w:rsid w:val="00B702F7"/>
    <w:rsid w:val="00B7036F"/>
    <w:rsid w:val="00B70394"/>
    <w:rsid w:val="00B704CD"/>
    <w:rsid w:val="00B70531"/>
    <w:rsid w:val="00B7057C"/>
    <w:rsid w:val="00B705DD"/>
    <w:rsid w:val="00B7060F"/>
    <w:rsid w:val="00B70653"/>
    <w:rsid w:val="00B70678"/>
    <w:rsid w:val="00B70679"/>
    <w:rsid w:val="00B70733"/>
    <w:rsid w:val="00B709DE"/>
    <w:rsid w:val="00B70CA1"/>
    <w:rsid w:val="00B7108A"/>
    <w:rsid w:val="00B71436"/>
    <w:rsid w:val="00B715F8"/>
    <w:rsid w:val="00B71680"/>
    <w:rsid w:val="00B716BC"/>
    <w:rsid w:val="00B71766"/>
    <w:rsid w:val="00B717EA"/>
    <w:rsid w:val="00B719FD"/>
    <w:rsid w:val="00B71AD7"/>
    <w:rsid w:val="00B71B3C"/>
    <w:rsid w:val="00B71BDE"/>
    <w:rsid w:val="00B71C53"/>
    <w:rsid w:val="00B71D5E"/>
    <w:rsid w:val="00B71E95"/>
    <w:rsid w:val="00B71F70"/>
    <w:rsid w:val="00B7232B"/>
    <w:rsid w:val="00B723AA"/>
    <w:rsid w:val="00B7261C"/>
    <w:rsid w:val="00B7268D"/>
    <w:rsid w:val="00B7278A"/>
    <w:rsid w:val="00B7282E"/>
    <w:rsid w:val="00B72897"/>
    <w:rsid w:val="00B7296F"/>
    <w:rsid w:val="00B72A34"/>
    <w:rsid w:val="00B72B6C"/>
    <w:rsid w:val="00B72C9D"/>
    <w:rsid w:val="00B72CD4"/>
    <w:rsid w:val="00B72D34"/>
    <w:rsid w:val="00B72D84"/>
    <w:rsid w:val="00B72DF0"/>
    <w:rsid w:val="00B72E0E"/>
    <w:rsid w:val="00B72E13"/>
    <w:rsid w:val="00B72ECE"/>
    <w:rsid w:val="00B72F89"/>
    <w:rsid w:val="00B73097"/>
    <w:rsid w:val="00B73134"/>
    <w:rsid w:val="00B7320D"/>
    <w:rsid w:val="00B732B8"/>
    <w:rsid w:val="00B73379"/>
    <w:rsid w:val="00B7338E"/>
    <w:rsid w:val="00B73468"/>
    <w:rsid w:val="00B734ED"/>
    <w:rsid w:val="00B736FF"/>
    <w:rsid w:val="00B737A5"/>
    <w:rsid w:val="00B737EA"/>
    <w:rsid w:val="00B73923"/>
    <w:rsid w:val="00B73A81"/>
    <w:rsid w:val="00B73B95"/>
    <w:rsid w:val="00B73BC0"/>
    <w:rsid w:val="00B73E50"/>
    <w:rsid w:val="00B73FF4"/>
    <w:rsid w:val="00B741AD"/>
    <w:rsid w:val="00B741B5"/>
    <w:rsid w:val="00B743F9"/>
    <w:rsid w:val="00B744EF"/>
    <w:rsid w:val="00B7459C"/>
    <w:rsid w:val="00B74AB8"/>
    <w:rsid w:val="00B74B19"/>
    <w:rsid w:val="00B74BE3"/>
    <w:rsid w:val="00B74C36"/>
    <w:rsid w:val="00B74C9E"/>
    <w:rsid w:val="00B74D65"/>
    <w:rsid w:val="00B74E83"/>
    <w:rsid w:val="00B74F96"/>
    <w:rsid w:val="00B74FBE"/>
    <w:rsid w:val="00B75077"/>
    <w:rsid w:val="00B75143"/>
    <w:rsid w:val="00B752B4"/>
    <w:rsid w:val="00B7533F"/>
    <w:rsid w:val="00B7556D"/>
    <w:rsid w:val="00B7557F"/>
    <w:rsid w:val="00B758C7"/>
    <w:rsid w:val="00B75923"/>
    <w:rsid w:val="00B75B1A"/>
    <w:rsid w:val="00B75BC0"/>
    <w:rsid w:val="00B75DFD"/>
    <w:rsid w:val="00B76165"/>
    <w:rsid w:val="00B76181"/>
    <w:rsid w:val="00B761BE"/>
    <w:rsid w:val="00B7624E"/>
    <w:rsid w:val="00B76393"/>
    <w:rsid w:val="00B764E7"/>
    <w:rsid w:val="00B7652C"/>
    <w:rsid w:val="00B76550"/>
    <w:rsid w:val="00B76557"/>
    <w:rsid w:val="00B76649"/>
    <w:rsid w:val="00B76713"/>
    <w:rsid w:val="00B76BB3"/>
    <w:rsid w:val="00B76C34"/>
    <w:rsid w:val="00B76CDB"/>
    <w:rsid w:val="00B76CFE"/>
    <w:rsid w:val="00B76D0B"/>
    <w:rsid w:val="00B76D4A"/>
    <w:rsid w:val="00B76D5B"/>
    <w:rsid w:val="00B76D6A"/>
    <w:rsid w:val="00B77014"/>
    <w:rsid w:val="00B771BB"/>
    <w:rsid w:val="00B77222"/>
    <w:rsid w:val="00B77476"/>
    <w:rsid w:val="00B77799"/>
    <w:rsid w:val="00B77862"/>
    <w:rsid w:val="00B77873"/>
    <w:rsid w:val="00B778FB"/>
    <w:rsid w:val="00B779AF"/>
    <w:rsid w:val="00B77AC6"/>
    <w:rsid w:val="00B77B56"/>
    <w:rsid w:val="00B77B79"/>
    <w:rsid w:val="00B77CA5"/>
    <w:rsid w:val="00B77DB1"/>
    <w:rsid w:val="00B77EFD"/>
    <w:rsid w:val="00B77F6A"/>
    <w:rsid w:val="00B8009D"/>
    <w:rsid w:val="00B801BC"/>
    <w:rsid w:val="00B802CE"/>
    <w:rsid w:val="00B8030C"/>
    <w:rsid w:val="00B803B3"/>
    <w:rsid w:val="00B803D3"/>
    <w:rsid w:val="00B803DF"/>
    <w:rsid w:val="00B80409"/>
    <w:rsid w:val="00B8060A"/>
    <w:rsid w:val="00B806A4"/>
    <w:rsid w:val="00B80729"/>
    <w:rsid w:val="00B80955"/>
    <w:rsid w:val="00B80B5F"/>
    <w:rsid w:val="00B80B62"/>
    <w:rsid w:val="00B80BA1"/>
    <w:rsid w:val="00B80E14"/>
    <w:rsid w:val="00B80FC7"/>
    <w:rsid w:val="00B810BE"/>
    <w:rsid w:val="00B81265"/>
    <w:rsid w:val="00B81352"/>
    <w:rsid w:val="00B813D7"/>
    <w:rsid w:val="00B813EA"/>
    <w:rsid w:val="00B81443"/>
    <w:rsid w:val="00B814D0"/>
    <w:rsid w:val="00B81543"/>
    <w:rsid w:val="00B81591"/>
    <w:rsid w:val="00B81656"/>
    <w:rsid w:val="00B81753"/>
    <w:rsid w:val="00B8178A"/>
    <w:rsid w:val="00B81895"/>
    <w:rsid w:val="00B8189D"/>
    <w:rsid w:val="00B81A0A"/>
    <w:rsid w:val="00B81AB1"/>
    <w:rsid w:val="00B81AC8"/>
    <w:rsid w:val="00B81B34"/>
    <w:rsid w:val="00B81B72"/>
    <w:rsid w:val="00B81CEF"/>
    <w:rsid w:val="00B81EC7"/>
    <w:rsid w:val="00B81F3F"/>
    <w:rsid w:val="00B81F6D"/>
    <w:rsid w:val="00B8207A"/>
    <w:rsid w:val="00B821D2"/>
    <w:rsid w:val="00B822FC"/>
    <w:rsid w:val="00B8231F"/>
    <w:rsid w:val="00B8260D"/>
    <w:rsid w:val="00B8262C"/>
    <w:rsid w:val="00B827A5"/>
    <w:rsid w:val="00B82A01"/>
    <w:rsid w:val="00B82A5B"/>
    <w:rsid w:val="00B82AB2"/>
    <w:rsid w:val="00B82B3F"/>
    <w:rsid w:val="00B82B89"/>
    <w:rsid w:val="00B82BFF"/>
    <w:rsid w:val="00B82D23"/>
    <w:rsid w:val="00B82EC6"/>
    <w:rsid w:val="00B82F30"/>
    <w:rsid w:val="00B82F38"/>
    <w:rsid w:val="00B83008"/>
    <w:rsid w:val="00B830FD"/>
    <w:rsid w:val="00B83330"/>
    <w:rsid w:val="00B83387"/>
    <w:rsid w:val="00B83455"/>
    <w:rsid w:val="00B8360E"/>
    <w:rsid w:val="00B836CB"/>
    <w:rsid w:val="00B8376A"/>
    <w:rsid w:val="00B83BB3"/>
    <w:rsid w:val="00B83BE2"/>
    <w:rsid w:val="00B83DA0"/>
    <w:rsid w:val="00B83DD5"/>
    <w:rsid w:val="00B83DE3"/>
    <w:rsid w:val="00B83E15"/>
    <w:rsid w:val="00B8403A"/>
    <w:rsid w:val="00B8403F"/>
    <w:rsid w:val="00B8413C"/>
    <w:rsid w:val="00B8414A"/>
    <w:rsid w:val="00B841A4"/>
    <w:rsid w:val="00B8420D"/>
    <w:rsid w:val="00B84331"/>
    <w:rsid w:val="00B8446A"/>
    <w:rsid w:val="00B845AE"/>
    <w:rsid w:val="00B845D3"/>
    <w:rsid w:val="00B846C0"/>
    <w:rsid w:val="00B846CF"/>
    <w:rsid w:val="00B84763"/>
    <w:rsid w:val="00B84827"/>
    <w:rsid w:val="00B8486E"/>
    <w:rsid w:val="00B84A5E"/>
    <w:rsid w:val="00B84B2C"/>
    <w:rsid w:val="00B84B51"/>
    <w:rsid w:val="00B84B84"/>
    <w:rsid w:val="00B84BD5"/>
    <w:rsid w:val="00B84BDB"/>
    <w:rsid w:val="00B84C32"/>
    <w:rsid w:val="00B84C99"/>
    <w:rsid w:val="00B84D9F"/>
    <w:rsid w:val="00B84DA2"/>
    <w:rsid w:val="00B84EC8"/>
    <w:rsid w:val="00B84F8A"/>
    <w:rsid w:val="00B84FEB"/>
    <w:rsid w:val="00B85018"/>
    <w:rsid w:val="00B8517A"/>
    <w:rsid w:val="00B852DE"/>
    <w:rsid w:val="00B85383"/>
    <w:rsid w:val="00B853E4"/>
    <w:rsid w:val="00B85533"/>
    <w:rsid w:val="00B855FB"/>
    <w:rsid w:val="00B856AF"/>
    <w:rsid w:val="00B85702"/>
    <w:rsid w:val="00B8571D"/>
    <w:rsid w:val="00B85770"/>
    <w:rsid w:val="00B85838"/>
    <w:rsid w:val="00B8583F"/>
    <w:rsid w:val="00B85B19"/>
    <w:rsid w:val="00B85BD9"/>
    <w:rsid w:val="00B85CA4"/>
    <w:rsid w:val="00B85EE8"/>
    <w:rsid w:val="00B86257"/>
    <w:rsid w:val="00B8626B"/>
    <w:rsid w:val="00B86289"/>
    <w:rsid w:val="00B86294"/>
    <w:rsid w:val="00B862A3"/>
    <w:rsid w:val="00B862FF"/>
    <w:rsid w:val="00B863E0"/>
    <w:rsid w:val="00B86404"/>
    <w:rsid w:val="00B86445"/>
    <w:rsid w:val="00B86449"/>
    <w:rsid w:val="00B8650C"/>
    <w:rsid w:val="00B86733"/>
    <w:rsid w:val="00B86868"/>
    <w:rsid w:val="00B86968"/>
    <w:rsid w:val="00B86C27"/>
    <w:rsid w:val="00B8701B"/>
    <w:rsid w:val="00B870E1"/>
    <w:rsid w:val="00B8713C"/>
    <w:rsid w:val="00B873DF"/>
    <w:rsid w:val="00B87512"/>
    <w:rsid w:val="00B875BE"/>
    <w:rsid w:val="00B875C2"/>
    <w:rsid w:val="00B875D6"/>
    <w:rsid w:val="00B87633"/>
    <w:rsid w:val="00B877AC"/>
    <w:rsid w:val="00B8787A"/>
    <w:rsid w:val="00B878E4"/>
    <w:rsid w:val="00B87A2E"/>
    <w:rsid w:val="00B87ADD"/>
    <w:rsid w:val="00B87B29"/>
    <w:rsid w:val="00B87B63"/>
    <w:rsid w:val="00B87B86"/>
    <w:rsid w:val="00B87B93"/>
    <w:rsid w:val="00B87BE3"/>
    <w:rsid w:val="00B87D9D"/>
    <w:rsid w:val="00B87E3E"/>
    <w:rsid w:val="00B87E44"/>
    <w:rsid w:val="00B9002E"/>
    <w:rsid w:val="00B900F2"/>
    <w:rsid w:val="00B9013C"/>
    <w:rsid w:val="00B90243"/>
    <w:rsid w:val="00B90292"/>
    <w:rsid w:val="00B902EB"/>
    <w:rsid w:val="00B9037B"/>
    <w:rsid w:val="00B9069E"/>
    <w:rsid w:val="00B90709"/>
    <w:rsid w:val="00B9075F"/>
    <w:rsid w:val="00B908FA"/>
    <w:rsid w:val="00B909C9"/>
    <w:rsid w:val="00B90A0C"/>
    <w:rsid w:val="00B90A2C"/>
    <w:rsid w:val="00B90A57"/>
    <w:rsid w:val="00B90B10"/>
    <w:rsid w:val="00B90B32"/>
    <w:rsid w:val="00B90CA0"/>
    <w:rsid w:val="00B90D3C"/>
    <w:rsid w:val="00B90E23"/>
    <w:rsid w:val="00B90FF4"/>
    <w:rsid w:val="00B91085"/>
    <w:rsid w:val="00B913D6"/>
    <w:rsid w:val="00B91604"/>
    <w:rsid w:val="00B91612"/>
    <w:rsid w:val="00B9180C"/>
    <w:rsid w:val="00B9197E"/>
    <w:rsid w:val="00B91A8B"/>
    <w:rsid w:val="00B91AA6"/>
    <w:rsid w:val="00B91D10"/>
    <w:rsid w:val="00B91D2D"/>
    <w:rsid w:val="00B91D88"/>
    <w:rsid w:val="00B91D91"/>
    <w:rsid w:val="00B91E2F"/>
    <w:rsid w:val="00B91EB8"/>
    <w:rsid w:val="00B9214C"/>
    <w:rsid w:val="00B92220"/>
    <w:rsid w:val="00B92263"/>
    <w:rsid w:val="00B9258C"/>
    <w:rsid w:val="00B925D3"/>
    <w:rsid w:val="00B92632"/>
    <w:rsid w:val="00B92862"/>
    <w:rsid w:val="00B92B29"/>
    <w:rsid w:val="00B92C2D"/>
    <w:rsid w:val="00B92C6D"/>
    <w:rsid w:val="00B92D43"/>
    <w:rsid w:val="00B92D6F"/>
    <w:rsid w:val="00B92D89"/>
    <w:rsid w:val="00B92F10"/>
    <w:rsid w:val="00B92FD3"/>
    <w:rsid w:val="00B92FFF"/>
    <w:rsid w:val="00B93170"/>
    <w:rsid w:val="00B9328D"/>
    <w:rsid w:val="00B9335E"/>
    <w:rsid w:val="00B93373"/>
    <w:rsid w:val="00B934E5"/>
    <w:rsid w:val="00B935DB"/>
    <w:rsid w:val="00B936F1"/>
    <w:rsid w:val="00B93705"/>
    <w:rsid w:val="00B9373F"/>
    <w:rsid w:val="00B93A99"/>
    <w:rsid w:val="00B93AF2"/>
    <w:rsid w:val="00B93B0B"/>
    <w:rsid w:val="00B93B78"/>
    <w:rsid w:val="00B93E1A"/>
    <w:rsid w:val="00B93E7A"/>
    <w:rsid w:val="00B93F80"/>
    <w:rsid w:val="00B93FC6"/>
    <w:rsid w:val="00B93FCF"/>
    <w:rsid w:val="00B94079"/>
    <w:rsid w:val="00B9417B"/>
    <w:rsid w:val="00B941C8"/>
    <w:rsid w:val="00B944E9"/>
    <w:rsid w:val="00B94519"/>
    <w:rsid w:val="00B94578"/>
    <w:rsid w:val="00B945F0"/>
    <w:rsid w:val="00B946D6"/>
    <w:rsid w:val="00B94A7E"/>
    <w:rsid w:val="00B94B1A"/>
    <w:rsid w:val="00B94BDF"/>
    <w:rsid w:val="00B94C2C"/>
    <w:rsid w:val="00B94C6D"/>
    <w:rsid w:val="00B94CD4"/>
    <w:rsid w:val="00B94DAC"/>
    <w:rsid w:val="00B94DED"/>
    <w:rsid w:val="00B94E80"/>
    <w:rsid w:val="00B94ED9"/>
    <w:rsid w:val="00B951CD"/>
    <w:rsid w:val="00B9541A"/>
    <w:rsid w:val="00B954B2"/>
    <w:rsid w:val="00B954C4"/>
    <w:rsid w:val="00B95522"/>
    <w:rsid w:val="00B95721"/>
    <w:rsid w:val="00B9576D"/>
    <w:rsid w:val="00B95773"/>
    <w:rsid w:val="00B95846"/>
    <w:rsid w:val="00B958CF"/>
    <w:rsid w:val="00B95A57"/>
    <w:rsid w:val="00B95B9D"/>
    <w:rsid w:val="00B95BEE"/>
    <w:rsid w:val="00B95CEE"/>
    <w:rsid w:val="00B95D70"/>
    <w:rsid w:val="00B95D81"/>
    <w:rsid w:val="00B95E6D"/>
    <w:rsid w:val="00B95EDD"/>
    <w:rsid w:val="00B95F49"/>
    <w:rsid w:val="00B95F59"/>
    <w:rsid w:val="00B960BF"/>
    <w:rsid w:val="00B96117"/>
    <w:rsid w:val="00B9616B"/>
    <w:rsid w:val="00B96233"/>
    <w:rsid w:val="00B96344"/>
    <w:rsid w:val="00B96447"/>
    <w:rsid w:val="00B965D4"/>
    <w:rsid w:val="00B967A3"/>
    <w:rsid w:val="00B96843"/>
    <w:rsid w:val="00B96876"/>
    <w:rsid w:val="00B968CC"/>
    <w:rsid w:val="00B96942"/>
    <w:rsid w:val="00B96A3C"/>
    <w:rsid w:val="00B96B1E"/>
    <w:rsid w:val="00B96BAE"/>
    <w:rsid w:val="00B96D28"/>
    <w:rsid w:val="00B96ED0"/>
    <w:rsid w:val="00B96EF9"/>
    <w:rsid w:val="00B96FA9"/>
    <w:rsid w:val="00B9712A"/>
    <w:rsid w:val="00B9712D"/>
    <w:rsid w:val="00B971A3"/>
    <w:rsid w:val="00B97200"/>
    <w:rsid w:val="00B97318"/>
    <w:rsid w:val="00B974F6"/>
    <w:rsid w:val="00B9767A"/>
    <w:rsid w:val="00B97706"/>
    <w:rsid w:val="00B9775E"/>
    <w:rsid w:val="00B97784"/>
    <w:rsid w:val="00B977EF"/>
    <w:rsid w:val="00B9784C"/>
    <w:rsid w:val="00B978E7"/>
    <w:rsid w:val="00B978E9"/>
    <w:rsid w:val="00B97993"/>
    <w:rsid w:val="00B9799F"/>
    <w:rsid w:val="00B97A80"/>
    <w:rsid w:val="00B97B16"/>
    <w:rsid w:val="00B97BA6"/>
    <w:rsid w:val="00B97DC2"/>
    <w:rsid w:val="00BA00B9"/>
    <w:rsid w:val="00BA00F9"/>
    <w:rsid w:val="00BA030B"/>
    <w:rsid w:val="00BA050B"/>
    <w:rsid w:val="00BA05D0"/>
    <w:rsid w:val="00BA0721"/>
    <w:rsid w:val="00BA07A7"/>
    <w:rsid w:val="00BA07F6"/>
    <w:rsid w:val="00BA0814"/>
    <w:rsid w:val="00BA0BB8"/>
    <w:rsid w:val="00BA0D58"/>
    <w:rsid w:val="00BA0E0E"/>
    <w:rsid w:val="00BA0E22"/>
    <w:rsid w:val="00BA0E89"/>
    <w:rsid w:val="00BA0EE3"/>
    <w:rsid w:val="00BA0F7B"/>
    <w:rsid w:val="00BA0F80"/>
    <w:rsid w:val="00BA1037"/>
    <w:rsid w:val="00BA11C1"/>
    <w:rsid w:val="00BA12CC"/>
    <w:rsid w:val="00BA14A9"/>
    <w:rsid w:val="00BA14EA"/>
    <w:rsid w:val="00BA166E"/>
    <w:rsid w:val="00BA1783"/>
    <w:rsid w:val="00BA1894"/>
    <w:rsid w:val="00BA18B2"/>
    <w:rsid w:val="00BA1A5E"/>
    <w:rsid w:val="00BA1B07"/>
    <w:rsid w:val="00BA1BDA"/>
    <w:rsid w:val="00BA1C0C"/>
    <w:rsid w:val="00BA1C4A"/>
    <w:rsid w:val="00BA1C88"/>
    <w:rsid w:val="00BA1E33"/>
    <w:rsid w:val="00BA1E6C"/>
    <w:rsid w:val="00BA1EC7"/>
    <w:rsid w:val="00BA1F37"/>
    <w:rsid w:val="00BA1F39"/>
    <w:rsid w:val="00BA2036"/>
    <w:rsid w:val="00BA2128"/>
    <w:rsid w:val="00BA2186"/>
    <w:rsid w:val="00BA2195"/>
    <w:rsid w:val="00BA234F"/>
    <w:rsid w:val="00BA2435"/>
    <w:rsid w:val="00BA275F"/>
    <w:rsid w:val="00BA287C"/>
    <w:rsid w:val="00BA2890"/>
    <w:rsid w:val="00BA2920"/>
    <w:rsid w:val="00BA2B60"/>
    <w:rsid w:val="00BA2BB0"/>
    <w:rsid w:val="00BA2C33"/>
    <w:rsid w:val="00BA2E29"/>
    <w:rsid w:val="00BA2F95"/>
    <w:rsid w:val="00BA3041"/>
    <w:rsid w:val="00BA3112"/>
    <w:rsid w:val="00BA31DC"/>
    <w:rsid w:val="00BA332E"/>
    <w:rsid w:val="00BA3376"/>
    <w:rsid w:val="00BA33B7"/>
    <w:rsid w:val="00BA3410"/>
    <w:rsid w:val="00BA34ED"/>
    <w:rsid w:val="00BA3581"/>
    <w:rsid w:val="00BA3840"/>
    <w:rsid w:val="00BA386C"/>
    <w:rsid w:val="00BA3912"/>
    <w:rsid w:val="00BA3977"/>
    <w:rsid w:val="00BA3983"/>
    <w:rsid w:val="00BA3BB4"/>
    <w:rsid w:val="00BA3CC6"/>
    <w:rsid w:val="00BA3CEC"/>
    <w:rsid w:val="00BA3DAC"/>
    <w:rsid w:val="00BA3DE6"/>
    <w:rsid w:val="00BA3DEF"/>
    <w:rsid w:val="00BA3DFD"/>
    <w:rsid w:val="00BA3E46"/>
    <w:rsid w:val="00BA3FC7"/>
    <w:rsid w:val="00BA40E7"/>
    <w:rsid w:val="00BA41E0"/>
    <w:rsid w:val="00BA4271"/>
    <w:rsid w:val="00BA43CF"/>
    <w:rsid w:val="00BA45E2"/>
    <w:rsid w:val="00BA49C4"/>
    <w:rsid w:val="00BA4A41"/>
    <w:rsid w:val="00BA4A45"/>
    <w:rsid w:val="00BA4A7F"/>
    <w:rsid w:val="00BA4C6A"/>
    <w:rsid w:val="00BA4C90"/>
    <w:rsid w:val="00BA4D48"/>
    <w:rsid w:val="00BA4F78"/>
    <w:rsid w:val="00BA4FA1"/>
    <w:rsid w:val="00BA5044"/>
    <w:rsid w:val="00BA5261"/>
    <w:rsid w:val="00BA5535"/>
    <w:rsid w:val="00BA5560"/>
    <w:rsid w:val="00BA576B"/>
    <w:rsid w:val="00BA5810"/>
    <w:rsid w:val="00BA5912"/>
    <w:rsid w:val="00BA5944"/>
    <w:rsid w:val="00BA5B59"/>
    <w:rsid w:val="00BA5C3B"/>
    <w:rsid w:val="00BA5E2E"/>
    <w:rsid w:val="00BA5E64"/>
    <w:rsid w:val="00BA5FAB"/>
    <w:rsid w:val="00BA5FB3"/>
    <w:rsid w:val="00BA6109"/>
    <w:rsid w:val="00BA61EC"/>
    <w:rsid w:val="00BA6257"/>
    <w:rsid w:val="00BA6799"/>
    <w:rsid w:val="00BA688A"/>
    <w:rsid w:val="00BA68C1"/>
    <w:rsid w:val="00BA6912"/>
    <w:rsid w:val="00BA69C8"/>
    <w:rsid w:val="00BA69F0"/>
    <w:rsid w:val="00BA6B84"/>
    <w:rsid w:val="00BA6C42"/>
    <w:rsid w:val="00BA6C5E"/>
    <w:rsid w:val="00BA6DF2"/>
    <w:rsid w:val="00BA6E06"/>
    <w:rsid w:val="00BA6E7C"/>
    <w:rsid w:val="00BA6EFE"/>
    <w:rsid w:val="00BA7178"/>
    <w:rsid w:val="00BA71A6"/>
    <w:rsid w:val="00BA7265"/>
    <w:rsid w:val="00BA7303"/>
    <w:rsid w:val="00BA745F"/>
    <w:rsid w:val="00BA746B"/>
    <w:rsid w:val="00BA7565"/>
    <w:rsid w:val="00BA7608"/>
    <w:rsid w:val="00BA79AE"/>
    <w:rsid w:val="00BA7AE8"/>
    <w:rsid w:val="00BA7BA8"/>
    <w:rsid w:val="00BA7BCD"/>
    <w:rsid w:val="00BA7C3B"/>
    <w:rsid w:val="00BA7C68"/>
    <w:rsid w:val="00BA7E9C"/>
    <w:rsid w:val="00BA7E9E"/>
    <w:rsid w:val="00BA7F06"/>
    <w:rsid w:val="00BA7F49"/>
    <w:rsid w:val="00BA7F65"/>
    <w:rsid w:val="00BB000F"/>
    <w:rsid w:val="00BB0081"/>
    <w:rsid w:val="00BB010D"/>
    <w:rsid w:val="00BB031D"/>
    <w:rsid w:val="00BB0677"/>
    <w:rsid w:val="00BB06FC"/>
    <w:rsid w:val="00BB073F"/>
    <w:rsid w:val="00BB0765"/>
    <w:rsid w:val="00BB07B0"/>
    <w:rsid w:val="00BB0811"/>
    <w:rsid w:val="00BB0873"/>
    <w:rsid w:val="00BB08F2"/>
    <w:rsid w:val="00BB0972"/>
    <w:rsid w:val="00BB0979"/>
    <w:rsid w:val="00BB0A27"/>
    <w:rsid w:val="00BB0ACF"/>
    <w:rsid w:val="00BB0AEE"/>
    <w:rsid w:val="00BB0C61"/>
    <w:rsid w:val="00BB0CD9"/>
    <w:rsid w:val="00BB0DD2"/>
    <w:rsid w:val="00BB1273"/>
    <w:rsid w:val="00BB12C3"/>
    <w:rsid w:val="00BB1613"/>
    <w:rsid w:val="00BB1620"/>
    <w:rsid w:val="00BB16A1"/>
    <w:rsid w:val="00BB16BA"/>
    <w:rsid w:val="00BB16E2"/>
    <w:rsid w:val="00BB16F7"/>
    <w:rsid w:val="00BB1757"/>
    <w:rsid w:val="00BB17BC"/>
    <w:rsid w:val="00BB18A5"/>
    <w:rsid w:val="00BB18C0"/>
    <w:rsid w:val="00BB1979"/>
    <w:rsid w:val="00BB1A3E"/>
    <w:rsid w:val="00BB1B1E"/>
    <w:rsid w:val="00BB1C88"/>
    <w:rsid w:val="00BB1EA3"/>
    <w:rsid w:val="00BB1F8F"/>
    <w:rsid w:val="00BB1FF9"/>
    <w:rsid w:val="00BB206A"/>
    <w:rsid w:val="00BB20FB"/>
    <w:rsid w:val="00BB2114"/>
    <w:rsid w:val="00BB2195"/>
    <w:rsid w:val="00BB2291"/>
    <w:rsid w:val="00BB231C"/>
    <w:rsid w:val="00BB2467"/>
    <w:rsid w:val="00BB2471"/>
    <w:rsid w:val="00BB25F1"/>
    <w:rsid w:val="00BB2631"/>
    <w:rsid w:val="00BB2668"/>
    <w:rsid w:val="00BB26E2"/>
    <w:rsid w:val="00BB275A"/>
    <w:rsid w:val="00BB2B3C"/>
    <w:rsid w:val="00BB2B74"/>
    <w:rsid w:val="00BB2D85"/>
    <w:rsid w:val="00BB312D"/>
    <w:rsid w:val="00BB3133"/>
    <w:rsid w:val="00BB31CC"/>
    <w:rsid w:val="00BB3298"/>
    <w:rsid w:val="00BB32E4"/>
    <w:rsid w:val="00BB330C"/>
    <w:rsid w:val="00BB3562"/>
    <w:rsid w:val="00BB368A"/>
    <w:rsid w:val="00BB3713"/>
    <w:rsid w:val="00BB381C"/>
    <w:rsid w:val="00BB382F"/>
    <w:rsid w:val="00BB38DD"/>
    <w:rsid w:val="00BB38EA"/>
    <w:rsid w:val="00BB3A52"/>
    <w:rsid w:val="00BB3C01"/>
    <w:rsid w:val="00BB3D48"/>
    <w:rsid w:val="00BB3D92"/>
    <w:rsid w:val="00BB3E95"/>
    <w:rsid w:val="00BB4285"/>
    <w:rsid w:val="00BB4364"/>
    <w:rsid w:val="00BB4385"/>
    <w:rsid w:val="00BB43D3"/>
    <w:rsid w:val="00BB4495"/>
    <w:rsid w:val="00BB465B"/>
    <w:rsid w:val="00BB46CB"/>
    <w:rsid w:val="00BB4800"/>
    <w:rsid w:val="00BB4802"/>
    <w:rsid w:val="00BB480B"/>
    <w:rsid w:val="00BB48CE"/>
    <w:rsid w:val="00BB4C49"/>
    <w:rsid w:val="00BB4C63"/>
    <w:rsid w:val="00BB4CBE"/>
    <w:rsid w:val="00BB4E3A"/>
    <w:rsid w:val="00BB4FED"/>
    <w:rsid w:val="00BB5008"/>
    <w:rsid w:val="00BB50A8"/>
    <w:rsid w:val="00BB51BF"/>
    <w:rsid w:val="00BB5321"/>
    <w:rsid w:val="00BB5379"/>
    <w:rsid w:val="00BB53D2"/>
    <w:rsid w:val="00BB5484"/>
    <w:rsid w:val="00BB55A4"/>
    <w:rsid w:val="00BB55B3"/>
    <w:rsid w:val="00BB57D5"/>
    <w:rsid w:val="00BB5855"/>
    <w:rsid w:val="00BB587A"/>
    <w:rsid w:val="00BB597C"/>
    <w:rsid w:val="00BB5A35"/>
    <w:rsid w:val="00BB5A5A"/>
    <w:rsid w:val="00BB5B08"/>
    <w:rsid w:val="00BB5B7E"/>
    <w:rsid w:val="00BB5B9E"/>
    <w:rsid w:val="00BB5D13"/>
    <w:rsid w:val="00BB5D26"/>
    <w:rsid w:val="00BB5E51"/>
    <w:rsid w:val="00BB5ECE"/>
    <w:rsid w:val="00BB5ED3"/>
    <w:rsid w:val="00BB5F50"/>
    <w:rsid w:val="00BB6185"/>
    <w:rsid w:val="00BB62D6"/>
    <w:rsid w:val="00BB676E"/>
    <w:rsid w:val="00BB67E5"/>
    <w:rsid w:val="00BB69D2"/>
    <w:rsid w:val="00BB6C88"/>
    <w:rsid w:val="00BB6D80"/>
    <w:rsid w:val="00BB6E24"/>
    <w:rsid w:val="00BB7058"/>
    <w:rsid w:val="00BB70E9"/>
    <w:rsid w:val="00BB74A1"/>
    <w:rsid w:val="00BB769B"/>
    <w:rsid w:val="00BB77CD"/>
    <w:rsid w:val="00BB7847"/>
    <w:rsid w:val="00BB78AB"/>
    <w:rsid w:val="00BB79FB"/>
    <w:rsid w:val="00BB7A83"/>
    <w:rsid w:val="00BB7A8C"/>
    <w:rsid w:val="00BB7B07"/>
    <w:rsid w:val="00BB7BF0"/>
    <w:rsid w:val="00BB7D06"/>
    <w:rsid w:val="00BB7D8C"/>
    <w:rsid w:val="00BB7EB1"/>
    <w:rsid w:val="00BC00EE"/>
    <w:rsid w:val="00BC00F4"/>
    <w:rsid w:val="00BC01E5"/>
    <w:rsid w:val="00BC03C4"/>
    <w:rsid w:val="00BC055C"/>
    <w:rsid w:val="00BC07F7"/>
    <w:rsid w:val="00BC09B5"/>
    <w:rsid w:val="00BC0AF8"/>
    <w:rsid w:val="00BC0BFA"/>
    <w:rsid w:val="00BC0C10"/>
    <w:rsid w:val="00BC0C3A"/>
    <w:rsid w:val="00BC0E2F"/>
    <w:rsid w:val="00BC0E43"/>
    <w:rsid w:val="00BC0FE3"/>
    <w:rsid w:val="00BC1003"/>
    <w:rsid w:val="00BC103F"/>
    <w:rsid w:val="00BC1061"/>
    <w:rsid w:val="00BC10DA"/>
    <w:rsid w:val="00BC11A5"/>
    <w:rsid w:val="00BC1337"/>
    <w:rsid w:val="00BC1341"/>
    <w:rsid w:val="00BC136E"/>
    <w:rsid w:val="00BC1390"/>
    <w:rsid w:val="00BC13FC"/>
    <w:rsid w:val="00BC1499"/>
    <w:rsid w:val="00BC1705"/>
    <w:rsid w:val="00BC185B"/>
    <w:rsid w:val="00BC1926"/>
    <w:rsid w:val="00BC197A"/>
    <w:rsid w:val="00BC1984"/>
    <w:rsid w:val="00BC1B41"/>
    <w:rsid w:val="00BC1B53"/>
    <w:rsid w:val="00BC20B3"/>
    <w:rsid w:val="00BC2100"/>
    <w:rsid w:val="00BC219A"/>
    <w:rsid w:val="00BC24A9"/>
    <w:rsid w:val="00BC2578"/>
    <w:rsid w:val="00BC25D0"/>
    <w:rsid w:val="00BC2625"/>
    <w:rsid w:val="00BC26CA"/>
    <w:rsid w:val="00BC26D9"/>
    <w:rsid w:val="00BC27EA"/>
    <w:rsid w:val="00BC2973"/>
    <w:rsid w:val="00BC29BE"/>
    <w:rsid w:val="00BC29C9"/>
    <w:rsid w:val="00BC2A1E"/>
    <w:rsid w:val="00BC2A1F"/>
    <w:rsid w:val="00BC2B60"/>
    <w:rsid w:val="00BC2BD9"/>
    <w:rsid w:val="00BC2D44"/>
    <w:rsid w:val="00BC2DA9"/>
    <w:rsid w:val="00BC2DB6"/>
    <w:rsid w:val="00BC2F0A"/>
    <w:rsid w:val="00BC31AA"/>
    <w:rsid w:val="00BC3206"/>
    <w:rsid w:val="00BC3214"/>
    <w:rsid w:val="00BC328A"/>
    <w:rsid w:val="00BC32A5"/>
    <w:rsid w:val="00BC35A7"/>
    <w:rsid w:val="00BC371F"/>
    <w:rsid w:val="00BC3867"/>
    <w:rsid w:val="00BC3962"/>
    <w:rsid w:val="00BC3B17"/>
    <w:rsid w:val="00BC3BD6"/>
    <w:rsid w:val="00BC3CBE"/>
    <w:rsid w:val="00BC3E3B"/>
    <w:rsid w:val="00BC3E8F"/>
    <w:rsid w:val="00BC3FC9"/>
    <w:rsid w:val="00BC41B5"/>
    <w:rsid w:val="00BC41BA"/>
    <w:rsid w:val="00BC4341"/>
    <w:rsid w:val="00BC434C"/>
    <w:rsid w:val="00BC448E"/>
    <w:rsid w:val="00BC448F"/>
    <w:rsid w:val="00BC48E1"/>
    <w:rsid w:val="00BC4E22"/>
    <w:rsid w:val="00BC4E7E"/>
    <w:rsid w:val="00BC4F2F"/>
    <w:rsid w:val="00BC4FFF"/>
    <w:rsid w:val="00BC513E"/>
    <w:rsid w:val="00BC529A"/>
    <w:rsid w:val="00BC533B"/>
    <w:rsid w:val="00BC538A"/>
    <w:rsid w:val="00BC5399"/>
    <w:rsid w:val="00BC5433"/>
    <w:rsid w:val="00BC54F2"/>
    <w:rsid w:val="00BC55D2"/>
    <w:rsid w:val="00BC564C"/>
    <w:rsid w:val="00BC57DA"/>
    <w:rsid w:val="00BC584B"/>
    <w:rsid w:val="00BC5981"/>
    <w:rsid w:val="00BC59B6"/>
    <w:rsid w:val="00BC5ADE"/>
    <w:rsid w:val="00BC5B73"/>
    <w:rsid w:val="00BC5D38"/>
    <w:rsid w:val="00BC5D43"/>
    <w:rsid w:val="00BC5F32"/>
    <w:rsid w:val="00BC621C"/>
    <w:rsid w:val="00BC6410"/>
    <w:rsid w:val="00BC6437"/>
    <w:rsid w:val="00BC652E"/>
    <w:rsid w:val="00BC6607"/>
    <w:rsid w:val="00BC6741"/>
    <w:rsid w:val="00BC68A2"/>
    <w:rsid w:val="00BC68E3"/>
    <w:rsid w:val="00BC69B8"/>
    <w:rsid w:val="00BC6A5E"/>
    <w:rsid w:val="00BC6AD5"/>
    <w:rsid w:val="00BC6BF0"/>
    <w:rsid w:val="00BC6BF5"/>
    <w:rsid w:val="00BC6D92"/>
    <w:rsid w:val="00BC6E46"/>
    <w:rsid w:val="00BC6E4B"/>
    <w:rsid w:val="00BC6F65"/>
    <w:rsid w:val="00BC7164"/>
    <w:rsid w:val="00BC7193"/>
    <w:rsid w:val="00BC72D8"/>
    <w:rsid w:val="00BC7422"/>
    <w:rsid w:val="00BC7449"/>
    <w:rsid w:val="00BC7538"/>
    <w:rsid w:val="00BC7587"/>
    <w:rsid w:val="00BC76FF"/>
    <w:rsid w:val="00BC7775"/>
    <w:rsid w:val="00BC7790"/>
    <w:rsid w:val="00BC781E"/>
    <w:rsid w:val="00BC79A3"/>
    <w:rsid w:val="00BC79E2"/>
    <w:rsid w:val="00BC7B3D"/>
    <w:rsid w:val="00BC7B8F"/>
    <w:rsid w:val="00BC7C18"/>
    <w:rsid w:val="00BC7C47"/>
    <w:rsid w:val="00BC7D03"/>
    <w:rsid w:val="00BC7E71"/>
    <w:rsid w:val="00BC7E72"/>
    <w:rsid w:val="00BC7E9F"/>
    <w:rsid w:val="00BC7F2A"/>
    <w:rsid w:val="00BC7F34"/>
    <w:rsid w:val="00BC7FA1"/>
    <w:rsid w:val="00BD00E2"/>
    <w:rsid w:val="00BD01C6"/>
    <w:rsid w:val="00BD01D6"/>
    <w:rsid w:val="00BD0327"/>
    <w:rsid w:val="00BD0341"/>
    <w:rsid w:val="00BD05E8"/>
    <w:rsid w:val="00BD06F9"/>
    <w:rsid w:val="00BD07C3"/>
    <w:rsid w:val="00BD0B36"/>
    <w:rsid w:val="00BD0BD3"/>
    <w:rsid w:val="00BD0D21"/>
    <w:rsid w:val="00BD0F1F"/>
    <w:rsid w:val="00BD1175"/>
    <w:rsid w:val="00BD1386"/>
    <w:rsid w:val="00BD13EC"/>
    <w:rsid w:val="00BD14CA"/>
    <w:rsid w:val="00BD1519"/>
    <w:rsid w:val="00BD1596"/>
    <w:rsid w:val="00BD1648"/>
    <w:rsid w:val="00BD190F"/>
    <w:rsid w:val="00BD191E"/>
    <w:rsid w:val="00BD198E"/>
    <w:rsid w:val="00BD1A21"/>
    <w:rsid w:val="00BD1B2D"/>
    <w:rsid w:val="00BD1B82"/>
    <w:rsid w:val="00BD1BA8"/>
    <w:rsid w:val="00BD1DAC"/>
    <w:rsid w:val="00BD1E27"/>
    <w:rsid w:val="00BD1F64"/>
    <w:rsid w:val="00BD1FA2"/>
    <w:rsid w:val="00BD2075"/>
    <w:rsid w:val="00BD2209"/>
    <w:rsid w:val="00BD224D"/>
    <w:rsid w:val="00BD2295"/>
    <w:rsid w:val="00BD2333"/>
    <w:rsid w:val="00BD2359"/>
    <w:rsid w:val="00BD2399"/>
    <w:rsid w:val="00BD2663"/>
    <w:rsid w:val="00BD26F6"/>
    <w:rsid w:val="00BD27C7"/>
    <w:rsid w:val="00BD27FF"/>
    <w:rsid w:val="00BD282E"/>
    <w:rsid w:val="00BD28FD"/>
    <w:rsid w:val="00BD2B49"/>
    <w:rsid w:val="00BD2E0D"/>
    <w:rsid w:val="00BD2F78"/>
    <w:rsid w:val="00BD2F8C"/>
    <w:rsid w:val="00BD30A1"/>
    <w:rsid w:val="00BD3120"/>
    <w:rsid w:val="00BD3128"/>
    <w:rsid w:val="00BD32E9"/>
    <w:rsid w:val="00BD330A"/>
    <w:rsid w:val="00BD330C"/>
    <w:rsid w:val="00BD330D"/>
    <w:rsid w:val="00BD3328"/>
    <w:rsid w:val="00BD332F"/>
    <w:rsid w:val="00BD3348"/>
    <w:rsid w:val="00BD3452"/>
    <w:rsid w:val="00BD36BB"/>
    <w:rsid w:val="00BD36EC"/>
    <w:rsid w:val="00BD37CE"/>
    <w:rsid w:val="00BD3829"/>
    <w:rsid w:val="00BD3960"/>
    <w:rsid w:val="00BD3968"/>
    <w:rsid w:val="00BD3975"/>
    <w:rsid w:val="00BD3A47"/>
    <w:rsid w:val="00BD3A8E"/>
    <w:rsid w:val="00BD3AA7"/>
    <w:rsid w:val="00BD3B35"/>
    <w:rsid w:val="00BD3B3A"/>
    <w:rsid w:val="00BD3BC0"/>
    <w:rsid w:val="00BD3C47"/>
    <w:rsid w:val="00BD3D7C"/>
    <w:rsid w:val="00BD3EE7"/>
    <w:rsid w:val="00BD4027"/>
    <w:rsid w:val="00BD408D"/>
    <w:rsid w:val="00BD40B4"/>
    <w:rsid w:val="00BD40E8"/>
    <w:rsid w:val="00BD4147"/>
    <w:rsid w:val="00BD4476"/>
    <w:rsid w:val="00BD44B9"/>
    <w:rsid w:val="00BD44F0"/>
    <w:rsid w:val="00BD4612"/>
    <w:rsid w:val="00BD4657"/>
    <w:rsid w:val="00BD46F2"/>
    <w:rsid w:val="00BD4741"/>
    <w:rsid w:val="00BD4859"/>
    <w:rsid w:val="00BD4974"/>
    <w:rsid w:val="00BD4AD8"/>
    <w:rsid w:val="00BD4C2C"/>
    <w:rsid w:val="00BD4C78"/>
    <w:rsid w:val="00BD4E4D"/>
    <w:rsid w:val="00BD4F17"/>
    <w:rsid w:val="00BD5170"/>
    <w:rsid w:val="00BD5300"/>
    <w:rsid w:val="00BD53E2"/>
    <w:rsid w:val="00BD54C8"/>
    <w:rsid w:val="00BD54F2"/>
    <w:rsid w:val="00BD555B"/>
    <w:rsid w:val="00BD5600"/>
    <w:rsid w:val="00BD569A"/>
    <w:rsid w:val="00BD574A"/>
    <w:rsid w:val="00BD5795"/>
    <w:rsid w:val="00BD5831"/>
    <w:rsid w:val="00BD5858"/>
    <w:rsid w:val="00BD591B"/>
    <w:rsid w:val="00BD5AD8"/>
    <w:rsid w:val="00BD5B9A"/>
    <w:rsid w:val="00BD5C1A"/>
    <w:rsid w:val="00BD5D07"/>
    <w:rsid w:val="00BD5D26"/>
    <w:rsid w:val="00BD5DED"/>
    <w:rsid w:val="00BD5F1B"/>
    <w:rsid w:val="00BD5F45"/>
    <w:rsid w:val="00BD5FF7"/>
    <w:rsid w:val="00BD6218"/>
    <w:rsid w:val="00BD62DF"/>
    <w:rsid w:val="00BD6367"/>
    <w:rsid w:val="00BD65BE"/>
    <w:rsid w:val="00BD6637"/>
    <w:rsid w:val="00BD6705"/>
    <w:rsid w:val="00BD6756"/>
    <w:rsid w:val="00BD6C01"/>
    <w:rsid w:val="00BD6DA8"/>
    <w:rsid w:val="00BD6EC1"/>
    <w:rsid w:val="00BD6EC7"/>
    <w:rsid w:val="00BD6FD9"/>
    <w:rsid w:val="00BD70C7"/>
    <w:rsid w:val="00BD725D"/>
    <w:rsid w:val="00BD73CE"/>
    <w:rsid w:val="00BD7424"/>
    <w:rsid w:val="00BD7459"/>
    <w:rsid w:val="00BD74B4"/>
    <w:rsid w:val="00BD7527"/>
    <w:rsid w:val="00BD7752"/>
    <w:rsid w:val="00BD77C1"/>
    <w:rsid w:val="00BD78CB"/>
    <w:rsid w:val="00BD792A"/>
    <w:rsid w:val="00BD7956"/>
    <w:rsid w:val="00BD7A79"/>
    <w:rsid w:val="00BD7AAC"/>
    <w:rsid w:val="00BD7AE5"/>
    <w:rsid w:val="00BD7B90"/>
    <w:rsid w:val="00BD7C40"/>
    <w:rsid w:val="00BD7C6A"/>
    <w:rsid w:val="00BD7D3C"/>
    <w:rsid w:val="00BD7E62"/>
    <w:rsid w:val="00BD7F17"/>
    <w:rsid w:val="00BD7F43"/>
    <w:rsid w:val="00BD7FE5"/>
    <w:rsid w:val="00BE0207"/>
    <w:rsid w:val="00BE0254"/>
    <w:rsid w:val="00BE0273"/>
    <w:rsid w:val="00BE02A4"/>
    <w:rsid w:val="00BE0470"/>
    <w:rsid w:val="00BE04B0"/>
    <w:rsid w:val="00BE05E7"/>
    <w:rsid w:val="00BE064C"/>
    <w:rsid w:val="00BE0747"/>
    <w:rsid w:val="00BE07B3"/>
    <w:rsid w:val="00BE08F8"/>
    <w:rsid w:val="00BE0924"/>
    <w:rsid w:val="00BE095C"/>
    <w:rsid w:val="00BE09F7"/>
    <w:rsid w:val="00BE0C6B"/>
    <w:rsid w:val="00BE0C98"/>
    <w:rsid w:val="00BE0D79"/>
    <w:rsid w:val="00BE0F81"/>
    <w:rsid w:val="00BE0FB1"/>
    <w:rsid w:val="00BE117F"/>
    <w:rsid w:val="00BE1305"/>
    <w:rsid w:val="00BE138E"/>
    <w:rsid w:val="00BE13DF"/>
    <w:rsid w:val="00BE1508"/>
    <w:rsid w:val="00BE1743"/>
    <w:rsid w:val="00BE177D"/>
    <w:rsid w:val="00BE17AC"/>
    <w:rsid w:val="00BE186A"/>
    <w:rsid w:val="00BE1951"/>
    <w:rsid w:val="00BE1A47"/>
    <w:rsid w:val="00BE1AA5"/>
    <w:rsid w:val="00BE1BC8"/>
    <w:rsid w:val="00BE1C17"/>
    <w:rsid w:val="00BE1DEB"/>
    <w:rsid w:val="00BE1F71"/>
    <w:rsid w:val="00BE1FE2"/>
    <w:rsid w:val="00BE20AC"/>
    <w:rsid w:val="00BE2258"/>
    <w:rsid w:val="00BE2286"/>
    <w:rsid w:val="00BE22AC"/>
    <w:rsid w:val="00BE230A"/>
    <w:rsid w:val="00BE24B2"/>
    <w:rsid w:val="00BE2618"/>
    <w:rsid w:val="00BE2900"/>
    <w:rsid w:val="00BE2BB5"/>
    <w:rsid w:val="00BE2BBB"/>
    <w:rsid w:val="00BE2C5C"/>
    <w:rsid w:val="00BE2C84"/>
    <w:rsid w:val="00BE2D12"/>
    <w:rsid w:val="00BE2D9B"/>
    <w:rsid w:val="00BE2DC7"/>
    <w:rsid w:val="00BE2DF4"/>
    <w:rsid w:val="00BE2E1B"/>
    <w:rsid w:val="00BE2FBC"/>
    <w:rsid w:val="00BE2FDE"/>
    <w:rsid w:val="00BE3106"/>
    <w:rsid w:val="00BE31B7"/>
    <w:rsid w:val="00BE3275"/>
    <w:rsid w:val="00BE3277"/>
    <w:rsid w:val="00BE32A6"/>
    <w:rsid w:val="00BE32C5"/>
    <w:rsid w:val="00BE344E"/>
    <w:rsid w:val="00BE35D3"/>
    <w:rsid w:val="00BE35E6"/>
    <w:rsid w:val="00BE366B"/>
    <w:rsid w:val="00BE377B"/>
    <w:rsid w:val="00BE37F9"/>
    <w:rsid w:val="00BE3928"/>
    <w:rsid w:val="00BE3969"/>
    <w:rsid w:val="00BE39D2"/>
    <w:rsid w:val="00BE3B2E"/>
    <w:rsid w:val="00BE3B67"/>
    <w:rsid w:val="00BE3CC4"/>
    <w:rsid w:val="00BE3CE7"/>
    <w:rsid w:val="00BE3E95"/>
    <w:rsid w:val="00BE413B"/>
    <w:rsid w:val="00BE426C"/>
    <w:rsid w:val="00BE4273"/>
    <w:rsid w:val="00BE428F"/>
    <w:rsid w:val="00BE437E"/>
    <w:rsid w:val="00BE43D6"/>
    <w:rsid w:val="00BE44F5"/>
    <w:rsid w:val="00BE4585"/>
    <w:rsid w:val="00BE464D"/>
    <w:rsid w:val="00BE466C"/>
    <w:rsid w:val="00BE467D"/>
    <w:rsid w:val="00BE46CC"/>
    <w:rsid w:val="00BE46D1"/>
    <w:rsid w:val="00BE48AF"/>
    <w:rsid w:val="00BE48D2"/>
    <w:rsid w:val="00BE4BFD"/>
    <w:rsid w:val="00BE4D28"/>
    <w:rsid w:val="00BE4D78"/>
    <w:rsid w:val="00BE4E12"/>
    <w:rsid w:val="00BE4E1D"/>
    <w:rsid w:val="00BE502E"/>
    <w:rsid w:val="00BE504B"/>
    <w:rsid w:val="00BE50B3"/>
    <w:rsid w:val="00BE512B"/>
    <w:rsid w:val="00BE5160"/>
    <w:rsid w:val="00BE51E2"/>
    <w:rsid w:val="00BE520B"/>
    <w:rsid w:val="00BE522B"/>
    <w:rsid w:val="00BE528C"/>
    <w:rsid w:val="00BE542F"/>
    <w:rsid w:val="00BE54CD"/>
    <w:rsid w:val="00BE561D"/>
    <w:rsid w:val="00BE56E5"/>
    <w:rsid w:val="00BE57A3"/>
    <w:rsid w:val="00BE5893"/>
    <w:rsid w:val="00BE58C5"/>
    <w:rsid w:val="00BE58EF"/>
    <w:rsid w:val="00BE5B48"/>
    <w:rsid w:val="00BE5B6B"/>
    <w:rsid w:val="00BE5BA7"/>
    <w:rsid w:val="00BE5BBC"/>
    <w:rsid w:val="00BE5CD9"/>
    <w:rsid w:val="00BE5DC8"/>
    <w:rsid w:val="00BE5EA3"/>
    <w:rsid w:val="00BE5FA5"/>
    <w:rsid w:val="00BE5FE6"/>
    <w:rsid w:val="00BE6079"/>
    <w:rsid w:val="00BE60AF"/>
    <w:rsid w:val="00BE6165"/>
    <w:rsid w:val="00BE6249"/>
    <w:rsid w:val="00BE6436"/>
    <w:rsid w:val="00BE64B1"/>
    <w:rsid w:val="00BE652C"/>
    <w:rsid w:val="00BE6532"/>
    <w:rsid w:val="00BE655A"/>
    <w:rsid w:val="00BE6757"/>
    <w:rsid w:val="00BE6762"/>
    <w:rsid w:val="00BE67D5"/>
    <w:rsid w:val="00BE694D"/>
    <w:rsid w:val="00BE6BA5"/>
    <w:rsid w:val="00BE6CC3"/>
    <w:rsid w:val="00BE6D2A"/>
    <w:rsid w:val="00BE6EB9"/>
    <w:rsid w:val="00BE6FC2"/>
    <w:rsid w:val="00BE7006"/>
    <w:rsid w:val="00BE7087"/>
    <w:rsid w:val="00BE70B7"/>
    <w:rsid w:val="00BE7143"/>
    <w:rsid w:val="00BE720C"/>
    <w:rsid w:val="00BE7283"/>
    <w:rsid w:val="00BE7434"/>
    <w:rsid w:val="00BE74ED"/>
    <w:rsid w:val="00BE752F"/>
    <w:rsid w:val="00BE75DD"/>
    <w:rsid w:val="00BE78C0"/>
    <w:rsid w:val="00BE791E"/>
    <w:rsid w:val="00BE7953"/>
    <w:rsid w:val="00BE7959"/>
    <w:rsid w:val="00BE79D1"/>
    <w:rsid w:val="00BE7CBB"/>
    <w:rsid w:val="00BE7E54"/>
    <w:rsid w:val="00BE7F0D"/>
    <w:rsid w:val="00BE7F1C"/>
    <w:rsid w:val="00BE7FB9"/>
    <w:rsid w:val="00BE7FC8"/>
    <w:rsid w:val="00BF00D8"/>
    <w:rsid w:val="00BF0124"/>
    <w:rsid w:val="00BF02EE"/>
    <w:rsid w:val="00BF052F"/>
    <w:rsid w:val="00BF0567"/>
    <w:rsid w:val="00BF0611"/>
    <w:rsid w:val="00BF065C"/>
    <w:rsid w:val="00BF0793"/>
    <w:rsid w:val="00BF098E"/>
    <w:rsid w:val="00BF0C5D"/>
    <w:rsid w:val="00BF0CEB"/>
    <w:rsid w:val="00BF0D5A"/>
    <w:rsid w:val="00BF0E3A"/>
    <w:rsid w:val="00BF126B"/>
    <w:rsid w:val="00BF14FB"/>
    <w:rsid w:val="00BF15E2"/>
    <w:rsid w:val="00BF1733"/>
    <w:rsid w:val="00BF18DB"/>
    <w:rsid w:val="00BF19DD"/>
    <w:rsid w:val="00BF1B16"/>
    <w:rsid w:val="00BF1B41"/>
    <w:rsid w:val="00BF1B47"/>
    <w:rsid w:val="00BF1B64"/>
    <w:rsid w:val="00BF1E25"/>
    <w:rsid w:val="00BF1E92"/>
    <w:rsid w:val="00BF1F0F"/>
    <w:rsid w:val="00BF2049"/>
    <w:rsid w:val="00BF20B8"/>
    <w:rsid w:val="00BF21FF"/>
    <w:rsid w:val="00BF2255"/>
    <w:rsid w:val="00BF225C"/>
    <w:rsid w:val="00BF2386"/>
    <w:rsid w:val="00BF2389"/>
    <w:rsid w:val="00BF23AA"/>
    <w:rsid w:val="00BF251E"/>
    <w:rsid w:val="00BF2588"/>
    <w:rsid w:val="00BF258A"/>
    <w:rsid w:val="00BF2598"/>
    <w:rsid w:val="00BF25E4"/>
    <w:rsid w:val="00BF265B"/>
    <w:rsid w:val="00BF26DC"/>
    <w:rsid w:val="00BF2773"/>
    <w:rsid w:val="00BF2886"/>
    <w:rsid w:val="00BF29A0"/>
    <w:rsid w:val="00BF2A2D"/>
    <w:rsid w:val="00BF2A40"/>
    <w:rsid w:val="00BF2A7B"/>
    <w:rsid w:val="00BF2BB3"/>
    <w:rsid w:val="00BF2CFD"/>
    <w:rsid w:val="00BF2EAC"/>
    <w:rsid w:val="00BF2F10"/>
    <w:rsid w:val="00BF2FDC"/>
    <w:rsid w:val="00BF304F"/>
    <w:rsid w:val="00BF3157"/>
    <w:rsid w:val="00BF3173"/>
    <w:rsid w:val="00BF323C"/>
    <w:rsid w:val="00BF34DB"/>
    <w:rsid w:val="00BF360A"/>
    <w:rsid w:val="00BF362B"/>
    <w:rsid w:val="00BF37AE"/>
    <w:rsid w:val="00BF3816"/>
    <w:rsid w:val="00BF3849"/>
    <w:rsid w:val="00BF3905"/>
    <w:rsid w:val="00BF3A58"/>
    <w:rsid w:val="00BF3C3C"/>
    <w:rsid w:val="00BF3C85"/>
    <w:rsid w:val="00BF3E15"/>
    <w:rsid w:val="00BF3EC8"/>
    <w:rsid w:val="00BF3FCD"/>
    <w:rsid w:val="00BF4094"/>
    <w:rsid w:val="00BF415C"/>
    <w:rsid w:val="00BF41D1"/>
    <w:rsid w:val="00BF4249"/>
    <w:rsid w:val="00BF42A3"/>
    <w:rsid w:val="00BF42E8"/>
    <w:rsid w:val="00BF43AA"/>
    <w:rsid w:val="00BF4512"/>
    <w:rsid w:val="00BF4565"/>
    <w:rsid w:val="00BF46C8"/>
    <w:rsid w:val="00BF46E3"/>
    <w:rsid w:val="00BF470E"/>
    <w:rsid w:val="00BF479C"/>
    <w:rsid w:val="00BF47A9"/>
    <w:rsid w:val="00BF49C0"/>
    <w:rsid w:val="00BF4A47"/>
    <w:rsid w:val="00BF4B13"/>
    <w:rsid w:val="00BF4B60"/>
    <w:rsid w:val="00BF4B8B"/>
    <w:rsid w:val="00BF4C6C"/>
    <w:rsid w:val="00BF4DBF"/>
    <w:rsid w:val="00BF4F02"/>
    <w:rsid w:val="00BF524D"/>
    <w:rsid w:val="00BF531C"/>
    <w:rsid w:val="00BF53D4"/>
    <w:rsid w:val="00BF5542"/>
    <w:rsid w:val="00BF5582"/>
    <w:rsid w:val="00BF577C"/>
    <w:rsid w:val="00BF57FF"/>
    <w:rsid w:val="00BF58B8"/>
    <w:rsid w:val="00BF58C2"/>
    <w:rsid w:val="00BF596D"/>
    <w:rsid w:val="00BF5A38"/>
    <w:rsid w:val="00BF5A44"/>
    <w:rsid w:val="00BF5A85"/>
    <w:rsid w:val="00BF5AFE"/>
    <w:rsid w:val="00BF5C08"/>
    <w:rsid w:val="00BF5C97"/>
    <w:rsid w:val="00BF5D90"/>
    <w:rsid w:val="00BF5E08"/>
    <w:rsid w:val="00BF5E6A"/>
    <w:rsid w:val="00BF6117"/>
    <w:rsid w:val="00BF611E"/>
    <w:rsid w:val="00BF611F"/>
    <w:rsid w:val="00BF61D0"/>
    <w:rsid w:val="00BF623D"/>
    <w:rsid w:val="00BF626D"/>
    <w:rsid w:val="00BF62AC"/>
    <w:rsid w:val="00BF63D1"/>
    <w:rsid w:val="00BF650C"/>
    <w:rsid w:val="00BF6545"/>
    <w:rsid w:val="00BF65B6"/>
    <w:rsid w:val="00BF65F2"/>
    <w:rsid w:val="00BF65FC"/>
    <w:rsid w:val="00BF66C8"/>
    <w:rsid w:val="00BF67FC"/>
    <w:rsid w:val="00BF69C0"/>
    <w:rsid w:val="00BF69C1"/>
    <w:rsid w:val="00BF6A2E"/>
    <w:rsid w:val="00BF6AE1"/>
    <w:rsid w:val="00BF6B06"/>
    <w:rsid w:val="00BF6B85"/>
    <w:rsid w:val="00BF6BD0"/>
    <w:rsid w:val="00BF6C1F"/>
    <w:rsid w:val="00BF6CE3"/>
    <w:rsid w:val="00BF6D32"/>
    <w:rsid w:val="00BF6E76"/>
    <w:rsid w:val="00BF6ECF"/>
    <w:rsid w:val="00BF7225"/>
    <w:rsid w:val="00BF730B"/>
    <w:rsid w:val="00BF7402"/>
    <w:rsid w:val="00BF768C"/>
    <w:rsid w:val="00BF76B8"/>
    <w:rsid w:val="00BF798A"/>
    <w:rsid w:val="00BF79DE"/>
    <w:rsid w:val="00BF79E5"/>
    <w:rsid w:val="00BF7A17"/>
    <w:rsid w:val="00BF7B54"/>
    <w:rsid w:val="00BF7B6D"/>
    <w:rsid w:val="00BF7C15"/>
    <w:rsid w:val="00BF7CFC"/>
    <w:rsid w:val="00BF7EC0"/>
    <w:rsid w:val="00C00090"/>
    <w:rsid w:val="00C001BD"/>
    <w:rsid w:val="00C00338"/>
    <w:rsid w:val="00C00382"/>
    <w:rsid w:val="00C003A5"/>
    <w:rsid w:val="00C003C9"/>
    <w:rsid w:val="00C00403"/>
    <w:rsid w:val="00C0052B"/>
    <w:rsid w:val="00C006FD"/>
    <w:rsid w:val="00C007CB"/>
    <w:rsid w:val="00C00973"/>
    <w:rsid w:val="00C00C43"/>
    <w:rsid w:val="00C00C96"/>
    <w:rsid w:val="00C00E09"/>
    <w:rsid w:val="00C01071"/>
    <w:rsid w:val="00C010C9"/>
    <w:rsid w:val="00C010DC"/>
    <w:rsid w:val="00C0115C"/>
    <w:rsid w:val="00C01228"/>
    <w:rsid w:val="00C01377"/>
    <w:rsid w:val="00C013BB"/>
    <w:rsid w:val="00C0142E"/>
    <w:rsid w:val="00C01436"/>
    <w:rsid w:val="00C0145D"/>
    <w:rsid w:val="00C01512"/>
    <w:rsid w:val="00C015D6"/>
    <w:rsid w:val="00C0165F"/>
    <w:rsid w:val="00C0167F"/>
    <w:rsid w:val="00C0177B"/>
    <w:rsid w:val="00C017C0"/>
    <w:rsid w:val="00C019C1"/>
    <w:rsid w:val="00C01A3C"/>
    <w:rsid w:val="00C01AFF"/>
    <w:rsid w:val="00C01BB9"/>
    <w:rsid w:val="00C01CAD"/>
    <w:rsid w:val="00C01D4C"/>
    <w:rsid w:val="00C01E5A"/>
    <w:rsid w:val="00C01EC2"/>
    <w:rsid w:val="00C01EEB"/>
    <w:rsid w:val="00C01F42"/>
    <w:rsid w:val="00C01F72"/>
    <w:rsid w:val="00C01F7B"/>
    <w:rsid w:val="00C02052"/>
    <w:rsid w:val="00C02172"/>
    <w:rsid w:val="00C02384"/>
    <w:rsid w:val="00C0246B"/>
    <w:rsid w:val="00C028CE"/>
    <w:rsid w:val="00C02A29"/>
    <w:rsid w:val="00C02BAC"/>
    <w:rsid w:val="00C02C43"/>
    <w:rsid w:val="00C02C9D"/>
    <w:rsid w:val="00C02D81"/>
    <w:rsid w:val="00C02DDF"/>
    <w:rsid w:val="00C02EBE"/>
    <w:rsid w:val="00C02EC0"/>
    <w:rsid w:val="00C02F5E"/>
    <w:rsid w:val="00C03170"/>
    <w:rsid w:val="00C0322E"/>
    <w:rsid w:val="00C03294"/>
    <w:rsid w:val="00C032AE"/>
    <w:rsid w:val="00C032BC"/>
    <w:rsid w:val="00C033EA"/>
    <w:rsid w:val="00C03445"/>
    <w:rsid w:val="00C034DC"/>
    <w:rsid w:val="00C035ED"/>
    <w:rsid w:val="00C03784"/>
    <w:rsid w:val="00C03807"/>
    <w:rsid w:val="00C03949"/>
    <w:rsid w:val="00C039A8"/>
    <w:rsid w:val="00C03BC4"/>
    <w:rsid w:val="00C03BDD"/>
    <w:rsid w:val="00C03C3B"/>
    <w:rsid w:val="00C03D36"/>
    <w:rsid w:val="00C03EEB"/>
    <w:rsid w:val="00C03F2D"/>
    <w:rsid w:val="00C03F36"/>
    <w:rsid w:val="00C03FA5"/>
    <w:rsid w:val="00C04029"/>
    <w:rsid w:val="00C0415A"/>
    <w:rsid w:val="00C041A6"/>
    <w:rsid w:val="00C041F8"/>
    <w:rsid w:val="00C043D0"/>
    <w:rsid w:val="00C043E2"/>
    <w:rsid w:val="00C04515"/>
    <w:rsid w:val="00C04751"/>
    <w:rsid w:val="00C047BE"/>
    <w:rsid w:val="00C048A3"/>
    <w:rsid w:val="00C04BB4"/>
    <w:rsid w:val="00C04C06"/>
    <w:rsid w:val="00C04ED6"/>
    <w:rsid w:val="00C053F9"/>
    <w:rsid w:val="00C054C7"/>
    <w:rsid w:val="00C05542"/>
    <w:rsid w:val="00C055A7"/>
    <w:rsid w:val="00C05922"/>
    <w:rsid w:val="00C059D5"/>
    <w:rsid w:val="00C05C79"/>
    <w:rsid w:val="00C05C95"/>
    <w:rsid w:val="00C05E13"/>
    <w:rsid w:val="00C05E48"/>
    <w:rsid w:val="00C05EBD"/>
    <w:rsid w:val="00C05F4F"/>
    <w:rsid w:val="00C060FC"/>
    <w:rsid w:val="00C06156"/>
    <w:rsid w:val="00C063A4"/>
    <w:rsid w:val="00C0669A"/>
    <w:rsid w:val="00C06715"/>
    <w:rsid w:val="00C0680F"/>
    <w:rsid w:val="00C06B0D"/>
    <w:rsid w:val="00C06D9B"/>
    <w:rsid w:val="00C06DB7"/>
    <w:rsid w:val="00C06E91"/>
    <w:rsid w:val="00C0721E"/>
    <w:rsid w:val="00C0723C"/>
    <w:rsid w:val="00C0724D"/>
    <w:rsid w:val="00C0727E"/>
    <w:rsid w:val="00C07325"/>
    <w:rsid w:val="00C07479"/>
    <w:rsid w:val="00C07554"/>
    <w:rsid w:val="00C075B2"/>
    <w:rsid w:val="00C0764F"/>
    <w:rsid w:val="00C076D3"/>
    <w:rsid w:val="00C076FC"/>
    <w:rsid w:val="00C077AB"/>
    <w:rsid w:val="00C07A16"/>
    <w:rsid w:val="00C07A9F"/>
    <w:rsid w:val="00C07BD8"/>
    <w:rsid w:val="00C07DE6"/>
    <w:rsid w:val="00C07EF3"/>
    <w:rsid w:val="00C100B1"/>
    <w:rsid w:val="00C10101"/>
    <w:rsid w:val="00C1012F"/>
    <w:rsid w:val="00C10161"/>
    <w:rsid w:val="00C101FA"/>
    <w:rsid w:val="00C10236"/>
    <w:rsid w:val="00C102A1"/>
    <w:rsid w:val="00C1041E"/>
    <w:rsid w:val="00C1047D"/>
    <w:rsid w:val="00C10597"/>
    <w:rsid w:val="00C1076F"/>
    <w:rsid w:val="00C10798"/>
    <w:rsid w:val="00C10855"/>
    <w:rsid w:val="00C1099D"/>
    <w:rsid w:val="00C10AB9"/>
    <w:rsid w:val="00C10B00"/>
    <w:rsid w:val="00C10B5C"/>
    <w:rsid w:val="00C10B65"/>
    <w:rsid w:val="00C10BFE"/>
    <w:rsid w:val="00C10C1A"/>
    <w:rsid w:val="00C10D48"/>
    <w:rsid w:val="00C10E1B"/>
    <w:rsid w:val="00C10EC2"/>
    <w:rsid w:val="00C111CC"/>
    <w:rsid w:val="00C11310"/>
    <w:rsid w:val="00C11353"/>
    <w:rsid w:val="00C11362"/>
    <w:rsid w:val="00C113D8"/>
    <w:rsid w:val="00C113FD"/>
    <w:rsid w:val="00C11527"/>
    <w:rsid w:val="00C116BA"/>
    <w:rsid w:val="00C11715"/>
    <w:rsid w:val="00C11825"/>
    <w:rsid w:val="00C1187B"/>
    <w:rsid w:val="00C118DC"/>
    <w:rsid w:val="00C11901"/>
    <w:rsid w:val="00C11977"/>
    <w:rsid w:val="00C11A09"/>
    <w:rsid w:val="00C11A0C"/>
    <w:rsid w:val="00C11A61"/>
    <w:rsid w:val="00C11AA4"/>
    <w:rsid w:val="00C11BD8"/>
    <w:rsid w:val="00C11C69"/>
    <w:rsid w:val="00C11E79"/>
    <w:rsid w:val="00C123C5"/>
    <w:rsid w:val="00C12585"/>
    <w:rsid w:val="00C12621"/>
    <w:rsid w:val="00C126A0"/>
    <w:rsid w:val="00C127BA"/>
    <w:rsid w:val="00C1288A"/>
    <w:rsid w:val="00C1289E"/>
    <w:rsid w:val="00C129EA"/>
    <w:rsid w:val="00C129F6"/>
    <w:rsid w:val="00C12A96"/>
    <w:rsid w:val="00C12AEE"/>
    <w:rsid w:val="00C12BA1"/>
    <w:rsid w:val="00C12BE6"/>
    <w:rsid w:val="00C12C11"/>
    <w:rsid w:val="00C12D03"/>
    <w:rsid w:val="00C12D32"/>
    <w:rsid w:val="00C12D3B"/>
    <w:rsid w:val="00C12EF6"/>
    <w:rsid w:val="00C12FB7"/>
    <w:rsid w:val="00C12FF5"/>
    <w:rsid w:val="00C13176"/>
    <w:rsid w:val="00C132E3"/>
    <w:rsid w:val="00C133E9"/>
    <w:rsid w:val="00C134C6"/>
    <w:rsid w:val="00C13721"/>
    <w:rsid w:val="00C13898"/>
    <w:rsid w:val="00C13A42"/>
    <w:rsid w:val="00C13AEE"/>
    <w:rsid w:val="00C13BE8"/>
    <w:rsid w:val="00C13CD4"/>
    <w:rsid w:val="00C13D58"/>
    <w:rsid w:val="00C13DF2"/>
    <w:rsid w:val="00C13E04"/>
    <w:rsid w:val="00C13FA8"/>
    <w:rsid w:val="00C1401A"/>
    <w:rsid w:val="00C1409E"/>
    <w:rsid w:val="00C14147"/>
    <w:rsid w:val="00C142E7"/>
    <w:rsid w:val="00C1433D"/>
    <w:rsid w:val="00C143B6"/>
    <w:rsid w:val="00C143E7"/>
    <w:rsid w:val="00C144C1"/>
    <w:rsid w:val="00C144CF"/>
    <w:rsid w:val="00C14531"/>
    <w:rsid w:val="00C1471B"/>
    <w:rsid w:val="00C14947"/>
    <w:rsid w:val="00C14998"/>
    <w:rsid w:val="00C14A27"/>
    <w:rsid w:val="00C14ADA"/>
    <w:rsid w:val="00C14B2F"/>
    <w:rsid w:val="00C14B49"/>
    <w:rsid w:val="00C14BDB"/>
    <w:rsid w:val="00C14D04"/>
    <w:rsid w:val="00C14DE7"/>
    <w:rsid w:val="00C14F67"/>
    <w:rsid w:val="00C1524A"/>
    <w:rsid w:val="00C1526C"/>
    <w:rsid w:val="00C152A6"/>
    <w:rsid w:val="00C152BA"/>
    <w:rsid w:val="00C152E5"/>
    <w:rsid w:val="00C15300"/>
    <w:rsid w:val="00C15314"/>
    <w:rsid w:val="00C153D6"/>
    <w:rsid w:val="00C15419"/>
    <w:rsid w:val="00C15422"/>
    <w:rsid w:val="00C15447"/>
    <w:rsid w:val="00C15504"/>
    <w:rsid w:val="00C15683"/>
    <w:rsid w:val="00C15805"/>
    <w:rsid w:val="00C158B1"/>
    <w:rsid w:val="00C15983"/>
    <w:rsid w:val="00C15A0F"/>
    <w:rsid w:val="00C15A13"/>
    <w:rsid w:val="00C15AFD"/>
    <w:rsid w:val="00C15B12"/>
    <w:rsid w:val="00C15B59"/>
    <w:rsid w:val="00C15E27"/>
    <w:rsid w:val="00C16285"/>
    <w:rsid w:val="00C16287"/>
    <w:rsid w:val="00C162DA"/>
    <w:rsid w:val="00C16343"/>
    <w:rsid w:val="00C1637B"/>
    <w:rsid w:val="00C166A0"/>
    <w:rsid w:val="00C167A4"/>
    <w:rsid w:val="00C167D4"/>
    <w:rsid w:val="00C16A03"/>
    <w:rsid w:val="00C16ACE"/>
    <w:rsid w:val="00C16AFD"/>
    <w:rsid w:val="00C16BBB"/>
    <w:rsid w:val="00C16C09"/>
    <w:rsid w:val="00C16D03"/>
    <w:rsid w:val="00C16E91"/>
    <w:rsid w:val="00C16F44"/>
    <w:rsid w:val="00C16FD2"/>
    <w:rsid w:val="00C17103"/>
    <w:rsid w:val="00C171D1"/>
    <w:rsid w:val="00C17210"/>
    <w:rsid w:val="00C1724C"/>
    <w:rsid w:val="00C1726F"/>
    <w:rsid w:val="00C172F6"/>
    <w:rsid w:val="00C17580"/>
    <w:rsid w:val="00C175EC"/>
    <w:rsid w:val="00C1762D"/>
    <w:rsid w:val="00C1769D"/>
    <w:rsid w:val="00C1788C"/>
    <w:rsid w:val="00C178B5"/>
    <w:rsid w:val="00C178B7"/>
    <w:rsid w:val="00C17A03"/>
    <w:rsid w:val="00C17C67"/>
    <w:rsid w:val="00C17CC7"/>
    <w:rsid w:val="00C17E4F"/>
    <w:rsid w:val="00C17E5A"/>
    <w:rsid w:val="00C17F1F"/>
    <w:rsid w:val="00C17F5B"/>
    <w:rsid w:val="00C17F9B"/>
    <w:rsid w:val="00C17FDB"/>
    <w:rsid w:val="00C201FA"/>
    <w:rsid w:val="00C20234"/>
    <w:rsid w:val="00C2044C"/>
    <w:rsid w:val="00C205AE"/>
    <w:rsid w:val="00C205B9"/>
    <w:rsid w:val="00C2061E"/>
    <w:rsid w:val="00C20631"/>
    <w:rsid w:val="00C20652"/>
    <w:rsid w:val="00C20870"/>
    <w:rsid w:val="00C20898"/>
    <w:rsid w:val="00C208BB"/>
    <w:rsid w:val="00C20919"/>
    <w:rsid w:val="00C209FA"/>
    <w:rsid w:val="00C20A5D"/>
    <w:rsid w:val="00C20AE6"/>
    <w:rsid w:val="00C20B33"/>
    <w:rsid w:val="00C20D77"/>
    <w:rsid w:val="00C20EFF"/>
    <w:rsid w:val="00C21061"/>
    <w:rsid w:val="00C210A0"/>
    <w:rsid w:val="00C210E9"/>
    <w:rsid w:val="00C21130"/>
    <w:rsid w:val="00C211C8"/>
    <w:rsid w:val="00C211CB"/>
    <w:rsid w:val="00C211D5"/>
    <w:rsid w:val="00C21204"/>
    <w:rsid w:val="00C21396"/>
    <w:rsid w:val="00C213F5"/>
    <w:rsid w:val="00C21459"/>
    <w:rsid w:val="00C214E7"/>
    <w:rsid w:val="00C215A1"/>
    <w:rsid w:val="00C217F5"/>
    <w:rsid w:val="00C21AAD"/>
    <w:rsid w:val="00C21E13"/>
    <w:rsid w:val="00C21E68"/>
    <w:rsid w:val="00C21F66"/>
    <w:rsid w:val="00C21FE4"/>
    <w:rsid w:val="00C220D5"/>
    <w:rsid w:val="00C2211A"/>
    <w:rsid w:val="00C222F8"/>
    <w:rsid w:val="00C22335"/>
    <w:rsid w:val="00C223C5"/>
    <w:rsid w:val="00C223C9"/>
    <w:rsid w:val="00C2243C"/>
    <w:rsid w:val="00C22481"/>
    <w:rsid w:val="00C22501"/>
    <w:rsid w:val="00C227CB"/>
    <w:rsid w:val="00C227F9"/>
    <w:rsid w:val="00C22A0B"/>
    <w:rsid w:val="00C22B54"/>
    <w:rsid w:val="00C22BEC"/>
    <w:rsid w:val="00C22CF4"/>
    <w:rsid w:val="00C22D2C"/>
    <w:rsid w:val="00C22E4C"/>
    <w:rsid w:val="00C22E6F"/>
    <w:rsid w:val="00C22EA1"/>
    <w:rsid w:val="00C2307B"/>
    <w:rsid w:val="00C231A9"/>
    <w:rsid w:val="00C2328B"/>
    <w:rsid w:val="00C232B4"/>
    <w:rsid w:val="00C234E3"/>
    <w:rsid w:val="00C2365C"/>
    <w:rsid w:val="00C23739"/>
    <w:rsid w:val="00C23874"/>
    <w:rsid w:val="00C2398D"/>
    <w:rsid w:val="00C23AF7"/>
    <w:rsid w:val="00C23CC5"/>
    <w:rsid w:val="00C23CFB"/>
    <w:rsid w:val="00C23D16"/>
    <w:rsid w:val="00C23E18"/>
    <w:rsid w:val="00C23E21"/>
    <w:rsid w:val="00C23E5E"/>
    <w:rsid w:val="00C240C3"/>
    <w:rsid w:val="00C24279"/>
    <w:rsid w:val="00C2431E"/>
    <w:rsid w:val="00C247D1"/>
    <w:rsid w:val="00C248DB"/>
    <w:rsid w:val="00C24AC0"/>
    <w:rsid w:val="00C24AD4"/>
    <w:rsid w:val="00C24B57"/>
    <w:rsid w:val="00C24CB2"/>
    <w:rsid w:val="00C24D0B"/>
    <w:rsid w:val="00C24DE9"/>
    <w:rsid w:val="00C24DED"/>
    <w:rsid w:val="00C2500F"/>
    <w:rsid w:val="00C25010"/>
    <w:rsid w:val="00C250C0"/>
    <w:rsid w:val="00C250E1"/>
    <w:rsid w:val="00C25362"/>
    <w:rsid w:val="00C2547C"/>
    <w:rsid w:val="00C254D1"/>
    <w:rsid w:val="00C254EE"/>
    <w:rsid w:val="00C25575"/>
    <w:rsid w:val="00C25585"/>
    <w:rsid w:val="00C256C7"/>
    <w:rsid w:val="00C25715"/>
    <w:rsid w:val="00C25787"/>
    <w:rsid w:val="00C25941"/>
    <w:rsid w:val="00C25A40"/>
    <w:rsid w:val="00C25B84"/>
    <w:rsid w:val="00C25BDF"/>
    <w:rsid w:val="00C25E14"/>
    <w:rsid w:val="00C25E7B"/>
    <w:rsid w:val="00C25E82"/>
    <w:rsid w:val="00C25E9A"/>
    <w:rsid w:val="00C25F03"/>
    <w:rsid w:val="00C26271"/>
    <w:rsid w:val="00C262E8"/>
    <w:rsid w:val="00C26310"/>
    <w:rsid w:val="00C26485"/>
    <w:rsid w:val="00C26AB6"/>
    <w:rsid w:val="00C26ABA"/>
    <w:rsid w:val="00C26B8F"/>
    <w:rsid w:val="00C26C6E"/>
    <w:rsid w:val="00C26CBB"/>
    <w:rsid w:val="00C26E53"/>
    <w:rsid w:val="00C26F19"/>
    <w:rsid w:val="00C26F3A"/>
    <w:rsid w:val="00C26F99"/>
    <w:rsid w:val="00C27126"/>
    <w:rsid w:val="00C27174"/>
    <w:rsid w:val="00C27222"/>
    <w:rsid w:val="00C273A6"/>
    <w:rsid w:val="00C274C2"/>
    <w:rsid w:val="00C275A8"/>
    <w:rsid w:val="00C2763B"/>
    <w:rsid w:val="00C27664"/>
    <w:rsid w:val="00C277BD"/>
    <w:rsid w:val="00C27826"/>
    <w:rsid w:val="00C27846"/>
    <w:rsid w:val="00C27A0D"/>
    <w:rsid w:val="00C27A15"/>
    <w:rsid w:val="00C27B50"/>
    <w:rsid w:val="00C27D02"/>
    <w:rsid w:val="00C27DEC"/>
    <w:rsid w:val="00C27F29"/>
    <w:rsid w:val="00C3007A"/>
    <w:rsid w:val="00C30354"/>
    <w:rsid w:val="00C30380"/>
    <w:rsid w:val="00C3039A"/>
    <w:rsid w:val="00C303A4"/>
    <w:rsid w:val="00C30603"/>
    <w:rsid w:val="00C30620"/>
    <w:rsid w:val="00C3062F"/>
    <w:rsid w:val="00C30697"/>
    <w:rsid w:val="00C30722"/>
    <w:rsid w:val="00C307DE"/>
    <w:rsid w:val="00C30959"/>
    <w:rsid w:val="00C30995"/>
    <w:rsid w:val="00C309B3"/>
    <w:rsid w:val="00C30A4A"/>
    <w:rsid w:val="00C30AFC"/>
    <w:rsid w:val="00C30B18"/>
    <w:rsid w:val="00C30B77"/>
    <w:rsid w:val="00C30D13"/>
    <w:rsid w:val="00C30E0B"/>
    <w:rsid w:val="00C30E78"/>
    <w:rsid w:val="00C30E90"/>
    <w:rsid w:val="00C30F42"/>
    <w:rsid w:val="00C311F8"/>
    <w:rsid w:val="00C3125B"/>
    <w:rsid w:val="00C3131D"/>
    <w:rsid w:val="00C3133D"/>
    <w:rsid w:val="00C313B2"/>
    <w:rsid w:val="00C313E5"/>
    <w:rsid w:val="00C3142E"/>
    <w:rsid w:val="00C3146C"/>
    <w:rsid w:val="00C314F3"/>
    <w:rsid w:val="00C315C9"/>
    <w:rsid w:val="00C315E7"/>
    <w:rsid w:val="00C318D5"/>
    <w:rsid w:val="00C31B4C"/>
    <w:rsid w:val="00C31D17"/>
    <w:rsid w:val="00C31DDD"/>
    <w:rsid w:val="00C31DFC"/>
    <w:rsid w:val="00C31ECB"/>
    <w:rsid w:val="00C31FA7"/>
    <w:rsid w:val="00C32158"/>
    <w:rsid w:val="00C32218"/>
    <w:rsid w:val="00C3225D"/>
    <w:rsid w:val="00C325D5"/>
    <w:rsid w:val="00C3262F"/>
    <w:rsid w:val="00C326FC"/>
    <w:rsid w:val="00C3278D"/>
    <w:rsid w:val="00C327C4"/>
    <w:rsid w:val="00C327EA"/>
    <w:rsid w:val="00C329CA"/>
    <w:rsid w:val="00C32A21"/>
    <w:rsid w:val="00C32C03"/>
    <w:rsid w:val="00C32C0C"/>
    <w:rsid w:val="00C32C2D"/>
    <w:rsid w:val="00C32E11"/>
    <w:rsid w:val="00C32E33"/>
    <w:rsid w:val="00C32E99"/>
    <w:rsid w:val="00C32F51"/>
    <w:rsid w:val="00C32FAF"/>
    <w:rsid w:val="00C32FE4"/>
    <w:rsid w:val="00C331A2"/>
    <w:rsid w:val="00C33286"/>
    <w:rsid w:val="00C333BD"/>
    <w:rsid w:val="00C337DC"/>
    <w:rsid w:val="00C338BE"/>
    <w:rsid w:val="00C33959"/>
    <w:rsid w:val="00C339AE"/>
    <w:rsid w:val="00C339B0"/>
    <w:rsid w:val="00C339C1"/>
    <w:rsid w:val="00C339CB"/>
    <w:rsid w:val="00C33B4E"/>
    <w:rsid w:val="00C33BDA"/>
    <w:rsid w:val="00C33C15"/>
    <w:rsid w:val="00C33C31"/>
    <w:rsid w:val="00C33CD0"/>
    <w:rsid w:val="00C33E98"/>
    <w:rsid w:val="00C34019"/>
    <w:rsid w:val="00C34074"/>
    <w:rsid w:val="00C34486"/>
    <w:rsid w:val="00C3449C"/>
    <w:rsid w:val="00C344B7"/>
    <w:rsid w:val="00C3453B"/>
    <w:rsid w:val="00C345DC"/>
    <w:rsid w:val="00C34719"/>
    <w:rsid w:val="00C347A0"/>
    <w:rsid w:val="00C34899"/>
    <w:rsid w:val="00C3489C"/>
    <w:rsid w:val="00C348A1"/>
    <w:rsid w:val="00C34A0D"/>
    <w:rsid w:val="00C34B19"/>
    <w:rsid w:val="00C34C75"/>
    <w:rsid w:val="00C34C9F"/>
    <w:rsid w:val="00C34EEB"/>
    <w:rsid w:val="00C34F07"/>
    <w:rsid w:val="00C3500A"/>
    <w:rsid w:val="00C350E7"/>
    <w:rsid w:val="00C350F0"/>
    <w:rsid w:val="00C352DC"/>
    <w:rsid w:val="00C353A0"/>
    <w:rsid w:val="00C35527"/>
    <w:rsid w:val="00C355F9"/>
    <w:rsid w:val="00C356C1"/>
    <w:rsid w:val="00C3589E"/>
    <w:rsid w:val="00C358DF"/>
    <w:rsid w:val="00C35949"/>
    <w:rsid w:val="00C35A9B"/>
    <w:rsid w:val="00C35B2E"/>
    <w:rsid w:val="00C35BE9"/>
    <w:rsid w:val="00C35BFB"/>
    <w:rsid w:val="00C35C84"/>
    <w:rsid w:val="00C35D82"/>
    <w:rsid w:val="00C35E3C"/>
    <w:rsid w:val="00C35E66"/>
    <w:rsid w:val="00C35FD2"/>
    <w:rsid w:val="00C36063"/>
    <w:rsid w:val="00C36068"/>
    <w:rsid w:val="00C3609D"/>
    <w:rsid w:val="00C36134"/>
    <w:rsid w:val="00C3616E"/>
    <w:rsid w:val="00C364D9"/>
    <w:rsid w:val="00C364E8"/>
    <w:rsid w:val="00C36590"/>
    <w:rsid w:val="00C36632"/>
    <w:rsid w:val="00C366B4"/>
    <w:rsid w:val="00C36726"/>
    <w:rsid w:val="00C367CD"/>
    <w:rsid w:val="00C367E2"/>
    <w:rsid w:val="00C367F3"/>
    <w:rsid w:val="00C36875"/>
    <w:rsid w:val="00C368A6"/>
    <w:rsid w:val="00C36951"/>
    <w:rsid w:val="00C36A05"/>
    <w:rsid w:val="00C36A9D"/>
    <w:rsid w:val="00C36ACB"/>
    <w:rsid w:val="00C36D4E"/>
    <w:rsid w:val="00C36E20"/>
    <w:rsid w:val="00C36EF1"/>
    <w:rsid w:val="00C370A6"/>
    <w:rsid w:val="00C370D4"/>
    <w:rsid w:val="00C3713C"/>
    <w:rsid w:val="00C3728B"/>
    <w:rsid w:val="00C372AA"/>
    <w:rsid w:val="00C372FD"/>
    <w:rsid w:val="00C373BB"/>
    <w:rsid w:val="00C374EC"/>
    <w:rsid w:val="00C3755B"/>
    <w:rsid w:val="00C375C7"/>
    <w:rsid w:val="00C375CE"/>
    <w:rsid w:val="00C376DB"/>
    <w:rsid w:val="00C376E2"/>
    <w:rsid w:val="00C376FB"/>
    <w:rsid w:val="00C37702"/>
    <w:rsid w:val="00C37A2D"/>
    <w:rsid w:val="00C37A2E"/>
    <w:rsid w:val="00C37AAE"/>
    <w:rsid w:val="00C37ABD"/>
    <w:rsid w:val="00C37AE1"/>
    <w:rsid w:val="00C37AEA"/>
    <w:rsid w:val="00C37B01"/>
    <w:rsid w:val="00C37BA4"/>
    <w:rsid w:val="00C37C42"/>
    <w:rsid w:val="00C37D49"/>
    <w:rsid w:val="00C37DD2"/>
    <w:rsid w:val="00C37DF6"/>
    <w:rsid w:val="00C37E84"/>
    <w:rsid w:val="00C37E94"/>
    <w:rsid w:val="00C40067"/>
    <w:rsid w:val="00C40077"/>
    <w:rsid w:val="00C40129"/>
    <w:rsid w:val="00C4023D"/>
    <w:rsid w:val="00C402BE"/>
    <w:rsid w:val="00C40520"/>
    <w:rsid w:val="00C406DD"/>
    <w:rsid w:val="00C40751"/>
    <w:rsid w:val="00C40770"/>
    <w:rsid w:val="00C407B6"/>
    <w:rsid w:val="00C40817"/>
    <w:rsid w:val="00C4086A"/>
    <w:rsid w:val="00C408B4"/>
    <w:rsid w:val="00C40A66"/>
    <w:rsid w:val="00C40B41"/>
    <w:rsid w:val="00C40B8A"/>
    <w:rsid w:val="00C40C33"/>
    <w:rsid w:val="00C40CCB"/>
    <w:rsid w:val="00C40D01"/>
    <w:rsid w:val="00C40D40"/>
    <w:rsid w:val="00C40E73"/>
    <w:rsid w:val="00C40ECD"/>
    <w:rsid w:val="00C40EFC"/>
    <w:rsid w:val="00C40F06"/>
    <w:rsid w:val="00C4103C"/>
    <w:rsid w:val="00C410A3"/>
    <w:rsid w:val="00C41129"/>
    <w:rsid w:val="00C41175"/>
    <w:rsid w:val="00C4125E"/>
    <w:rsid w:val="00C41276"/>
    <w:rsid w:val="00C412B7"/>
    <w:rsid w:val="00C412E1"/>
    <w:rsid w:val="00C4158C"/>
    <w:rsid w:val="00C415E4"/>
    <w:rsid w:val="00C415FA"/>
    <w:rsid w:val="00C4172F"/>
    <w:rsid w:val="00C41774"/>
    <w:rsid w:val="00C417D5"/>
    <w:rsid w:val="00C41A19"/>
    <w:rsid w:val="00C41A78"/>
    <w:rsid w:val="00C41A89"/>
    <w:rsid w:val="00C41ABA"/>
    <w:rsid w:val="00C41BAA"/>
    <w:rsid w:val="00C41C0F"/>
    <w:rsid w:val="00C41D05"/>
    <w:rsid w:val="00C41DA6"/>
    <w:rsid w:val="00C41E3D"/>
    <w:rsid w:val="00C41FEA"/>
    <w:rsid w:val="00C420D5"/>
    <w:rsid w:val="00C42151"/>
    <w:rsid w:val="00C4230A"/>
    <w:rsid w:val="00C424D9"/>
    <w:rsid w:val="00C424FE"/>
    <w:rsid w:val="00C4299A"/>
    <w:rsid w:val="00C42BBD"/>
    <w:rsid w:val="00C42C9A"/>
    <w:rsid w:val="00C42CC1"/>
    <w:rsid w:val="00C42DBF"/>
    <w:rsid w:val="00C42F7B"/>
    <w:rsid w:val="00C43205"/>
    <w:rsid w:val="00C433C7"/>
    <w:rsid w:val="00C4347F"/>
    <w:rsid w:val="00C43721"/>
    <w:rsid w:val="00C437C9"/>
    <w:rsid w:val="00C4385C"/>
    <w:rsid w:val="00C43882"/>
    <w:rsid w:val="00C43922"/>
    <w:rsid w:val="00C43946"/>
    <w:rsid w:val="00C4395D"/>
    <w:rsid w:val="00C43987"/>
    <w:rsid w:val="00C4399E"/>
    <w:rsid w:val="00C439A8"/>
    <w:rsid w:val="00C439CB"/>
    <w:rsid w:val="00C43ABD"/>
    <w:rsid w:val="00C43B0D"/>
    <w:rsid w:val="00C43B52"/>
    <w:rsid w:val="00C43D1F"/>
    <w:rsid w:val="00C43DB5"/>
    <w:rsid w:val="00C43E0B"/>
    <w:rsid w:val="00C43F33"/>
    <w:rsid w:val="00C4400A"/>
    <w:rsid w:val="00C440A6"/>
    <w:rsid w:val="00C440C1"/>
    <w:rsid w:val="00C441D1"/>
    <w:rsid w:val="00C44237"/>
    <w:rsid w:val="00C442C2"/>
    <w:rsid w:val="00C44408"/>
    <w:rsid w:val="00C4449F"/>
    <w:rsid w:val="00C44524"/>
    <w:rsid w:val="00C445EB"/>
    <w:rsid w:val="00C4466A"/>
    <w:rsid w:val="00C44672"/>
    <w:rsid w:val="00C44812"/>
    <w:rsid w:val="00C449AA"/>
    <w:rsid w:val="00C449D2"/>
    <w:rsid w:val="00C44A6C"/>
    <w:rsid w:val="00C44BF9"/>
    <w:rsid w:val="00C44C8F"/>
    <w:rsid w:val="00C44CB8"/>
    <w:rsid w:val="00C45075"/>
    <w:rsid w:val="00C452F0"/>
    <w:rsid w:val="00C45440"/>
    <w:rsid w:val="00C455B2"/>
    <w:rsid w:val="00C456AF"/>
    <w:rsid w:val="00C456CD"/>
    <w:rsid w:val="00C456E2"/>
    <w:rsid w:val="00C45749"/>
    <w:rsid w:val="00C457B6"/>
    <w:rsid w:val="00C45869"/>
    <w:rsid w:val="00C45A5F"/>
    <w:rsid w:val="00C45A65"/>
    <w:rsid w:val="00C45B1A"/>
    <w:rsid w:val="00C45B6A"/>
    <w:rsid w:val="00C45BBF"/>
    <w:rsid w:val="00C45CD3"/>
    <w:rsid w:val="00C45D48"/>
    <w:rsid w:val="00C45DD8"/>
    <w:rsid w:val="00C45E73"/>
    <w:rsid w:val="00C45EED"/>
    <w:rsid w:val="00C45EF0"/>
    <w:rsid w:val="00C45F28"/>
    <w:rsid w:val="00C460B4"/>
    <w:rsid w:val="00C460FF"/>
    <w:rsid w:val="00C4628E"/>
    <w:rsid w:val="00C46368"/>
    <w:rsid w:val="00C465BD"/>
    <w:rsid w:val="00C46737"/>
    <w:rsid w:val="00C46752"/>
    <w:rsid w:val="00C467C2"/>
    <w:rsid w:val="00C46818"/>
    <w:rsid w:val="00C469C4"/>
    <w:rsid w:val="00C46A11"/>
    <w:rsid w:val="00C46CFF"/>
    <w:rsid w:val="00C46D04"/>
    <w:rsid w:val="00C46EC2"/>
    <w:rsid w:val="00C46F5F"/>
    <w:rsid w:val="00C4702A"/>
    <w:rsid w:val="00C471FF"/>
    <w:rsid w:val="00C4746B"/>
    <w:rsid w:val="00C47472"/>
    <w:rsid w:val="00C476ED"/>
    <w:rsid w:val="00C47767"/>
    <w:rsid w:val="00C477BB"/>
    <w:rsid w:val="00C47865"/>
    <w:rsid w:val="00C478CD"/>
    <w:rsid w:val="00C47994"/>
    <w:rsid w:val="00C47B18"/>
    <w:rsid w:val="00C47B1B"/>
    <w:rsid w:val="00C47B80"/>
    <w:rsid w:val="00C47B84"/>
    <w:rsid w:val="00C47C10"/>
    <w:rsid w:val="00C47CE6"/>
    <w:rsid w:val="00C47D06"/>
    <w:rsid w:val="00C47E4A"/>
    <w:rsid w:val="00C47E83"/>
    <w:rsid w:val="00C50028"/>
    <w:rsid w:val="00C50136"/>
    <w:rsid w:val="00C501F6"/>
    <w:rsid w:val="00C502DC"/>
    <w:rsid w:val="00C50325"/>
    <w:rsid w:val="00C50346"/>
    <w:rsid w:val="00C5034A"/>
    <w:rsid w:val="00C5049F"/>
    <w:rsid w:val="00C5069E"/>
    <w:rsid w:val="00C506CD"/>
    <w:rsid w:val="00C50752"/>
    <w:rsid w:val="00C5088E"/>
    <w:rsid w:val="00C50A2B"/>
    <w:rsid w:val="00C50A51"/>
    <w:rsid w:val="00C50B0C"/>
    <w:rsid w:val="00C50CE9"/>
    <w:rsid w:val="00C50D4D"/>
    <w:rsid w:val="00C50DF6"/>
    <w:rsid w:val="00C50E10"/>
    <w:rsid w:val="00C50ED8"/>
    <w:rsid w:val="00C5106C"/>
    <w:rsid w:val="00C51095"/>
    <w:rsid w:val="00C5115E"/>
    <w:rsid w:val="00C511AA"/>
    <w:rsid w:val="00C51307"/>
    <w:rsid w:val="00C51461"/>
    <w:rsid w:val="00C514CA"/>
    <w:rsid w:val="00C515E4"/>
    <w:rsid w:val="00C5171F"/>
    <w:rsid w:val="00C51762"/>
    <w:rsid w:val="00C5196A"/>
    <w:rsid w:val="00C51A12"/>
    <w:rsid w:val="00C51AF6"/>
    <w:rsid w:val="00C51B59"/>
    <w:rsid w:val="00C51CC9"/>
    <w:rsid w:val="00C51EBB"/>
    <w:rsid w:val="00C51F84"/>
    <w:rsid w:val="00C51FE5"/>
    <w:rsid w:val="00C52031"/>
    <w:rsid w:val="00C52092"/>
    <w:rsid w:val="00C52112"/>
    <w:rsid w:val="00C52214"/>
    <w:rsid w:val="00C52246"/>
    <w:rsid w:val="00C5233F"/>
    <w:rsid w:val="00C52351"/>
    <w:rsid w:val="00C52520"/>
    <w:rsid w:val="00C5254D"/>
    <w:rsid w:val="00C52724"/>
    <w:rsid w:val="00C52728"/>
    <w:rsid w:val="00C527A6"/>
    <w:rsid w:val="00C52B21"/>
    <w:rsid w:val="00C52B8D"/>
    <w:rsid w:val="00C52BA3"/>
    <w:rsid w:val="00C52CDD"/>
    <w:rsid w:val="00C52D21"/>
    <w:rsid w:val="00C52EB4"/>
    <w:rsid w:val="00C52EC6"/>
    <w:rsid w:val="00C52FD5"/>
    <w:rsid w:val="00C53257"/>
    <w:rsid w:val="00C532AD"/>
    <w:rsid w:val="00C5333F"/>
    <w:rsid w:val="00C5335A"/>
    <w:rsid w:val="00C534D2"/>
    <w:rsid w:val="00C53855"/>
    <w:rsid w:val="00C53928"/>
    <w:rsid w:val="00C53BA0"/>
    <w:rsid w:val="00C53C50"/>
    <w:rsid w:val="00C53DC9"/>
    <w:rsid w:val="00C53DF5"/>
    <w:rsid w:val="00C5404A"/>
    <w:rsid w:val="00C540E0"/>
    <w:rsid w:val="00C54122"/>
    <w:rsid w:val="00C5435E"/>
    <w:rsid w:val="00C5436C"/>
    <w:rsid w:val="00C5439C"/>
    <w:rsid w:val="00C54513"/>
    <w:rsid w:val="00C5457B"/>
    <w:rsid w:val="00C54598"/>
    <w:rsid w:val="00C5463E"/>
    <w:rsid w:val="00C546CC"/>
    <w:rsid w:val="00C54823"/>
    <w:rsid w:val="00C54865"/>
    <w:rsid w:val="00C548A5"/>
    <w:rsid w:val="00C548AD"/>
    <w:rsid w:val="00C54902"/>
    <w:rsid w:val="00C54966"/>
    <w:rsid w:val="00C54AB5"/>
    <w:rsid w:val="00C54B28"/>
    <w:rsid w:val="00C54B54"/>
    <w:rsid w:val="00C54C60"/>
    <w:rsid w:val="00C54C88"/>
    <w:rsid w:val="00C54CFE"/>
    <w:rsid w:val="00C54D3C"/>
    <w:rsid w:val="00C54F18"/>
    <w:rsid w:val="00C54FBB"/>
    <w:rsid w:val="00C55058"/>
    <w:rsid w:val="00C5505E"/>
    <w:rsid w:val="00C55149"/>
    <w:rsid w:val="00C5516D"/>
    <w:rsid w:val="00C551A8"/>
    <w:rsid w:val="00C55242"/>
    <w:rsid w:val="00C55309"/>
    <w:rsid w:val="00C55666"/>
    <w:rsid w:val="00C557AD"/>
    <w:rsid w:val="00C55844"/>
    <w:rsid w:val="00C558BF"/>
    <w:rsid w:val="00C558D2"/>
    <w:rsid w:val="00C558E5"/>
    <w:rsid w:val="00C55A3C"/>
    <w:rsid w:val="00C55B29"/>
    <w:rsid w:val="00C55C87"/>
    <w:rsid w:val="00C55D47"/>
    <w:rsid w:val="00C55D5A"/>
    <w:rsid w:val="00C55EF0"/>
    <w:rsid w:val="00C55FE6"/>
    <w:rsid w:val="00C561E3"/>
    <w:rsid w:val="00C56254"/>
    <w:rsid w:val="00C562AF"/>
    <w:rsid w:val="00C562CF"/>
    <w:rsid w:val="00C56354"/>
    <w:rsid w:val="00C56534"/>
    <w:rsid w:val="00C56591"/>
    <w:rsid w:val="00C5665B"/>
    <w:rsid w:val="00C5694B"/>
    <w:rsid w:val="00C56A15"/>
    <w:rsid w:val="00C56A38"/>
    <w:rsid w:val="00C56C03"/>
    <w:rsid w:val="00C56C36"/>
    <w:rsid w:val="00C56D6A"/>
    <w:rsid w:val="00C56DAA"/>
    <w:rsid w:val="00C56E08"/>
    <w:rsid w:val="00C56E11"/>
    <w:rsid w:val="00C56F65"/>
    <w:rsid w:val="00C5700A"/>
    <w:rsid w:val="00C570A6"/>
    <w:rsid w:val="00C57155"/>
    <w:rsid w:val="00C5724B"/>
    <w:rsid w:val="00C5729C"/>
    <w:rsid w:val="00C57469"/>
    <w:rsid w:val="00C57743"/>
    <w:rsid w:val="00C577C2"/>
    <w:rsid w:val="00C57982"/>
    <w:rsid w:val="00C57998"/>
    <w:rsid w:val="00C57E8F"/>
    <w:rsid w:val="00C60030"/>
    <w:rsid w:val="00C60150"/>
    <w:rsid w:val="00C60190"/>
    <w:rsid w:val="00C602FD"/>
    <w:rsid w:val="00C6041F"/>
    <w:rsid w:val="00C60595"/>
    <w:rsid w:val="00C605F2"/>
    <w:rsid w:val="00C60739"/>
    <w:rsid w:val="00C607CA"/>
    <w:rsid w:val="00C60A00"/>
    <w:rsid w:val="00C60A09"/>
    <w:rsid w:val="00C60A39"/>
    <w:rsid w:val="00C60A4C"/>
    <w:rsid w:val="00C60B50"/>
    <w:rsid w:val="00C60CA2"/>
    <w:rsid w:val="00C60D30"/>
    <w:rsid w:val="00C60EB7"/>
    <w:rsid w:val="00C60F8B"/>
    <w:rsid w:val="00C6107D"/>
    <w:rsid w:val="00C610FC"/>
    <w:rsid w:val="00C611E6"/>
    <w:rsid w:val="00C614EE"/>
    <w:rsid w:val="00C6154C"/>
    <w:rsid w:val="00C61648"/>
    <w:rsid w:val="00C6186E"/>
    <w:rsid w:val="00C61A20"/>
    <w:rsid w:val="00C61BE0"/>
    <w:rsid w:val="00C61C35"/>
    <w:rsid w:val="00C61D02"/>
    <w:rsid w:val="00C61DC1"/>
    <w:rsid w:val="00C61FBD"/>
    <w:rsid w:val="00C6203B"/>
    <w:rsid w:val="00C62149"/>
    <w:rsid w:val="00C621C4"/>
    <w:rsid w:val="00C6222F"/>
    <w:rsid w:val="00C62337"/>
    <w:rsid w:val="00C62353"/>
    <w:rsid w:val="00C623D8"/>
    <w:rsid w:val="00C623EA"/>
    <w:rsid w:val="00C6243A"/>
    <w:rsid w:val="00C62544"/>
    <w:rsid w:val="00C62573"/>
    <w:rsid w:val="00C62669"/>
    <w:rsid w:val="00C626E5"/>
    <w:rsid w:val="00C62851"/>
    <w:rsid w:val="00C628F7"/>
    <w:rsid w:val="00C628FE"/>
    <w:rsid w:val="00C62927"/>
    <w:rsid w:val="00C6296F"/>
    <w:rsid w:val="00C62B9E"/>
    <w:rsid w:val="00C63043"/>
    <w:rsid w:val="00C630C9"/>
    <w:rsid w:val="00C631FB"/>
    <w:rsid w:val="00C6321F"/>
    <w:rsid w:val="00C6333D"/>
    <w:rsid w:val="00C633BA"/>
    <w:rsid w:val="00C6359C"/>
    <w:rsid w:val="00C6377F"/>
    <w:rsid w:val="00C63828"/>
    <w:rsid w:val="00C638A6"/>
    <w:rsid w:val="00C63ACE"/>
    <w:rsid w:val="00C63BA2"/>
    <w:rsid w:val="00C63D72"/>
    <w:rsid w:val="00C63E18"/>
    <w:rsid w:val="00C63FF5"/>
    <w:rsid w:val="00C641A4"/>
    <w:rsid w:val="00C642C2"/>
    <w:rsid w:val="00C642F7"/>
    <w:rsid w:val="00C644EE"/>
    <w:rsid w:val="00C64536"/>
    <w:rsid w:val="00C6453E"/>
    <w:rsid w:val="00C64664"/>
    <w:rsid w:val="00C646C0"/>
    <w:rsid w:val="00C646D3"/>
    <w:rsid w:val="00C64827"/>
    <w:rsid w:val="00C648E7"/>
    <w:rsid w:val="00C6493D"/>
    <w:rsid w:val="00C64943"/>
    <w:rsid w:val="00C649EC"/>
    <w:rsid w:val="00C64A90"/>
    <w:rsid w:val="00C64AF8"/>
    <w:rsid w:val="00C64CDE"/>
    <w:rsid w:val="00C64D42"/>
    <w:rsid w:val="00C64EB2"/>
    <w:rsid w:val="00C64FD7"/>
    <w:rsid w:val="00C65076"/>
    <w:rsid w:val="00C650EE"/>
    <w:rsid w:val="00C6533F"/>
    <w:rsid w:val="00C65388"/>
    <w:rsid w:val="00C654B7"/>
    <w:rsid w:val="00C65569"/>
    <w:rsid w:val="00C6558F"/>
    <w:rsid w:val="00C656D2"/>
    <w:rsid w:val="00C6576D"/>
    <w:rsid w:val="00C6581E"/>
    <w:rsid w:val="00C6587F"/>
    <w:rsid w:val="00C658E3"/>
    <w:rsid w:val="00C65A57"/>
    <w:rsid w:val="00C65A5B"/>
    <w:rsid w:val="00C65AEC"/>
    <w:rsid w:val="00C65B70"/>
    <w:rsid w:val="00C65E6C"/>
    <w:rsid w:val="00C65ED2"/>
    <w:rsid w:val="00C65FC7"/>
    <w:rsid w:val="00C66049"/>
    <w:rsid w:val="00C660DD"/>
    <w:rsid w:val="00C66187"/>
    <w:rsid w:val="00C661DA"/>
    <w:rsid w:val="00C66288"/>
    <w:rsid w:val="00C66296"/>
    <w:rsid w:val="00C663C8"/>
    <w:rsid w:val="00C663D4"/>
    <w:rsid w:val="00C66744"/>
    <w:rsid w:val="00C66863"/>
    <w:rsid w:val="00C668C8"/>
    <w:rsid w:val="00C668E5"/>
    <w:rsid w:val="00C6693D"/>
    <w:rsid w:val="00C669AC"/>
    <w:rsid w:val="00C66AD5"/>
    <w:rsid w:val="00C66B9D"/>
    <w:rsid w:val="00C66BE9"/>
    <w:rsid w:val="00C67001"/>
    <w:rsid w:val="00C67142"/>
    <w:rsid w:val="00C672E5"/>
    <w:rsid w:val="00C6732A"/>
    <w:rsid w:val="00C6735B"/>
    <w:rsid w:val="00C67398"/>
    <w:rsid w:val="00C673A2"/>
    <w:rsid w:val="00C673F7"/>
    <w:rsid w:val="00C674E4"/>
    <w:rsid w:val="00C67598"/>
    <w:rsid w:val="00C67757"/>
    <w:rsid w:val="00C6778B"/>
    <w:rsid w:val="00C678F1"/>
    <w:rsid w:val="00C6796E"/>
    <w:rsid w:val="00C67E38"/>
    <w:rsid w:val="00C67E86"/>
    <w:rsid w:val="00C67F96"/>
    <w:rsid w:val="00C67FB3"/>
    <w:rsid w:val="00C70049"/>
    <w:rsid w:val="00C70097"/>
    <w:rsid w:val="00C703C9"/>
    <w:rsid w:val="00C70400"/>
    <w:rsid w:val="00C705E7"/>
    <w:rsid w:val="00C7063F"/>
    <w:rsid w:val="00C7066E"/>
    <w:rsid w:val="00C70749"/>
    <w:rsid w:val="00C7074A"/>
    <w:rsid w:val="00C70765"/>
    <w:rsid w:val="00C7092D"/>
    <w:rsid w:val="00C70D41"/>
    <w:rsid w:val="00C70D8A"/>
    <w:rsid w:val="00C70ECB"/>
    <w:rsid w:val="00C70F63"/>
    <w:rsid w:val="00C70F87"/>
    <w:rsid w:val="00C710A9"/>
    <w:rsid w:val="00C71148"/>
    <w:rsid w:val="00C7139F"/>
    <w:rsid w:val="00C7146C"/>
    <w:rsid w:val="00C7163F"/>
    <w:rsid w:val="00C7183B"/>
    <w:rsid w:val="00C7193E"/>
    <w:rsid w:val="00C71971"/>
    <w:rsid w:val="00C71976"/>
    <w:rsid w:val="00C71B0B"/>
    <w:rsid w:val="00C71CB3"/>
    <w:rsid w:val="00C71EB8"/>
    <w:rsid w:val="00C71EEB"/>
    <w:rsid w:val="00C71FD7"/>
    <w:rsid w:val="00C7205F"/>
    <w:rsid w:val="00C720EE"/>
    <w:rsid w:val="00C720FD"/>
    <w:rsid w:val="00C72263"/>
    <w:rsid w:val="00C72280"/>
    <w:rsid w:val="00C7236B"/>
    <w:rsid w:val="00C7238D"/>
    <w:rsid w:val="00C7249B"/>
    <w:rsid w:val="00C724C9"/>
    <w:rsid w:val="00C72525"/>
    <w:rsid w:val="00C7258A"/>
    <w:rsid w:val="00C72670"/>
    <w:rsid w:val="00C72683"/>
    <w:rsid w:val="00C72802"/>
    <w:rsid w:val="00C72A28"/>
    <w:rsid w:val="00C72BBD"/>
    <w:rsid w:val="00C72D1D"/>
    <w:rsid w:val="00C72F9E"/>
    <w:rsid w:val="00C73272"/>
    <w:rsid w:val="00C7332C"/>
    <w:rsid w:val="00C7335B"/>
    <w:rsid w:val="00C7344A"/>
    <w:rsid w:val="00C734E2"/>
    <w:rsid w:val="00C7362E"/>
    <w:rsid w:val="00C7367D"/>
    <w:rsid w:val="00C736B6"/>
    <w:rsid w:val="00C73705"/>
    <w:rsid w:val="00C7371F"/>
    <w:rsid w:val="00C738BE"/>
    <w:rsid w:val="00C73916"/>
    <w:rsid w:val="00C7397C"/>
    <w:rsid w:val="00C7397F"/>
    <w:rsid w:val="00C739ED"/>
    <w:rsid w:val="00C73A15"/>
    <w:rsid w:val="00C73BD2"/>
    <w:rsid w:val="00C73CE8"/>
    <w:rsid w:val="00C73E6E"/>
    <w:rsid w:val="00C73EB3"/>
    <w:rsid w:val="00C73F4A"/>
    <w:rsid w:val="00C73F7C"/>
    <w:rsid w:val="00C73FF9"/>
    <w:rsid w:val="00C74035"/>
    <w:rsid w:val="00C7406C"/>
    <w:rsid w:val="00C74082"/>
    <w:rsid w:val="00C7408A"/>
    <w:rsid w:val="00C74143"/>
    <w:rsid w:val="00C74152"/>
    <w:rsid w:val="00C74228"/>
    <w:rsid w:val="00C74291"/>
    <w:rsid w:val="00C742F6"/>
    <w:rsid w:val="00C743D9"/>
    <w:rsid w:val="00C7443E"/>
    <w:rsid w:val="00C744D7"/>
    <w:rsid w:val="00C745A0"/>
    <w:rsid w:val="00C74704"/>
    <w:rsid w:val="00C747DD"/>
    <w:rsid w:val="00C747E1"/>
    <w:rsid w:val="00C74851"/>
    <w:rsid w:val="00C74939"/>
    <w:rsid w:val="00C7494B"/>
    <w:rsid w:val="00C749C8"/>
    <w:rsid w:val="00C74B1C"/>
    <w:rsid w:val="00C74B42"/>
    <w:rsid w:val="00C74C6C"/>
    <w:rsid w:val="00C74D8C"/>
    <w:rsid w:val="00C74E5A"/>
    <w:rsid w:val="00C74EE1"/>
    <w:rsid w:val="00C74F6B"/>
    <w:rsid w:val="00C74FFB"/>
    <w:rsid w:val="00C7500D"/>
    <w:rsid w:val="00C7510C"/>
    <w:rsid w:val="00C75154"/>
    <w:rsid w:val="00C75294"/>
    <w:rsid w:val="00C752D4"/>
    <w:rsid w:val="00C75374"/>
    <w:rsid w:val="00C754C5"/>
    <w:rsid w:val="00C75548"/>
    <w:rsid w:val="00C75615"/>
    <w:rsid w:val="00C75636"/>
    <w:rsid w:val="00C7565F"/>
    <w:rsid w:val="00C7584D"/>
    <w:rsid w:val="00C75A31"/>
    <w:rsid w:val="00C75A3C"/>
    <w:rsid w:val="00C75A7F"/>
    <w:rsid w:val="00C75AB2"/>
    <w:rsid w:val="00C75BD4"/>
    <w:rsid w:val="00C75CCF"/>
    <w:rsid w:val="00C75CE6"/>
    <w:rsid w:val="00C76010"/>
    <w:rsid w:val="00C7601D"/>
    <w:rsid w:val="00C760C3"/>
    <w:rsid w:val="00C76497"/>
    <w:rsid w:val="00C765D3"/>
    <w:rsid w:val="00C7671F"/>
    <w:rsid w:val="00C767DE"/>
    <w:rsid w:val="00C76897"/>
    <w:rsid w:val="00C76A25"/>
    <w:rsid w:val="00C76A28"/>
    <w:rsid w:val="00C76A5A"/>
    <w:rsid w:val="00C76B39"/>
    <w:rsid w:val="00C76D6B"/>
    <w:rsid w:val="00C76E76"/>
    <w:rsid w:val="00C76F92"/>
    <w:rsid w:val="00C77098"/>
    <w:rsid w:val="00C77116"/>
    <w:rsid w:val="00C7717F"/>
    <w:rsid w:val="00C771B0"/>
    <w:rsid w:val="00C771EE"/>
    <w:rsid w:val="00C77228"/>
    <w:rsid w:val="00C77235"/>
    <w:rsid w:val="00C7736A"/>
    <w:rsid w:val="00C7750E"/>
    <w:rsid w:val="00C77668"/>
    <w:rsid w:val="00C7766D"/>
    <w:rsid w:val="00C7769C"/>
    <w:rsid w:val="00C77728"/>
    <w:rsid w:val="00C77830"/>
    <w:rsid w:val="00C7787D"/>
    <w:rsid w:val="00C778DB"/>
    <w:rsid w:val="00C779F0"/>
    <w:rsid w:val="00C77A42"/>
    <w:rsid w:val="00C77BE2"/>
    <w:rsid w:val="00C77CD3"/>
    <w:rsid w:val="00C77D51"/>
    <w:rsid w:val="00C77E47"/>
    <w:rsid w:val="00C800D1"/>
    <w:rsid w:val="00C800D4"/>
    <w:rsid w:val="00C801FD"/>
    <w:rsid w:val="00C8022F"/>
    <w:rsid w:val="00C8036D"/>
    <w:rsid w:val="00C8039C"/>
    <w:rsid w:val="00C80417"/>
    <w:rsid w:val="00C80497"/>
    <w:rsid w:val="00C805D4"/>
    <w:rsid w:val="00C80693"/>
    <w:rsid w:val="00C807A4"/>
    <w:rsid w:val="00C808C2"/>
    <w:rsid w:val="00C808FB"/>
    <w:rsid w:val="00C8098B"/>
    <w:rsid w:val="00C80AA5"/>
    <w:rsid w:val="00C80AF3"/>
    <w:rsid w:val="00C80BAA"/>
    <w:rsid w:val="00C80BFF"/>
    <w:rsid w:val="00C80C20"/>
    <w:rsid w:val="00C80D7D"/>
    <w:rsid w:val="00C80DF9"/>
    <w:rsid w:val="00C80EF9"/>
    <w:rsid w:val="00C810A7"/>
    <w:rsid w:val="00C8134B"/>
    <w:rsid w:val="00C8145A"/>
    <w:rsid w:val="00C81471"/>
    <w:rsid w:val="00C8155D"/>
    <w:rsid w:val="00C81572"/>
    <w:rsid w:val="00C8184F"/>
    <w:rsid w:val="00C8185C"/>
    <w:rsid w:val="00C8190D"/>
    <w:rsid w:val="00C81972"/>
    <w:rsid w:val="00C81B9E"/>
    <w:rsid w:val="00C81BD9"/>
    <w:rsid w:val="00C81C7C"/>
    <w:rsid w:val="00C81D26"/>
    <w:rsid w:val="00C81DBE"/>
    <w:rsid w:val="00C81DC4"/>
    <w:rsid w:val="00C81DD3"/>
    <w:rsid w:val="00C81E09"/>
    <w:rsid w:val="00C82045"/>
    <w:rsid w:val="00C820E8"/>
    <w:rsid w:val="00C82155"/>
    <w:rsid w:val="00C82245"/>
    <w:rsid w:val="00C82247"/>
    <w:rsid w:val="00C82339"/>
    <w:rsid w:val="00C82354"/>
    <w:rsid w:val="00C82373"/>
    <w:rsid w:val="00C824A5"/>
    <w:rsid w:val="00C824C4"/>
    <w:rsid w:val="00C824D5"/>
    <w:rsid w:val="00C82519"/>
    <w:rsid w:val="00C8255A"/>
    <w:rsid w:val="00C8270F"/>
    <w:rsid w:val="00C8272A"/>
    <w:rsid w:val="00C82755"/>
    <w:rsid w:val="00C82AE9"/>
    <w:rsid w:val="00C82B44"/>
    <w:rsid w:val="00C82C48"/>
    <w:rsid w:val="00C82E04"/>
    <w:rsid w:val="00C82E35"/>
    <w:rsid w:val="00C82E45"/>
    <w:rsid w:val="00C82FAF"/>
    <w:rsid w:val="00C83136"/>
    <w:rsid w:val="00C83294"/>
    <w:rsid w:val="00C832ED"/>
    <w:rsid w:val="00C832FB"/>
    <w:rsid w:val="00C8334D"/>
    <w:rsid w:val="00C833E1"/>
    <w:rsid w:val="00C83686"/>
    <w:rsid w:val="00C8377B"/>
    <w:rsid w:val="00C8382A"/>
    <w:rsid w:val="00C83858"/>
    <w:rsid w:val="00C83A4A"/>
    <w:rsid w:val="00C83A7F"/>
    <w:rsid w:val="00C83D60"/>
    <w:rsid w:val="00C83D69"/>
    <w:rsid w:val="00C83DE2"/>
    <w:rsid w:val="00C83E0D"/>
    <w:rsid w:val="00C83E40"/>
    <w:rsid w:val="00C83E65"/>
    <w:rsid w:val="00C83F18"/>
    <w:rsid w:val="00C840AB"/>
    <w:rsid w:val="00C840C0"/>
    <w:rsid w:val="00C84130"/>
    <w:rsid w:val="00C842AC"/>
    <w:rsid w:val="00C842D4"/>
    <w:rsid w:val="00C84317"/>
    <w:rsid w:val="00C8431F"/>
    <w:rsid w:val="00C843A8"/>
    <w:rsid w:val="00C846E8"/>
    <w:rsid w:val="00C84829"/>
    <w:rsid w:val="00C84972"/>
    <w:rsid w:val="00C84A89"/>
    <w:rsid w:val="00C84E1E"/>
    <w:rsid w:val="00C84E47"/>
    <w:rsid w:val="00C84F3B"/>
    <w:rsid w:val="00C84F6B"/>
    <w:rsid w:val="00C8514A"/>
    <w:rsid w:val="00C8527B"/>
    <w:rsid w:val="00C853F6"/>
    <w:rsid w:val="00C8542E"/>
    <w:rsid w:val="00C85480"/>
    <w:rsid w:val="00C85583"/>
    <w:rsid w:val="00C8569D"/>
    <w:rsid w:val="00C856B4"/>
    <w:rsid w:val="00C856E3"/>
    <w:rsid w:val="00C85713"/>
    <w:rsid w:val="00C858C8"/>
    <w:rsid w:val="00C859BC"/>
    <w:rsid w:val="00C859EC"/>
    <w:rsid w:val="00C85B10"/>
    <w:rsid w:val="00C85B7B"/>
    <w:rsid w:val="00C85BA2"/>
    <w:rsid w:val="00C85BDE"/>
    <w:rsid w:val="00C85C22"/>
    <w:rsid w:val="00C85DE4"/>
    <w:rsid w:val="00C85ED1"/>
    <w:rsid w:val="00C85F13"/>
    <w:rsid w:val="00C86002"/>
    <w:rsid w:val="00C8607C"/>
    <w:rsid w:val="00C861A0"/>
    <w:rsid w:val="00C86265"/>
    <w:rsid w:val="00C8630E"/>
    <w:rsid w:val="00C864A7"/>
    <w:rsid w:val="00C864D8"/>
    <w:rsid w:val="00C86670"/>
    <w:rsid w:val="00C866D1"/>
    <w:rsid w:val="00C867F3"/>
    <w:rsid w:val="00C86898"/>
    <w:rsid w:val="00C86A02"/>
    <w:rsid w:val="00C86D82"/>
    <w:rsid w:val="00C86E58"/>
    <w:rsid w:val="00C87250"/>
    <w:rsid w:val="00C87277"/>
    <w:rsid w:val="00C87379"/>
    <w:rsid w:val="00C87620"/>
    <w:rsid w:val="00C87870"/>
    <w:rsid w:val="00C878F4"/>
    <w:rsid w:val="00C8792C"/>
    <w:rsid w:val="00C879EF"/>
    <w:rsid w:val="00C87AAC"/>
    <w:rsid w:val="00C87B0E"/>
    <w:rsid w:val="00C87CE6"/>
    <w:rsid w:val="00C87DA4"/>
    <w:rsid w:val="00C87E63"/>
    <w:rsid w:val="00C87FDE"/>
    <w:rsid w:val="00C90081"/>
    <w:rsid w:val="00C901DB"/>
    <w:rsid w:val="00C90425"/>
    <w:rsid w:val="00C90489"/>
    <w:rsid w:val="00C905E1"/>
    <w:rsid w:val="00C9067D"/>
    <w:rsid w:val="00C90874"/>
    <w:rsid w:val="00C90879"/>
    <w:rsid w:val="00C90920"/>
    <w:rsid w:val="00C909AA"/>
    <w:rsid w:val="00C90A35"/>
    <w:rsid w:val="00C90A53"/>
    <w:rsid w:val="00C90C59"/>
    <w:rsid w:val="00C90D8C"/>
    <w:rsid w:val="00C90E1D"/>
    <w:rsid w:val="00C90E57"/>
    <w:rsid w:val="00C90E6B"/>
    <w:rsid w:val="00C90F5E"/>
    <w:rsid w:val="00C9103B"/>
    <w:rsid w:val="00C91080"/>
    <w:rsid w:val="00C910CE"/>
    <w:rsid w:val="00C91146"/>
    <w:rsid w:val="00C9114D"/>
    <w:rsid w:val="00C91626"/>
    <w:rsid w:val="00C91644"/>
    <w:rsid w:val="00C91670"/>
    <w:rsid w:val="00C916E2"/>
    <w:rsid w:val="00C9174F"/>
    <w:rsid w:val="00C91774"/>
    <w:rsid w:val="00C9185B"/>
    <w:rsid w:val="00C9187A"/>
    <w:rsid w:val="00C918ED"/>
    <w:rsid w:val="00C919EA"/>
    <w:rsid w:val="00C91A0C"/>
    <w:rsid w:val="00C91AB8"/>
    <w:rsid w:val="00C91B33"/>
    <w:rsid w:val="00C91B51"/>
    <w:rsid w:val="00C91BAB"/>
    <w:rsid w:val="00C91BF1"/>
    <w:rsid w:val="00C91D72"/>
    <w:rsid w:val="00C91DB8"/>
    <w:rsid w:val="00C91DEC"/>
    <w:rsid w:val="00C91F02"/>
    <w:rsid w:val="00C92047"/>
    <w:rsid w:val="00C9208B"/>
    <w:rsid w:val="00C920C1"/>
    <w:rsid w:val="00C92181"/>
    <w:rsid w:val="00C922B4"/>
    <w:rsid w:val="00C92827"/>
    <w:rsid w:val="00C92A21"/>
    <w:rsid w:val="00C92A26"/>
    <w:rsid w:val="00C92C3B"/>
    <w:rsid w:val="00C92E07"/>
    <w:rsid w:val="00C92E80"/>
    <w:rsid w:val="00C92F16"/>
    <w:rsid w:val="00C9308D"/>
    <w:rsid w:val="00C933E1"/>
    <w:rsid w:val="00C93446"/>
    <w:rsid w:val="00C93683"/>
    <w:rsid w:val="00C93904"/>
    <w:rsid w:val="00C93BC7"/>
    <w:rsid w:val="00C93C00"/>
    <w:rsid w:val="00C93CD0"/>
    <w:rsid w:val="00C93DC9"/>
    <w:rsid w:val="00C93F9C"/>
    <w:rsid w:val="00C93FBD"/>
    <w:rsid w:val="00C93FF4"/>
    <w:rsid w:val="00C941A3"/>
    <w:rsid w:val="00C941EB"/>
    <w:rsid w:val="00C94278"/>
    <w:rsid w:val="00C942A4"/>
    <w:rsid w:val="00C942EA"/>
    <w:rsid w:val="00C9438E"/>
    <w:rsid w:val="00C943B3"/>
    <w:rsid w:val="00C943D8"/>
    <w:rsid w:val="00C94434"/>
    <w:rsid w:val="00C944FC"/>
    <w:rsid w:val="00C9452D"/>
    <w:rsid w:val="00C945C9"/>
    <w:rsid w:val="00C946EE"/>
    <w:rsid w:val="00C948C3"/>
    <w:rsid w:val="00C94902"/>
    <w:rsid w:val="00C9491F"/>
    <w:rsid w:val="00C9498C"/>
    <w:rsid w:val="00C94A57"/>
    <w:rsid w:val="00C94B25"/>
    <w:rsid w:val="00C94B30"/>
    <w:rsid w:val="00C94B39"/>
    <w:rsid w:val="00C94C1D"/>
    <w:rsid w:val="00C94C77"/>
    <w:rsid w:val="00C94D79"/>
    <w:rsid w:val="00C94F46"/>
    <w:rsid w:val="00C950F6"/>
    <w:rsid w:val="00C951B4"/>
    <w:rsid w:val="00C951C8"/>
    <w:rsid w:val="00C95209"/>
    <w:rsid w:val="00C9530F"/>
    <w:rsid w:val="00C953E1"/>
    <w:rsid w:val="00C95512"/>
    <w:rsid w:val="00C9564A"/>
    <w:rsid w:val="00C9570F"/>
    <w:rsid w:val="00C9577C"/>
    <w:rsid w:val="00C95831"/>
    <w:rsid w:val="00C95852"/>
    <w:rsid w:val="00C9598F"/>
    <w:rsid w:val="00C959F3"/>
    <w:rsid w:val="00C959F8"/>
    <w:rsid w:val="00C95BEA"/>
    <w:rsid w:val="00C95CA1"/>
    <w:rsid w:val="00C95D45"/>
    <w:rsid w:val="00C95F3A"/>
    <w:rsid w:val="00C95F80"/>
    <w:rsid w:val="00C95F8B"/>
    <w:rsid w:val="00C95FF8"/>
    <w:rsid w:val="00C961CB"/>
    <w:rsid w:val="00C96268"/>
    <w:rsid w:val="00C963BC"/>
    <w:rsid w:val="00C96539"/>
    <w:rsid w:val="00C966FB"/>
    <w:rsid w:val="00C96806"/>
    <w:rsid w:val="00C96886"/>
    <w:rsid w:val="00C969A4"/>
    <w:rsid w:val="00C969B3"/>
    <w:rsid w:val="00C969B4"/>
    <w:rsid w:val="00C96BB1"/>
    <w:rsid w:val="00C96BD4"/>
    <w:rsid w:val="00C96D1C"/>
    <w:rsid w:val="00C96E77"/>
    <w:rsid w:val="00C96E99"/>
    <w:rsid w:val="00C96EC5"/>
    <w:rsid w:val="00C96EFB"/>
    <w:rsid w:val="00C9702B"/>
    <w:rsid w:val="00C97050"/>
    <w:rsid w:val="00C9716D"/>
    <w:rsid w:val="00C97173"/>
    <w:rsid w:val="00C97245"/>
    <w:rsid w:val="00C972EA"/>
    <w:rsid w:val="00C973DD"/>
    <w:rsid w:val="00C974CA"/>
    <w:rsid w:val="00C974F8"/>
    <w:rsid w:val="00C9776E"/>
    <w:rsid w:val="00C97774"/>
    <w:rsid w:val="00C97872"/>
    <w:rsid w:val="00C97965"/>
    <w:rsid w:val="00C97D31"/>
    <w:rsid w:val="00C97FB2"/>
    <w:rsid w:val="00C97FEF"/>
    <w:rsid w:val="00CA001F"/>
    <w:rsid w:val="00CA0035"/>
    <w:rsid w:val="00CA02E1"/>
    <w:rsid w:val="00CA0342"/>
    <w:rsid w:val="00CA039A"/>
    <w:rsid w:val="00CA049C"/>
    <w:rsid w:val="00CA06D2"/>
    <w:rsid w:val="00CA07B8"/>
    <w:rsid w:val="00CA07CD"/>
    <w:rsid w:val="00CA095D"/>
    <w:rsid w:val="00CA0B04"/>
    <w:rsid w:val="00CA0B24"/>
    <w:rsid w:val="00CA0B49"/>
    <w:rsid w:val="00CA0DBF"/>
    <w:rsid w:val="00CA0EDB"/>
    <w:rsid w:val="00CA118E"/>
    <w:rsid w:val="00CA1199"/>
    <w:rsid w:val="00CA12C8"/>
    <w:rsid w:val="00CA15E3"/>
    <w:rsid w:val="00CA1625"/>
    <w:rsid w:val="00CA168A"/>
    <w:rsid w:val="00CA17F0"/>
    <w:rsid w:val="00CA18C1"/>
    <w:rsid w:val="00CA1A2E"/>
    <w:rsid w:val="00CA1A8C"/>
    <w:rsid w:val="00CA1A9F"/>
    <w:rsid w:val="00CA1AC1"/>
    <w:rsid w:val="00CA1B0D"/>
    <w:rsid w:val="00CA1B7F"/>
    <w:rsid w:val="00CA1B80"/>
    <w:rsid w:val="00CA1C35"/>
    <w:rsid w:val="00CA1CC1"/>
    <w:rsid w:val="00CA1CD1"/>
    <w:rsid w:val="00CA1E76"/>
    <w:rsid w:val="00CA1ED4"/>
    <w:rsid w:val="00CA1ED5"/>
    <w:rsid w:val="00CA1F9E"/>
    <w:rsid w:val="00CA2145"/>
    <w:rsid w:val="00CA2170"/>
    <w:rsid w:val="00CA2172"/>
    <w:rsid w:val="00CA226D"/>
    <w:rsid w:val="00CA2363"/>
    <w:rsid w:val="00CA23B6"/>
    <w:rsid w:val="00CA2414"/>
    <w:rsid w:val="00CA2556"/>
    <w:rsid w:val="00CA2597"/>
    <w:rsid w:val="00CA25CC"/>
    <w:rsid w:val="00CA25D9"/>
    <w:rsid w:val="00CA26EF"/>
    <w:rsid w:val="00CA275A"/>
    <w:rsid w:val="00CA276F"/>
    <w:rsid w:val="00CA27E9"/>
    <w:rsid w:val="00CA2924"/>
    <w:rsid w:val="00CA2953"/>
    <w:rsid w:val="00CA2989"/>
    <w:rsid w:val="00CA2B6E"/>
    <w:rsid w:val="00CA2C2D"/>
    <w:rsid w:val="00CA2C44"/>
    <w:rsid w:val="00CA2DC2"/>
    <w:rsid w:val="00CA2FEB"/>
    <w:rsid w:val="00CA3066"/>
    <w:rsid w:val="00CA30F6"/>
    <w:rsid w:val="00CA31BC"/>
    <w:rsid w:val="00CA3205"/>
    <w:rsid w:val="00CA3322"/>
    <w:rsid w:val="00CA3324"/>
    <w:rsid w:val="00CA339A"/>
    <w:rsid w:val="00CA34C1"/>
    <w:rsid w:val="00CA359B"/>
    <w:rsid w:val="00CA3619"/>
    <w:rsid w:val="00CA381B"/>
    <w:rsid w:val="00CA382D"/>
    <w:rsid w:val="00CA38BF"/>
    <w:rsid w:val="00CA397E"/>
    <w:rsid w:val="00CA3A08"/>
    <w:rsid w:val="00CA3B59"/>
    <w:rsid w:val="00CA3B6C"/>
    <w:rsid w:val="00CA3B83"/>
    <w:rsid w:val="00CA3D87"/>
    <w:rsid w:val="00CA3DDF"/>
    <w:rsid w:val="00CA3E22"/>
    <w:rsid w:val="00CA3F78"/>
    <w:rsid w:val="00CA407C"/>
    <w:rsid w:val="00CA40BE"/>
    <w:rsid w:val="00CA4181"/>
    <w:rsid w:val="00CA4191"/>
    <w:rsid w:val="00CA4259"/>
    <w:rsid w:val="00CA4379"/>
    <w:rsid w:val="00CA4446"/>
    <w:rsid w:val="00CA4546"/>
    <w:rsid w:val="00CA45F5"/>
    <w:rsid w:val="00CA460D"/>
    <w:rsid w:val="00CA4658"/>
    <w:rsid w:val="00CA471C"/>
    <w:rsid w:val="00CA4728"/>
    <w:rsid w:val="00CA47A9"/>
    <w:rsid w:val="00CA48E3"/>
    <w:rsid w:val="00CA496C"/>
    <w:rsid w:val="00CA499C"/>
    <w:rsid w:val="00CA49B3"/>
    <w:rsid w:val="00CA4A00"/>
    <w:rsid w:val="00CA4A0C"/>
    <w:rsid w:val="00CA4C7F"/>
    <w:rsid w:val="00CA4C86"/>
    <w:rsid w:val="00CA4CC3"/>
    <w:rsid w:val="00CA4CEF"/>
    <w:rsid w:val="00CA4DF2"/>
    <w:rsid w:val="00CA4E55"/>
    <w:rsid w:val="00CA4E87"/>
    <w:rsid w:val="00CA4E91"/>
    <w:rsid w:val="00CA4EFC"/>
    <w:rsid w:val="00CA4F09"/>
    <w:rsid w:val="00CA500C"/>
    <w:rsid w:val="00CA508B"/>
    <w:rsid w:val="00CA50A2"/>
    <w:rsid w:val="00CA5120"/>
    <w:rsid w:val="00CA51C7"/>
    <w:rsid w:val="00CA51E4"/>
    <w:rsid w:val="00CA51E9"/>
    <w:rsid w:val="00CA5236"/>
    <w:rsid w:val="00CA5478"/>
    <w:rsid w:val="00CA5542"/>
    <w:rsid w:val="00CA554F"/>
    <w:rsid w:val="00CA5615"/>
    <w:rsid w:val="00CA5661"/>
    <w:rsid w:val="00CA56D3"/>
    <w:rsid w:val="00CA56FA"/>
    <w:rsid w:val="00CA5817"/>
    <w:rsid w:val="00CA58D7"/>
    <w:rsid w:val="00CA58EA"/>
    <w:rsid w:val="00CA5C06"/>
    <w:rsid w:val="00CA5CF8"/>
    <w:rsid w:val="00CA5D7B"/>
    <w:rsid w:val="00CA5D87"/>
    <w:rsid w:val="00CA5F72"/>
    <w:rsid w:val="00CA5F86"/>
    <w:rsid w:val="00CA6043"/>
    <w:rsid w:val="00CA614D"/>
    <w:rsid w:val="00CA61B3"/>
    <w:rsid w:val="00CA620F"/>
    <w:rsid w:val="00CA626D"/>
    <w:rsid w:val="00CA629F"/>
    <w:rsid w:val="00CA62AD"/>
    <w:rsid w:val="00CA63CB"/>
    <w:rsid w:val="00CA63D3"/>
    <w:rsid w:val="00CA64A8"/>
    <w:rsid w:val="00CA666B"/>
    <w:rsid w:val="00CA66F4"/>
    <w:rsid w:val="00CA6709"/>
    <w:rsid w:val="00CA67B4"/>
    <w:rsid w:val="00CA687D"/>
    <w:rsid w:val="00CA6B8F"/>
    <w:rsid w:val="00CA6B93"/>
    <w:rsid w:val="00CA6C69"/>
    <w:rsid w:val="00CA6C8B"/>
    <w:rsid w:val="00CA6DBB"/>
    <w:rsid w:val="00CA6E02"/>
    <w:rsid w:val="00CA6E04"/>
    <w:rsid w:val="00CA7073"/>
    <w:rsid w:val="00CA70C1"/>
    <w:rsid w:val="00CA7259"/>
    <w:rsid w:val="00CA72AE"/>
    <w:rsid w:val="00CA747A"/>
    <w:rsid w:val="00CA7588"/>
    <w:rsid w:val="00CA7647"/>
    <w:rsid w:val="00CA76FC"/>
    <w:rsid w:val="00CA775E"/>
    <w:rsid w:val="00CA7803"/>
    <w:rsid w:val="00CA78F2"/>
    <w:rsid w:val="00CA7947"/>
    <w:rsid w:val="00CA7998"/>
    <w:rsid w:val="00CA79B8"/>
    <w:rsid w:val="00CA7B5C"/>
    <w:rsid w:val="00CA7C14"/>
    <w:rsid w:val="00CA7D89"/>
    <w:rsid w:val="00CA7F0B"/>
    <w:rsid w:val="00CB0070"/>
    <w:rsid w:val="00CB00C9"/>
    <w:rsid w:val="00CB0189"/>
    <w:rsid w:val="00CB0462"/>
    <w:rsid w:val="00CB0486"/>
    <w:rsid w:val="00CB04EE"/>
    <w:rsid w:val="00CB05C3"/>
    <w:rsid w:val="00CB062B"/>
    <w:rsid w:val="00CB06AF"/>
    <w:rsid w:val="00CB07DF"/>
    <w:rsid w:val="00CB08BB"/>
    <w:rsid w:val="00CB0903"/>
    <w:rsid w:val="00CB0917"/>
    <w:rsid w:val="00CB095F"/>
    <w:rsid w:val="00CB0A2D"/>
    <w:rsid w:val="00CB0B2B"/>
    <w:rsid w:val="00CB0D82"/>
    <w:rsid w:val="00CB0FD1"/>
    <w:rsid w:val="00CB1040"/>
    <w:rsid w:val="00CB10BE"/>
    <w:rsid w:val="00CB11B8"/>
    <w:rsid w:val="00CB11FA"/>
    <w:rsid w:val="00CB12C5"/>
    <w:rsid w:val="00CB12FF"/>
    <w:rsid w:val="00CB1431"/>
    <w:rsid w:val="00CB14DE"/>
    <w:rsid w:val="00CB158C"/>
    <w:rsid w:val="00CB159A"/>
    <w:rsid w:val="00CB1619"/>
    <w:rsid w:val="00CB16D4"/>
    <w:rsid w:val="00CB1781"/>
    <w:rsid w:val="00CB189F"/>
    <w:rsid w:val="00CB1909"/>
    <w:rsid w:val="00CB19A5"/>
    <w:rsid w:val="00CB19A9"/>
    <w:rsid w:val="00CB1A47"/>
    <w:rsid w:val="00CB1E40"/>
    <w:rsid w:val="00CB2072"/>
    <w:rsid w:val="00CB2106"/>
    <w:rsid w:val="00CB21A0"/>
    <w:rsid w:val="00CB22DE"/>
    <w:rsid w:val="00CB2432"/>
    <w:rsid w:val="00CB244B"/>
    <w:rsid w:val="00CB24F7"/>
    <w:rsid w:val="00CB2653"/>
    <w:rsid w:val="00CB26FB"/>
    <w:rsid w:val="00CB2842"/>
    <w:rsid w:val="00CB28B3"/>
    <w:rsid w:val="00CB299F"/>
    <w:rsid w:val="00CB2A6B"/>
    <w:rsid w:val="00CB2B0D"/>
    <w:rsid w:val="00CB2D9C"/>
    <w:rsid w:val="00CB2EC9"/>
    <w:rsid w:val="00CB3096"/>
    <w:rsid w:val="00CB30D0"/>
    <w:rsid w:val="00CB31A6"/>
    <w:rsid w:val="00CB3308"/>
    <w:rsid w:val="00CB373E"/>
    <w:rsid w:val="00CB37E2"/>
    <w:rsid w:val="00CB382D"/>
    <w:rsid w:val="00CB387C"/>
    <w:rsid w:val="00CB3944"/>
    <w:rsid w:val="00CB3A8D"/>
    <w:rsid w:val="00CB3B10"/>
    <w:rsid w:val="00CB3B7D"/>
    <w:rsid w:val="00CB3D67"/>
    <w:rsid w:val="00CB3DB8"/>
    <w:rsid w:val="00CB3E49"/>
    <w:rsid w:val="00CB3FAE"/>
    <w:rsid w:val="00CB3FB9"/>
    <w:rsid w:val="00CB3FF0"/>
    <w:rsid w:val="00CB4154"/>
    <w:rsid w:val="00CB41A9"/>
    <w:rsid w:val="00CB41B7"/>
    <w:rsid w:val="00CB41B9"/>
    <w:rsid w:val="00CB434C"/>
    <w:rsid w:val="00CB441E"/>
    <w:rsid w:val="00CB4597"/>
    <w:rsid w:val="00CB4637"/>
    <w:rsid w:val="00CB4661"/>
    <w:rsid w:val="00CB499B"/>
    <w:rsid w:val="00CB4BB6"/>
    <w:rsid w:val="00CB4C00"/>
    <w:rsid w:val="00CB4DA2"/>
    <w:rsid w:val="00CB4DD5"/>
    <w:rsid w:val="00CB4E0B"/>
    <w:rsid w:val="00CB4E59"/>
    <w:rsid w:val="00CB51AE"/>
    <w:rsid w:val="00CB5304"/>
    <w:rsid w:val="00CB53AD"/>
    <w:rsid w:val="00CB542A"/>
    <w:rsid w:val="00CB5457"/>
    <w:rsid w:val="00CB55F0"/>
    <w:rsid w:val="00CB560B"/>
    <w:rsid w:val="00CB582E"/>
    <w:rsid w:val="00CB5842"/>
    <w:rsid w:val="00CB5A65"/>
    <w:rsid w:val="00CB5AC8"/>
    <w:rsid w:val="00CB5B51"/>
    <w:rsid w:val="00CB5C00"/>
    <w:rsid w:val="00CB5C28"/>
    <w:rsid w:val="00CB5C74"/>
    <w:rsid w:val="00CB5C9A"/>
    <w:rsid w:val="00CB5D30"/>
    <w:rsid w:val="00CB6076"/>
    <w:rsid w:val="00CB612B"/>
    <w:rsid w:val="00CB613B"/>
    <w:rsid w:val="00CB615B"/>
    <w:rsid w:val="00CB62B7"/>
    <w:rsid w:val="00CB635A"/>
    <w:rsid w:val="00CB636D"/>
    <w:rsid w:val="00CB6463"/>
    <w:rsid w:val="00CB6615"/>
    <w:rsid w:val="00CB66BE"/>
    <w:rsid w:val="00CB6877"/>
    <w:rsid w:val="00CB6C2B"/>
    <w:rsid w:val="00CB6D62"/>
    <w:rsid w:val="00CB6E54"/>
    <w:rsid w:val="00CB6EB3"/>
    <w:rsid w:val="00CB6FCB"/>
    <w:rsid w:val="00CB708B"/>
    <w:rsid w:val="00CB71D3"/>
    <w:rsid w:val="00CB7339"/>
    <w:rsid w:val="00CB7422"/>
    <w:rsid w:val="00CB7431"/>
    <w:rsid w:val="00CB75AB"/>
    <w:rsid w:val="00CB7764"/>
    <w:rsid w:val="00CB7769"/>
    <w:rsid w:val="00CB78E6"/>
    <w:rsid w:val="00CB79CE"/>
    <w:rsid w:val="00CB7C52"/>
    <w:rsid w:val="00CB7D44"/>
    <w:rsid w:val="00CB7EC0"/>
    <w:rsid w:val="00CB7EDE"/>
    <w:rsid w:val="00CB7F5F"/>
    <w:rsid w:val="00CC0044"/>
    <w:rsid w:val="00CC01C5"/>
    <w:rsid w:val="00CC03CE"/>
    <w:rsid w:val="00CC04D3"/>
    <w:rsid w:val="00CC06A2"/>
    <w:rsid w:val="00CC06D3"/>
    <w:rsid w:val="00CC0703"/>
    <w:rsid w:val="00CC070E"/>
    <w:rsid w:val="00CC0764"/>
    <w:rsid w:val="00CC0765"/>
    <w:rsid w:val="00CC08E1"/>
    <w:rsid w:val="00CC0C11"/>
    <w:rsid w:val="00CC0D33"/>
    <w:rsid w:val="00CC10BE"/>
    <w:rsid w:val="00CC1105"/>
    <w:rsid w:val="00CC115F"/>
    <w:rsid w:val="00CC140E"/>
    <w:rsid w:val="00CC15BF"/>
    <w:rsid w:val="00CC1692"/>
    <w:rsid w:val="00CC169C"/>
    <w:rsid w:val="00CC1771"/>
    <w:rsid w:val="00CC1862"/>
    <w:rsid w:val="00CC1977"/>
    <w:rsid w:val="00CC19F3"/>
    <w:rsid w:val="00CC1ADD"/>
    <w:rsid w:val="00CC1B14"/>
    <w:rsid w:val="00CC1B2D"/>
    <w:rsid w:val="00CC1C76"/>
    <w:rsid w:val="00CC1CAF"/>
    <w:rsid w:val="00CC1E9A"/>
    <w:rsid w:val="00CC21A7"/>
    <w:rsid w:val="00CC21CC"/>
    <w:rsid w:val="00CC221D"/>
    <w:rsid w:val="00CC228B"/>
    <w:rsid w:val="00CC22EB"/>
    <w:rsid w:val="00CC22FD"/>
    <w:rsid w:val="00CC23A0"/>
    <w:rsid w:val="00CC2517"/>
    <w:rsid w:val="00CC2546"/>
    <w:rsid w:val="00CC2585"/>
    <w:rsid w:val="00CC2645"/>
    <w:rsid w:val="00CC2657"/>
    <w:rsid w:val="00CC269B"/>
    <w:rsid w:val="00CC2872"/>
    <w:rsid w:val="00CC2902"/>
    <w:rsid w:val="00CC2A96"/>
    <w:rsid w:val="00CC2A99"/>
    <w:rsid w:val="00CC2B3A"/>
    <w:rsid w:val="00CC2B74"/>
    <w:rsid w:val="00CC2BE1"/>
    <w:rsid w:val="00CC2DE0"/>
    <w:rsid w:val="00CC2ED3"/>
    <w:rsid w:val="00CC30B1"/>
    <w:rsid w:val="00CC31BA"/>
    <w:rsid w:val="00CC3331"/>
    <w:rsid w:val="00CC34EA"/>
    <w:rsid w:val="00CC34EF"/>
    <w:rsid w:val="00CC352B"/>
    <w:rsid w:val="00CC35DA"/>
    <w:rsid w:val="00CC387B"/>
    <w:rsid w:val="00CC38F7"/>
    <w:rsid w:val="00CC3CF1"/>
    <w:rsid w:val="00CC3D4F"/>
    <w:rsid w:val="00CC3DA0"/>
    <w:rsid w:val="00CC3EC1"/>
    <w:rsid w:val="00CC4163"/>
    <w:rsid w:val="00CC41E1"/>
    <w:rsid w:val="00CC42AF"/>
    <w:rsid w:val="00CC441B"/>
    <w:rsid w:val="00CC444B"/>
    <w:rsid w:val="00CC4602"/>
    <w:rsid w:val="00CC46BB"/>
    <w:rsid w:val="00CC46F0"/>
    <w:rsid w:val="00CC476D"/>
    <w:rsid w:val="00CC4770"/>
    <w:rsid w:val="00CC47BD"/>
    <w:rsid w:val="00CC47CE"/>
    <w:rsid w:val="00CC47D6"/>
    <w:rsid w:val="00CC48FF"/>
    <w:rsid w:val="00CC4A82"/>
    <w:rsid w:val="00CC4AA6"/>
    <w:rsid w:val="00CC4B15"/>
    <w:rsid w:val="00CC4D31"/>
    <w:rsid w:val="00CC4E15"/>
    <w:rsid w:val="00CC4E45"/>
    <w:rsid w:val="00CC4E6D"/>
    <w:rsid w:val="00CC4F39"/>
    <w:rsid w:val="00CC500C"/>
    <w:rsid w:val="00CC507B"/>
    <w:rsid w:val="00CC5218"/>
    <w:rsid w:val="00CC52C0"/>
    <w:rsid w:val="00CC53EB"/>
    <w:rsid w:val="00CC559E"/>
    <w:rsid w:val="00CC586A"/>
    <w:rsid w:val="00CC5904"/>
    <w:rsid w:val="00CC5ABB"/>
    <w:rsid w:val="00CC5C6E"/>
    <w:rsid w:val="00CC5E15"/>
    <w:rsid w:val="00CC5E39"/>
    <w:rsid w:val="00CC60B8"/>
    <w:rsid w:val="00CC64E3"/>
    <w:rsid w:val="00CC6595"/>
    <w:rsid w:val="00CC65CD"/>
    <w:rsid w:val="00CC660E"/>
    <w:rsid w:val="00CC6676"/>
    <w:rsid w:val="00CC6AD6"/>
    <w:rsid w:val="00CC6BE6"/>
    <w:rsid w:val="00CC6D13"/>
    <w:rsid w:val="00CC6D28"/>
    <w:rsid w:val="00CC6D2D"/>
    <w:rsid w:val="00CC6D3D"/>
    <w:rsid w:val="00CC6F8C"/>
    <w:rsid w:val="00CC6F8D"/>
    <w:rsid w:val="00CC719E"/>
    <w:rsid w:val="00CC7238"/>
    <w:rsid w:val="00CC72D4"/>
    <w:rsid w:val="00CC7313"/>
    <w:rsid w:val="00CC741D"/>
    <w:rsid w:val="00CC7439"/>
    <w:rsid w:val="00CC752A"/>
    <w:rsid w:val="00CC7538"/>
    <w:rsid w:val="00CC773E"/>
    <w:rsid w:val="00CC77B5"/>
    <w:rsid w:val="00CC77D1"/>
    <w:rsid w:val="00CC77F3"/>
    <w:rsid w:val="00CC7865"/>
    <w:rsid w:val="00CC7881"/>
    <w:rsid w:val="00CC78B3"/>
    <w:rsid w:val="00CC7A9D"/>
    <w:rsid w:val="00CC7B0E"/>
    <w:rsid w:val="00CC7BB8"/>
    <w:rsid w:val="00CC7C0C"/>
    <w:rsid w:val="00CC7C8F"/>
    <w:rsid w:val="00CC7D92"/>
    <w:rsid w:val="00CC7DCE"/>
    <w:rsid w:val="00CC7E1F"/>
    <w:rsid w:val="00CC7F14"/>
    <w:rsid w:val="00CD0179"/>
    <w:rsid w:val="00CD01A2"/>
    <w:rsid w:val="00CD03DF"/>
    <w:rsid w:val="00CD0400"/>
    <w:rsid w:val="00CD0431"/>
    <w:rsid w:val="00CD045B"/>
    <w:rsid w:val="00CD057E"/>
    <w:rsid w:val="00CD05D1"/>
    <w:rsid w:val="00CD05D3"/>
    <w:rsid w:val="00CD076A"/>
    <w:rsid w:val="00CD07D3"/>
    <w:rsid w:val="00CD0833"/>
    <w:rsid w:val="00CD08B9"/>
    <w:rsid w:val="00CD0A0E"/>
    <w:rsid w:val="00CD0A94"/>
    <w:rsid w:val="00CD0BEE"/>
    <w:rsid w:val="00CD0CB5"/>
    <w:rsid w:val="00CD0E72"/>
    <w:rsid w:val="00CD0F7E"/>
    <w:rsid w:val="00CD107D"/>
    <w:rsid w:val="00CD115E"/>
    <w:rsid w:val="00CD1184"/>
    <w:rsid w:val="00CD1203"/>
    <w:rsid w:val="00CD1219"/>
    <w:rsid w:val="00CD15A7"/>
    <w:rsid w:val="00CD1679"/>
    <w:rsid w:val="00CD168B"/>
    <w:rsid w:val="00CD16E8"/>
    <w:rsid w:val="00CD170A"/>
    <w:rsid w:val="00CD1950"/>
    <w:rsid w:val="00CD195B"/>
    <w:rsid w:val="00CD1A42"/>
    <w:rsid w:val="00CD1F99"/>
    <w:rsid w:val="00CD1FD5"/>
    <w:rsid w:val="00CD2122"/>
    <w:rsid w:val="00CD2317"/>
    <w:rsid w:val="00CD2322"/>
    <w:rsid w:val="00CD232D"/>
    <w:rsid w:val="00CD2399"/>
    <w:rsid w:val="00CD242D"/>
    <w:rsid w:val="00CD24D2"/>
    <w:rsid w:val="00CD25F1"/>
    <w:rsid w:val="00CD2683"/>
    <w:rsid w:val="00CD268B"/>
    <w:rsid w:val="00CD26B7"/>
    <w:rsid w:val="00CD27F3"/>
    <w:rsid w:val="00CD2833"/>
    <w:rsid w:val="00CD2C75"/>
    <w:rsid w:val="00CD2C90"/>
    <w:rsid w:val="00CD2D03"/>
    <w:rsid w:val="00CD2D3C"/>
    <w:rsid w:val="00CD2E04"/>
    <w:rsid w:val="00CD2E36"/>
    <w:rsid w:val="00CD2E85"/>
    <w:rsid w:val="00CD2F2A"/>
    <w:rsid w:val="00CD3079"/>
    <w:rsid w:val="00CD33F5"/>
    <w:rsid w:val="00CD3661"/>
    <w:rsid w:val="00CD36C3"/>
    <w:rsid w:val="00CD3820"/>
    <w:rsid w:val="00CD3831"/>
    <w:rsid w:val="00CD384D"/>
    <w:rsid w:val="00CD3861"/>
    <w:rsid w:val="00CD387A"/>
    <w:rsid w:val="00CD3A05"/>
    <w:rsid w:val="00CD3A4D"/>
    <w:rsid w:val="00CD3C6F"/>
    <w:rsid w:val="00CD3DE6"/>
    <w:rsid w:val="00CD3E54"/>
    <w:rsid w:val="00CD4019"/>
    <w:rsid w:val="00CD40E2"/>
    <w:rsid w:val="00CD40EE"/>
    <w:rsid w:val="00CD40F7"/>
    <w:rsid w:val="00CD4248"/>
    <w:rsid w:val="00CD4276"/>
    <w:rsid w:val="00CD4355"/>
    <w:rsid w:val="00CD43F8"/>
    <w:rsid w:val="00CD440E"/>
    <w:rsid w:val="00CD4427"/>
    <w:rsid w:val="00CD4682"/>
    <w:rsid w:val="00CD4788"/>
    <w:rsid w:val="00CD4939"/>
    <w:rsid w:val="00CD4A1C"/>
    <w:rsid w:val="00CD4BD1"/>
    <w:rsid w:val="00CD4C7B"/>
    <w:rsid w:val="00CD4CDD"/>
    <w:rsid w:val="00CD4D36"/>
    <w:rsid w:val="00CD4D9C"/>
    <w:rsid w:val="00CD4DEF"/>
    <w:rsid w:val="00CD4E71"/>
    <w:rsid w:val="00CD4FEF"/>
    <w:rsid w:val="00CD50A1"/>
    <w:rsid w:val="00CD50F9"/>
    <w:rsid w:val="00CD51FA"/>
    <w:rsid w:val="00CD5339"/>
    <w:rsid w:val="00CD5CCB"/>
    <w:rsid w:val="00CD5E40"/>
    <w:rsid w:val="00CD5E45"/>
    <w:rsid w:val="00CD5EC5"/>
    <w:rsid w:val="00CD615E"/>
    <w:rsid w:val="00CD61F9"/>
    <w:rsid w:val="00CD6232"/>
    <w:rsid w:val="00CD639D"/>
    <w:rsid w:val="00CD6544"/>
    <w:rsid w:val="00CD673F"/>
    <w:rsid w:val="00CD69C9"/>
    <w:rsid w:val="00CD6A86"/>
    <w:rsid w:val="00CD6AA6"/>
    <w:rsid w:val="00CD6AD6"/>
    <w:rsid w:val="00CD6AE5"/>
    <w:rsid w:val="00CD6B9A"/>
    <w:rsid w:val="00CD6C73"/>
    <w:rsid w:val="00CD6C97"/>
    <w:rsid w:val="00CD6D89"/>
    <w:rsid w:val="00CD6F28"/>
    <w:rsid w:val="00CD6FCF"/>
    <w:rsid w:val="00CD7303"/>
    <w:rsid w:val="00CD7423"/>
    <w:rsid w:val="00CD7437"/>
    <w:rsid w:val="00CD7679"/>
    <w:rsid w:val="00CD76B0"/>
    <w:rsid w:val="00CD76EB"/>
    <w:rsid w:val="00CD76F5"/>
    <w:rsid w:val="00CD787B"/>
    <w:rsid w:val="00CD7936"/>
    <w:rsid w:val="00CD7A25"/>
    <w:rsid w:val="00CD7A68"/>
    <w:rsid w:val="00CD7AE5"/>
    <w:rsid w:val="00CD7C70"/>
    <w:rsid w:val="00CD7E9B"/>
    <w:rsid w:val="00CD7F19"/>
    <w:rsid w:val="00CD7F73"/>
    <w:rsid w:val="00CD7F8C"/>
    <w:rsid w:val="00CE0020"/>
    <w:rsid w:val="00CE0204"/>
    <w:rsid w:val="00CE0260"/>
    <w:rsid w:val="00CE03E3"/>
    <w:rsid w:val="00CE0492"/>
    <w:rsid w:val="00CE0546"/>
    <w:rsid w:val="00CE0852"/>
    <w:rsid w:val="00CE0930"/>
    <w:rsid w:val="00CE09B2"/>
    <w:rsid w:val="00CE0AE3"/>
    <w:rsid w:val="00CE0B15"/>
    <w:rsid w:val="00CE0BDA"/>
    <w:rsid w:val="00CE0CA7"/>
    <w:rsid w:val="00CE0D00"/>
    <w:rsid w:val="00CE0E8C"/>
    <w:rsid w:val="00CE1186"/>
    <w:rsid w:val="00CE11D2"/>
    <w:rsid w:val="00CE1249"/>
    <w:rsid w:val="00CE125E"/>
    <w:rsid w:val="00CE128F"/>
    <w:rsid w:val="00CE12C6"/>
    <w:rsid w:val="00CE12FE"/>
    <w:rsid w:val="00CE14B8"/>
    <w:rsid w:val="00CE15AE"/>
    <w:rsid w:val="00CE1682"/>
    <w:rsid w:val="00CE16A1"/>
    <w:rsid w:val="00CE17E5"/>
    <w:rsid w:val="00CE192F"/>
    <w:rsid w:val="00CE1B0D"/>
    <w:rsid w:val="00CE1C58"/>
    <w:rsid w:val="00CE1D0B"/>
    <w:rsid w:val="00CE1E8B"/>
    <w:rsid w:val="00CE1FB1"/>
    <w:rsid w:val="00CE2038"/>
    <w:rsid w:val="00CE209D"/>
    <w:rsid w:val="00CE2296"/>
    <w:rsid w:val="00CE2297"/>
    <w:rsid w:val="00CE22DE"/>
    <w:rsid w:val="00CE257E"/>
    <w:rsid w:val="00CE25C3"/>
    <w:rsid w:val="00CE2607"/>
    <w:rsid w:val="00CE26BD"/>
    <w:rsid w:val="00CE2735"/>
    <w:rsid w:val="00CE274B"/>
    <w:rsid w:val="00CE2779"/>
    <w:rsid w:val="00CE28DC"/>
    <w:rsid w:val="00CE28EB"/>
    <w:rsid w:val="00CE28F5"/>
    <w:rsid w:val="00CE2A9F"/>
    <w:rsid w:val="00CE2D48"/>
    <w:rsid w:val="00CE2D88"/>
    <w:rsid w:val="00CE2F2A"/>
    <w:rsid w:val="00CE2FB8"/>
    <w:rsid w:val="00CE2FBE"/>
    <w:rsid w:val="00CE2FDF"/>
    <w:rsid w:val="00CE3095"/>
    <w:rsid w:val="00CE30FB"/>
    <w:rsid w:val="00CE3118"/>
    <w:rsid w:val="00CE318F"/>
    <w:rsid w:val="00CE31AE"/>
    <w:rsid w:val="00CE3251"/>
    <w:rsid w:val="00CE3266"/>
    <w:rsid w:val="00CE32F1"/>
    <w:rsid w:val="00CE335A"/>
    <w:rsid w:val="00CE33A6"/>
    <w:rsid w:val="00CE33D5"/>
    <w:rsid w:val="00CE33E5"/>
    <w:rsid w:val="00CE3463"/>
    <w:rsid w:val="00CE364B"/>
    <w:rsid w:val="00CE3844"/>
    <w:rsid w:val="00CE384A"/>
    <w:rsid w:val="00CE384E"/>
    <w:rsid w:val="00CE3879"/>
    <w:rsid w:val="00CE38A5"/>
    <w:rsid w:val="00CE38C0"/>
    <w:rsid w:val="00CE38D2"/>
    <w:rsid w:val="00CE3971"/>
    <w:rsid w:val="00CE3A4E"/>
    <w:rsid w:val="00CE3A5A"/>
    <w:rsid w:val="00CE3BC1"/>
    <w:rsid w:val="00CE3D1F"/>
    <w:rsid w:val="00CE3DF1"/>
    <w:rsid w:val="00CE3F84"/>
    <w:rsid w:val="00CE402C"/>
    <w:rsid w:val="00CE403B"/>
    <w:rsid w:val="00CE404F"/>
    <w:rsid w:val="00CE40C0"/>
    <w:rsid w:val="00CE4218"/>
    <w:rsid w:val="00CE42B1"/>
    <w:rsid w:val="00CE43FD"/>
    <w:rsid w:val="00CE441C"/>
    <w:rsid w:val="00CE4517"/>
    <w:rsid w:val="00CE4662"/>
    <w:rsid w:val="00CE46A7"/>
    <w:rsid w:val="00CE474E"/>
    <w:rsid w:val="00CE48CF"/>
    <w:rsid w:val="00CE49CF"/>
    <w:rsid w:val="00CE4AB8"/>
    <w:rsid w:val="00CE4B0A"/>
    <w:rsid w:val="00CE4CAF"/>
    <w:rsid w:val="00CE4EC3"/>
    <w:rsid w:val="00CE4F3F"/>
    <w:rsid w:val="00CE4F46"/>
    <w:rsid w:val="00CE517E"/>
    <w:rsid w:val="00CE5203"/>
    <w:rsid w:val="00CE52AB"/>
    <w:rsid w:val="00CE53ED"/>
    <w:rsid w:val="00CE54A4"/>
    <w:rsid w:val="00CE5567"/>
    <w:rsid w:val="00CE57CF"/>
    <w:rsid w:val="00CE5819"/>
    <w:rsid w:val="00CE587A"/>
    <w:rsid w:val="00CE5890"/>
    <w:rsid w:val="00CE58F2"/>
    <w:rsid w:val="00CE59D7"/>
    <w:rsid w:val="00CE59F6"/>
    <w:rsid w:val="00CE59FD"/>
    <w:rsid w:val="00CE5D6E"/>
    <w:rsid w:val="00CE5DA6"/>
    <w:rsid w:val="00CE5F37"/>
    <w:rsid w:val="00CE62B1"/>
    <w:rsid w:val="00CE64D3"/>
    <w:rsid w:val="00CE652B"/>
    <w:rsid w:val="00CE663A"/>
    <w:rsid w:val="00CE678E"/>
    <w:rsid w:val="00CE67C3"/>
    <w:rsid w:val="00CE67FF"/>
    <w:rsid w:val="00CE6917"/>
    <w:rsid w:val="00CE6938"/>
    <w:rsid w:val="00CE69A3"/>
    <w:rsid w:val="00CE6A72"/>
    <w:rsid w:val="00CE6A7D"/>
    <w:rsid w:val="00CE6A8A"/>
    <w:rsid w:val="00CE6BB1"/>
    <w:rsid w:val="00CE6C2D"/>
    <w:rsid w:val="00CE6C7B"/>
    <w:rsid w:val="00CE6CD7"/>
    <w:rsid w:val="00CE6E01"/>
    <w:rsid w:val="00CE6EC6"/>
    <w:rsid w:val="00CE6EF3"/>
    <w:rsid w:val="00CE703F"/>
    <w:rsid w:val="00CE7090"/>
    <w:rsid w:val="00CE7097"/>
    <w:rsid w:val="00CE72BA"/>
    <w:rsid w:val="00CE737F"/>
    <w:rsid w:val="00CE73BE"/>
    <w:rsid w:val="00CE74A5"/>
    <w:rsid w:val="00CE74B8"/>
    <w:rsid w:val="00CE752B"/>
    <w:rsid w:val="00CE7770"/>
    <w:rsid w:val="00CE7939"/>
    <w:rsid w:val="00CE798B"/>
    <w:rsid w:val="00CE79B2"/>
    <w:rsid w:val="00CE7A11"/>
    <w:rsid w:val="00CE7B6C"/>
    <w:rsid w:val="00CE7BA3"/>
    <w:rsid w:val="00CE7C1C"/>
    <w:rsid w:val="00CE7C71"/>
    <w:rsid w:val="00CE7E41"/>
    <w:rsid w:val="00CE7E95"/>
    <w:rsid w:val="00CE7EB7"/>
    <w:rsid w:val="00CF037E"/>
    <w:rsid w:val="00CF0385"/>
    <w:rsid w:val="00CF03A2"/>
    <w:rsid w:val="00CF048A"/>
    <w:rsid w:val="00CF0540"/>
    <w:rsid w:val="00CF0561"/>
    <w:rsid w:val="00CF065D"/>
    <w:rsid w:val="00CF06DD"/>
    <w:rsid w:val="00CF077E"/>
    <w:rsid w:val="00CF0798"/>
    <w:rsid w:val="00CF0863"/>
    <w:rsid w:val="00CF0916"/>
    <w:rsid w:val="00CF0C00"/>
    <w:rsid w:val="00CF0C43"/>
    <w:rsid w:val="00CF0E13"/>
    <w:rsid w:val="00CF0E5A"/>
    <w:rsid w:val="00CF0E86"/>
    <w:rsid w:val="00CF1075"/>
    <w:rsid w:val="00CF1095"/>
    <w:rsid w:val="00CF10CD"/>
    <w:rsid w:val="00CF10F3"/>
    <w:rsid w:val="00CF1126"/>
    <w:rsid w:val="00CF11C5"/>
    <w:rsid w:val="00CF1233"/>
    <w:rsid w:val="00CF125F"/>
    <w:rsid w:val="00CF12F8"/>
    <w:rsid w:val="00CF13CF"/>
    <w:rsid w:val="00CF1449"/>
    <w:rsid w:val="00CF1494"/>
    <w:rsid w:val="00CF1623"/>
    <w:rsid w:val="00CF1649"/>
    <w:rsid w:val="00CF16A3"/>
    <w:rsid w:val="00CF1751"/>
    <w:rsid w:val="00CF175C"/>
    <w:rsid w:val="00CF17DD"/>
    <w:rsid w:val="00CF1940"/>
    <w:rsid w:val="00CF198F"/>
    <w:rsid w:val="00CF1A06"/>
    <w:rsid w:val="00CF1A31"/>
    <w:rsid w:val="00CF1C68"/>
    <w:rsid w:val="00CF1CA0"/>
    <w:rsid w:val="00CF1D3C"/>
    <w:rsid w:val="00CF1E9A"/>
    <w:rsid w:val="00CF1EDA"/>
    <w:rsid w:val="00CF1FF5"/>
    <w:rsid w:val="00CF21E5"/>
    <w:rsid w:val="00CF22CF"/>
    <w:rsid w:val="00CF2318"/>
    <w:rsid w:val="00CF2324"/>
    <w:rsid w:val="00CF2463"/>
    <w:rsid w:val="00CF24F9"/>
    <w:rsid w:val="00CF26D9"/>
    <w:rsid w:val="00CF273D"/>
    <w:rsid w:val="00CF2819"/>
    <w:rsid w:val="00CF28AC"/>
    <w:rsid w:val="00CF29E3"/>
    <w:rsid w:val="00CF2CC9"/>
    <w:rsid w:val="00CF2F60"/>
    <w:rsid w:val="00CF2F7F"/>
    <w:rsid w:val="00CF3003"/>
    <w:rsid w:val="00CF30AE"/>
    <w:rsid w:val="00CF333B"/>
    <w:rsid w:val="00CF34AE"/>
    <w:rsid w:val="00CF34E1"/>
    <w:rsid w:val="00CF36C6"/>
    <w:rsid w:val="00CF384A"/>
    <w:rsid w:val="00CF3896"/>
    <w:rsid w:val="00CF38FC"/>
    <w:rsid w:val="00CF3A5B"/>
    <w:rsid w:val="00CF3A61"/>
    <w:rsid w:val="00CF3B36"/>
    <w:rsid w:val="00CF3B4A"/>
    <w:rsid w:val="00CF3BCB"/>
    <w:rsid w:val="00CF3BE6"/>
    <w:rsid w:val="00CF3CDD"/>
    <w:rsid w:val="00CF3DCD"/>
    <w:rsid w:val="00CF3EDF"/>
    <w:rsid w:val="00CF404E"/>
    <w:rsid w:val="00CF41BB"/>
    <w:rsid w:val="00CF42AA"/>
    <w:rsid w:val="00CF4318"/>
    <w:rsid w:val="00CF431B"/>
    <w:rsid w:val="00CF441C"/>
    <w:rsid w:val="00CF441E"/>
    <w:rsid w:val="00CF448B"/>
    <w:rsid w:val="00CF448F"/>
    <w:rsid w:val="00CF4493"/>
    <w:rsid w:val="00CF451A"/>
    <w:rsid w:val="00CF4565"/>
    <w:rsid w:val="00CF4656"/>
    <w:rsid w:val="00CF4705"/>
    <w:rsid w:val="00CF478E"/>
    <w:rsid w:val="00CF48FC"/>
    <w:rsid w:val="00CF4C78"/>
    <w:rsid w:val="00CF4DA6"/>
    <w:rsid w:val="00CF4F12"/>
    <w:rsid w:val="00CF4F47"/>
    <w:rsid w:val="00CF500A"/>
    <w:rsid w:val="00CF5099"/>
    <w:rsid w:val="00CF51BE"/>
    <w:rsid w:val="00CF51D1"/>
    <w:rsid w:val="00CF51EF"/>
    <w:rsid w:val="00CF51F7"/>
    <w:rsid w:val="00CF5278"/>
    <w:rsid w:val="00CF5295"/>
    <w:rsid w:val="00CF5659"/>
    <w:rsid w:val="00CF5931"/>
    <w:rsid w:val="00CF5937"/>
    <w:rsid w:val="00CF5AC0"/>
    <w:rsid w:val="00CF5AE0"/>
    <w:rsid w:val="00CF5B3F"/>
    <w:rsid w:val="00CF5D56"/>
    <w:rsid w:val="00CF5F91"/>
    <w:rsid w:val="00CF640E"/>
    <w:rsid w:val="00CF6461"/>
    <w:rsid w:val="00CF64C1"/>
    <w:rsid w:val="00CF64F6"/>
    <w:rsid w:val="00CF6520"/>
    <w:rsid w:val="00CF670D"/>
    <w:rsid w:val="00CF6787"/>
    <w:rsid w:val="00CF69E7"/>
    <w:rsid w:val="00CF6A39"/>
    <w:rsid w:val="00CF6C63"/>
    <w:rsid w:val="00CF6DD4"/>
    <w:rsid w:val="00CF7484"/>
    <w:rsid w:val="00CF748E"/>
    <w:rsid w:val="00CF749B"/>
    <w:rsid w:val="00CF772B"/>
    <w:rsid w:val="00CF7923"/>
    <w:rsid w:val="00CF79F8"/>
    <w:rsid w:val="00CF7A6B"/>
    <w:rsid w:val="00CF7A9F"/>
    <w:rsid w:val="00CF7AD7"/>
    <w:rsid w:val="00CF7B93"/>
    <w:rsid w:val="00CF7BFC"/>
    <w:rsid w:val="00CF7D96"/>
    <w:rsid w:val="00CF7F6A"/>
    <w:rsid w:val="00D00038"/>
    <w:rsid w:val="00D000EB"/>
    <w:rsid w:val="00D00334"/>
    <w:rsid w:val="00D0033D"/>
    <w:rsid w:val="00D0039B"/>
    <w:rsid w:val="00D005FC"/>
    <w:rsid w:val="00D00616"/>
    <w:rsid w:val="00D007ED"/>
    <w:rsid w:val="00D00806"/>
    <w:rsid w:val="00D008B5"/>
    <w:rsid w:val="00D00A79"/>
    <w:rsid w:val="00D00A91"/>
    <w:rsid w:val="00D00B64"/>
    <w:rsid w:val="00D00BAD"/>
    <w:rsid w:val="00D00C20"/>
    <w:rsid w:val="00D00DBD"/>
    <w:rsid w:val="00D00E4D"/>
    <w:rsid w:val="00D00EB6"/>
    <w:rsid w:val="00D00F33"/>
    <w:rsid w:val="00D00F5D"/>
    <w:rsid w:val="00D00F79"/>
    <w:rsid w:val="00D00F9F"/>
    <w:rsid w:val="00D00FE4"/>
    <w:rsid w:val="00D01122"/>
    <w:rsid w:val="00D011EC"/>
    <w:rsid w:val="00D011FF"/>
    <w:rsid w:val="00D01256"/>
    <w:rsid w:val="00D01373"/>
    <w:rsid w:val="00D01434"/>
    <w:rsid w:val="00D01590"/>
    <w:rsid w:val="00D01596"/>
    <w:rsid w:val="00D0163F"/>
    <w:rsid w:val="00D0171C"/>
    <w:rsid w:val="00D01978"/>
    <w:rsid w:val="00D019E5"/>
    <w:rsid w:val="00D01C88"/>
    <w:rsid w:val="00D01E61"/>
    <w:rsid w:val="00D01EFB"/>
    <w:rsid w:val="00D01FE1"/>
    <w:rsid w:val="00D0200E"/>
    <w:rsid w:val="00D02012"/>
    <w:rsid w:val="00D02051"/>
    <w:rsid w:val="00D02065"/>
    <w:rsid w:val="00D02106"/>
    <w:rsid w:val="00D02189"/>
    <w:rsid w:val="00D022BE"/>
    <w:rsid w:val="00D024B6"/>
    <w:rsid w:val="00D02508"/>
    <w:rsid w:val="00D026E6"/>
    <w:rsid w:val="00D02748"/>
    <w:rsid w:val="00D02864"/>
    <w:rsid w:val="00D028AD"/>
    <w:rsid w:val="00D028B5"/>
    <w:rsid w:val="00D02939"/>
    <w:rsid w:val="00D02A08"/>
    <w:rsid w:val="00D02AFA"/>
    <w:rsid w:val="00D02B90"/>
    <w:rsid w:val="00D02CDE"/>
    <w:rsid w:val="00D02D27"/>
    <w:rsid w:val="00D02DC0"/>
    <w:rsid w:val="00D02DF7"/>
    <w:rsid w:val="00D02E31"/>
    <w:rsid w:val="00D02E53"/>
    <w:rsid w:val="00D02EDF"/>
    <w:rsid w:val="00D02FAC"/>
    <w:rsid w:val="00D0304C"/>
    <w:rsid w:val="00D0309E"/>
    <w:rsid w:val="00D0324B"/>
    <w:rsid w:val="00D0325E"/>
    <w:rsid w:val="00D0338D"/>
    <w:rsid w:val="00D037DC"/>
    <w:rsid w:val="00D03831"/>
    <w:rsid w:val="00D03890"/>
    <w:rsid w:val="00D03971"/>
    <w:rsid w:val="00D039A9"/>
    <w:rsid w:val="00D03AFD"/>
    <w:rsid w:val="00D03BAF"/>
    <w:rsid w:val="00D03C22"/>
    <w:rsid w:val="00D03CB5"/>
    <w:rsid w:val="00D03D42"/>
    <w:rsid w:val="00D03D81"/>
    <w:rsid w:val="00D03F66"/>
    <w:rsid w:val="00D03FC8"/>
    <w:rsid w:val="00D04169"/>
    <w:rsid w:val="00D04283"/>
    <w:rsid w:val="00D04554"/>
    <w:rsid w:val="00D04664"/>
    <w:rsid w:val="00D0467B"/>
    <w:rsid w:val="00D04746"/>
    <w:rsid w:val="00D04775"/>
    <w:rsid w:val="00D04782"/>
    <w:rsid w:val="00D0492C"/>
    <w:rsid w:val="00D049C6"/>
    <w:rsid w:val="00D049E9"/>
    <w:rsid w:val="00D049EE"/>
    <w:rsid w:val="00D04B4A"/>
    <w:rsid w:val="00D04CBF"/>
    <w:rsid w:val="00D04CD1"/>
    <w:rsid w:val="00D04D26"/>
    <w:rsid w:val="00D04F36"/>
    <w:rsid w:val="00D04F94"/>
    <w:rsid w:val="00D05374"/>
    <w:rsid w:val="00D05565"/>
    <w:rsid w:val="00D055D3"/>
    <w:rsid w:val="00D05880"/>
    <w:rsid w:val="00D059B7"/>
    <w:rsid w:val="00D059BE"/>
    <w:rsid w:val="00D05B5E"/>
    <w:rsid w:val="00D05D11"/>
    <w:rsid w:val="00D05D57"/>
    <w:rsid w:val="00D05E03"/>
    <w:rsid w:val="00D05EF3"/>
    <w:rsid w:val="00D0609B"/>
    <w:rsid w:val="00D061D2"/>
    <w:rsid w:val="00D0622A"/>
    <w:rsid w:val="00D06266"/>
    <w:rsid w:val="00D062F9"/>
    <w:rsid w:val="00D0641F"/>
    <w:rsid w:val="00D0690B"/>
    <w:rsid w:val="00D06CA0"/>
    <w:rsid w:val="00D06CE2"/>
    <w:rsid w:val="00D06D90"/>
    <w:rsid w:val="00D06ECA"/>
    <w:rsid w:val="00D06F27"/>
    <w:rsid w:val="00D06F45"/>
    <w:rsid w:val="00D06F6C"/>
    <w:rsid w:val="00D06F9E"/>
    <w:rsid w:val="00D07111"/>
    <w:rsid w:val="00D07253"/>
    <w:rsid w:val="00D072C8"/>
    <w:rsid w:val="00D07423"/>
    <w:rsid w:val="00D0747E"/>
    <w:rsid w:val="00D0753C"/>
    <w:rsid w:val="00D07642"/>
    <w:rsid w:val="00D076B2"/>
    <w:rsid w:val="00D076C8"/>
    <w:rsid w:val="00D0771A"/>
    <w:rsid w:val="00D07747"/>
    <w:rsid w:val="00D077C9"/>
    <w:rsid w:val="00D0781B"/>
    <w:rsid w:val="00D07836"/>
    <w:rsid w:val="00D0783E"/>
    <w:rsid w:val="00D07977"/>
    <w:rsid w:val="00D079BA"/>
    <w:rsid w:val="00D07B36"/>
    <w:rsid w:val="00D07BB3"/>
    <w:rsid w:val="00D07C2B"/>
    <w:rsid w:val="00D07C89"/>
    <w:rsid w:val="00D10072"/>
    <w:rsid w:val="00D100C6"/>
    <w:rsid w:val="00D100D6"/>
    <w:rsid w:val="00D1029B"/>
    <w:rsid w:val="00D102B7"/>
    <w:rsid w:val="00D103B3"/>
    <w:rsid w:val="00D1042D"/>
    <w:rsid w:val="00D10459"/>
    <w:rsid w:val="00D1050F"/>
    <w:rsid w:val="00D10518"/>
    <w:rsid w:val="00D1059D"/>
    <w:rsid w:val="00D107FA"/>
    <w:rsid w:val="00D10826"/>
    <w:rsid w:val="00D1089F"/>
    <w:rsid w:val="00D10991"/>
    <w:rsid w:val="00D10AD9"/>
    <w:rsid w:val="00D10B75"/>
    <w:rsid w:val="00D10C0D"/>
    <w:rsid w:val="00D10C50"/>
    <w:rsid w:val="00D10DA7"/>
    <w:rsid w:val="00D10E19"/>
    <w:rsid w:val="00D10F02"/>
    <w:rsid w:val="00D10F7B"/>
    <w:rsid w:val="00D10F9A"/>
    <w:rsid w:val="00D110AE"/>
    <w:rsid w:val="00D1121B"/>
    <w:rsid w:val="00D11294"/>
    <w:rsid w:val="00D113C0"/>
    <w:rsid w:val="00D1159D"/>
    <w:rsid w:val="00D11691"/>
    <w:rsid w:val="00D116E2"/>
    <w:rsid w:val="00D1171D"/>
    <w:rsid w:val="00D11990"/>
    <w:rsid w:val="00D119EE"/>
    <w:rsid w:val="00D11D40"/>
    <w:rsid w:val="00D11E06"/>
    <w:rsid w:val="00D11E22"/>
    <w:rsid w:val="00D11FE8"/>
    <w:rsid w:val="00D11FFF"/>
    <w:rsid w:val="00D12064"/>
    <w:rsid w:val="00D1214B"/>
    <w:rsid w:val="00D12284"/>
    <w:rsid w:val="00D12368"/>
    <w:rsid w:val="00D123DD"/>
    <w:rsid w:val="00D123FC"/>
    <w:rsid w:val="00D1245C"/>
    <w:rsid w:val="00D124D5"/>
    <w:rsid w:val="00D124D9"/>
    <w:rsid w:val="00D12751"/>
    <w:rsid w:val="00D12848"/>
    <w:rsid w:val="00D128C7"/>
    <w:rsid w:val="00D129F4"/>
    <w:rsid w:val="00D12C89"/>
    <w:rsid w:val="00D12E6F"/>
    <w:rsid w:val="00D12E7B"/>
    <w:rsid w:val="00D12FBE"/>
    <w:rsid w:val="00D13137"/>
    <w:rsid w:val="00D13198"/>
    <w:rsid w:val="00D131E6"/>
    <w:rsid w:val="00D133B1"/>
    <w:rsid w:val="00D135E2"/>
    <w:rsid w:val="00D137F7"/>
    <w:rsid w:val="00D13941"/>
    <w:rsid w:val="00D13B10"/>
    <w:rsid w:val="00D13BFA"/>
    <w:rsid w:val="00D13C9A"/>
    <w:rsid w:val="00D13D47"/>
    <w:rsid w:val="00D13E8B"/>
    <w:rsid w:val="00D13E94"/>
    <w:rsid w:val="00D13ED8"/>
    <w:rsid w:val="00D13F52"/>
    <w:rsid w:val="00D14075"/>
    <w:rsid w:val="00D14245"/>
    <w:rsid w:val="00D142B0"/>
    <w:rsid w:val="00D1432D"/>
    <w:rsid w:val="00D143D5"/>
    <w:rsid w:val="00D1446E"/>
    <w:rsid w:val="00D1484B"/>
    <w:rsid w:val="00D14949"/>
    <w:rsid w:val="00D14A22"/>
    <w:rsid w:val="00D14A77"/>
    <w:rsid w:val="00D14B44"/>
    <w:rsid w:val="00D14C49"/>
    <w:rsid w:val="00D14D63"/>
    <w:rsid w:val="00D14E90"/>
    <w:rsid w:val="00D14F3E"/>
    <w:rsid w:val="00D15375"/>
    <w:rsid w:val="00D15387"/>
    <w:rsid w:val="00D155D1"/>
    <w:rsid w:val="00D1561E"/>
    <w:rsid w:val="00D15626"/>
    <w:rsid w:val="00D15660"/>
    <w:rsid w:val="00D1575D"/>
    <w:rsid w:val="00D15970"/>
    <w:rsid w:val="00D15BD9"/>
    <w:rsid w:val="00D15BEA"/>
    <w:rsid w:val="00D15EA8"/>
    <w:rsid w:val="00D1606D"/>
    <w:rsid w:val="00D160DC"/>
    <w:rsid w:val="00D1611D"/>
    <w:rsid w:val="00D16137"/>
    <w:rsid w:val="00D162A2"/>
    <w:rsid w:val="00D163DE"/>
    <w:rsid w:val="00D16475"/>
    <w:rsid w:val="00D1658F"/>
    <w:rsid w:val="00D166B1"/>
    <w:rsid w:val="00D166C5"/>
    <w:rsid w:val="00D166F3"/>
    <w:rsid w:val="00D16796"/>
    <w:rsid w:val="00D167A1"/>
    <w:rsid w:val="00D168B3"/>
    <w:rsid w:val="00D16945"/>
    <w:rsid w:val="00D16AA1"/>
    <w:rsid w:val="00D16ACE"/>
    <w:rsid w:val="00D16E28"/>
    <w:rsid w:val="00D16F5E"/>
    <w:rsid w:val="00D16FE4"/>
    <w:rsid w:val="00D17172"/>
    <w:rsid w:val="00D1719C"/>
    <w:rsid w:val="00D17286"/>
    <w:rsid w:val="00D1736B"/>
    <w:rsid w:val="00D173E8"/>
    <w:rsid w:val="00D17628"/>
    <w:rsid w:val="00D17635"/>
    <w:rsid w:val="00D17775"/>
    <w:rsid w:val="00D17790"/>
    <w:rsid w:val="00D17893"/>
    <w:rsid w:val="00D17908"/>
    <w:rsid w:val="00D17A3C"/>
    <w:rsid w:val="00D17B1D"/>
    <w:rsid w:val="00D17B3F"/>
    <w:rsid w:val="00D17B76"/>
    <w:rsid w:val="00D17B9B"/>
    <w:rsid w:val="00D17C4F"/>
    <w:rsid w:val="00D17CC7"/>
    <w:rsid w:val="00D17CF4"/>
    <w:rsid w:val="00D20040"/>
    <w:rsid w:val="00D20047"/>
    <w:rsid w:val="00D2010F"/>
    <w:rsid w:val="00D201A7"/>
    <w:rsid w:val="00D2031E"/>
    <w:rsid w:val="00D2043A"/>
    <w:rsid w:val="00D204BD"/>
    <w:rsid w:val="00D204DB"/>
    <w:rsid w:val="00D20A09"/>
    <w:rsid w:val="00D20A90"/>
    <w:rsid w:val="00D20BB5"/>
    <w:rsid w:val="00D20C0A"/>
    <w:rsid w:val="00D20C9B"/>
    <w:rsid w:val="00D20CAB"/>
    <w:rsid w:val="00D20CE6"/>
    <w:rsid w:val="00D20DB0"/>
    <w:rsid w:val="00D20F93"/>
    <w:rsid w:val="00D21155"/>
    <w:rsid w:val="00D211B8"/>
    <w:rsid w:val="00D211E5"/>
    <w:rsid w:val="00D21373"/>
    <w:rsid w:val="00D213D5"/>
    <w:rsid w:val="00D213E1"/>
    <w:rsid w:val="00D21438"/>
    <w:rsid w:val="00D21585"/>
    <w:rsid w:val="00D2158B"/>
    <w:rsid w:val="00D2167D"/>
    <w:rsid w:val="00D216AB"/>
    <w:rsid w:val="00D216C3"/>
    <w:rsid w:val="00D21702"/>
    <w:rsid w:val="00D2175C"/>
    <w:rsid w:val="00D218DF"/>
    <w:rsid w:val="00D218F6"/>
    <w:rsid w:val="00D219A3"/>
    <w:rsid w:val="00D219D3"/>
    <w:rsid w:val="00D21A48"/>
    <w:rsid w:val="00D21A49"/>
    <w:rsid w:val="00D21AD2"/>
    <w:rsid w:val="00D21D67"/>
    <w:rsid w:val="00D21DDC"/>
    <w:rsid w:val="00D21E23"/>
    <w:rsid w:val="00D21E65"/>
    <w:rsid w:val="00D21EA7"/>
    <w:rsid w:val="00D21F91"/>
    <w:rsid w:val="00D2206C"/>
    <w:rsid w:val="00D220C7"/>
    <w:rsid w:val="00D2214D"/>
    <w:rsid w:val="00D22238"/>
    <w:rsid w:val="00D2226B"/>
    <w:rsid w:val="00D222C3"/>
    <w:rsid w:val="00D22304"/>
    <w:rsid w:val="00D2233E"/>
    <w:rsid w:val="00D22428"/>
    <w:rsid w:val="00D2248A"/>
    <w:rsid w:val="00D2262A"/>
    <w:rsid w:val="00D226BA"/>
    <w:rsid w:val="00D2285F"/>
    <w:rsid w:val="00D228E4"/>
    <w:rsid w:val="00D22A5E"/>
    <w:rsid w:val="00D22C5B"/>
    <w:rsid w:val="00D22D0B"/>
    <w:rsid w:val="00D23046"/>
    <w:rsid w:val="00D2314B"/>
    <w:rsid w:val="00D23159"/>
    <w:rsid w:val="00D231B9"/>
    <w:rsid w:val="00D23275"/>
    <w:rsid w:val="00D232D8"/>
    <w:rsid w:val="00D2337C"/>
    <w:rsid w:val="00D2341E"/>
    <w:rsid w:val="00D2345C"/>
    <w:rsid w:val="00D234C0"/>
    <w:rsid w:val="00D235EB"/>
    <w:rsid w:val="00D2371F"/>
    <w:rsid w:val="00D23732"/>
    <w:rsid w:val="00D239AB"/>
    <w:rsid w:val="00D23A26"/>
    <w:rsid w:val="00D23A4B"/>
    <w:rsid w:val="00D23AB6"/>
    <w:rsid w:val="00D23AC9"/>
    <w:rsid w:val="00D23C03"/>
    <w:rsid w:val="00D23C42"/>
    <w:rsid w:val="00D23DBE"/>
    <w:rsid w:val="00D23FCE"/>
    <w:rsid w:val="00D2436F"/>
    <w:rsid w:val="00D2440C"/>
    <w:rsid w:val="00D244CE"/>
    <w:rsid w:val="00D245F6"/>
    <w:rsid w:val="00D2478B"/>
    <w:rsid w:val="00D247DE"/>
    <w:rsid w:val="00D24A62"/>
    <w:rsid w:val="00D24B25"/>
    <w:rsid w:val="00D24B70"/>
    <w:rsid w:val="00D24C1E"/>
    <w:rsid w:val="00D24C6E"/>
    <w:rsid w:val="00D24D41"/>
    <w:rsid w:val="00D24D4B"/>
    <w:rsid w:val="00D24E3A"/>
    <w:rsid w:val="00D24EB1"/>
    <w:rsid w:val="00D251AE"/>
    <w:rsid w:val="00D25251"/>
    <w:rsid w:val="00D25371"/>
    <w:rsid w:val="00D25603"/>
    <w:rsid w:val="00D25641"/>
    <w:rsid w:val="00D25677"/>
    <w:rsid w:val="00D2575C"/>
    <w:rsid w:val="00D258E4"/>
    <w:rsid w:val="00D25976"/>
    <w:rsid w:val="00D25AB7"/>
    <w:rsid w:val="00D25AE0"/>
    <w:rsid w:val="00D25B10"/>
    <w:rsid w:val="00D25B4E"/>
    <w:rsid w:val="00D25BCF"/>
    <w:rsid w:val="00D25C2C"/>
    <w:rsid w:val="00D25CC8"/>
    <w:rsid w:val="00D25E5B"/>
    <w:rsid w:val="00D25EB0"/>
    <w:rsid w:val="00D25F2F"/>
    <w:rsid w:val="00D25FCF"/>
    <w:rsid w:val="00D25FE0"/>
    <w:rsid w:val="00D26112"/>
    <w:rsid w:val="00D262C2"/>
    <w:rsid w:val="00D262D3"/>
    <w:rsid w:val="00D264BB"/>
    <w:rsid w:val="00D26592"/>
    <w:rsid w:val="00D265C6"/>
    <w:rsid w:val="00D267A6"/>
    <w:rsid w:val="00D267DE"/>
    <w:rsid w:val="00D26B3F"/>
    <w:rsid w:val="00D26B75"/>
    <w:rsid w:val="00D26BBC"/>
    <w:rsid w:val="00D26EC1"/>
    <w:rsid w:val="00D26EF7"/>
    <w:rsid w:val="00D2705D"/>
    <w:rsid w:val="00D27063"/>
    <w:rsid w:val="00D270DC"/>
    <w:rsid w:val="00D27176"/>
    <w:rsid w:val="00D2719A"/>
    <w:rsid w:val="00D271E9"/>
    <w:rsid w:val="00D271FE"/>
    <w:rsid w:val="00D27223"/>
    <w:rsid w:val="00D2728C"/>
    <w:rsid w:val="00D273B2"/>
    <w:rsid w:val="00D27509"/>
    <w:rsid w:val="00D27573"/>
    <w:rsid w:val="00D275C5"/>
    <w:rsid w:val="00D275CD"/>
    <w:rsid w:val="00D276A8"/>
    <w:rsid w:val="00D277CC"/>
    <w:rsid w:val="00D277DC"/>
    <w:rsid w:val="00D27871"/>
    <w:rsid w:val="00D2788E"/>
    <w:rsid w:val="00D27916"/>
    <w:rsid w:val="00D27A0E"/>
    <w:rsid w:val="00D27B30"/>
    <w:rsid w:val="00D27B44"/>
    <w:rsid w:val="00D27C37"/>
    <w:rsid w:val="00D27D08"/>
    <w:rsid w:val="00D27E5D"/>
    <w:rsid w:val="00D27F9E"/>
    <w:rsid w:val="00D30072"/>
    <w:rsid w:val="00D307A2"/>
    <w:rsid w:val="00D308D2"/>
    <w:rsid w:val="00D3096E"/>
    <w:rsid w:val="00D30BF8"/>
    <w:rsid w:val="00D30CCD"/>
    <w:rsid w:val="00D30D44"/>
    <w:rsid w:val="00D30D4C"/>
    <w:rsid w:val="00D30EBC"/>
    <w:rsid w:val="00D30FB6"/>
    <w:rsid w:val="00D31006"/>
    <w:rsid w:val="00D310AF"/>
    <w:rsid w:val="00D3110C"/>
    <w:rsid w:val="00D3133F"/>
    <w:rsid w:val="00D31382"/>
    <w:rsid w:val="00D3180A"/>
    <w:rsid w:val="00D319CC"/>
    <w:rsid w:val="00D31A06"/>
    <w:rsid w:val="00D31A78"/>
    <w:rsid w:val="00D31D9E"/>
    <w:rsid w:val="00D31E6A"/>
    <w:rsid w:val="00D31ECB"/>
    <w:rsid w:val="00D31ED8"/>
    <w:rsid w:val="00D3237F"/>
    <w:rsid w:val="00D323DF"/>
    <w:rsid w:val="00D323FB"/>
    <w:rsid w:val="00D324A2"/>
    <w:rsid w:val="00D3278B"/>
    <w:rsid w:val="00D327C6"/>
    <w:rsid w:val="00D32944"/>
    <w:rsid w:val="00D3297C"/>
    <w:rsid w:val="00D3297D"/>
    <w:rsid w:val="00D32A6E"/>
    <w:rsid w:val="00D32A89"/>
    <w:rsid w:val="00D32AD4"/>
    <w:rsid w:val="00D32AF4"/>
    <w:rsid w:val="00D32B1B"/>
    <w:rsid w:val="00D32BA8"/>
    <w:rsid w:val="00D32DAB"/>
    <w:rsid w:val="00D32F2A"/>
    <w:rsid w:val="00D32FCD"/>
    <w:rsid w:val="00D33148"/>
    <w:rsid w:val="00D33277"/>
    <w:rsid w:val="00D3334A"/>
    <w:rsid w:val="00D3334D"/>
    <w:rsid w:val="00D33443"/>
    <w:rsid w:val="00D3361A"/>
    <w:rsid w:val="00D33669"/>
    <w:rsid w:val="00D3370E"/>
    <w:rsid w:val="00D3380F"/>
    <w:rsid w:val="00D3395F"/>
    <w:rsid w:val="00D339BB"/>
    <w:rsid w:val="00D33AFE"/>
    <w:rsid w:val="00D33B05"/>
    <w:rsid w:val="00D33B26"/>
    <w:rsid w:val="00D33B8F"/>
    <w:rsid w:val="00D33BC4"/>
    <w:rsid w:val="00D33C0E"/>
    <w:rsid w:val="00D33DEA"/>
    <w:rsid w:val="00D33FC3"/>
    <w:rsid w:val="00D34095"/>
    <w:rsid w:val="00D341EF"/>
    <w:rsid w:val="00D3424B"/>
    <w:rsid w:val="00D3448B"/>
    <w:rsid w:val="00D34546"/>
    <w:rsid w:val="00D34881"/>
    <w:rsid w:val="00D348C4"/>
    <w:rsid w:val="00D3495A"/>
    <w:rsid w:val="00D3499A"/>
    <w:rsid w:val="00D34B7A"/>
    <w:rsid w:val="00D34C20"/>
    <w:rsid w:val="00D34C75"/>
    <w:rsid w:val="00D34C87"/>
    <w:rsid w:val="00D34CBF"/>
    <w:rsid w:val="00D34D00"/>
    <w:rsid w:val="00D34DC7"/>
    <w:rsid w:val="00D34E32"/>
    <w:rsid w:val="00D34EA8"/>
    <w:rsid w:val="00D34ED4"/>
    <w:rsid w:val="00D34EF5"/>
    <w:rsid w:val="00D34FD5"/>
    <w:rsid w:val="00D35228"/>
    <w:rsid w:val="00D35305"/>
    <w:rsid w:val="00D35414"/>
    <w:rsid w:val="00D354E8"/>
    <w:rsid w:val="00D3550E"/>
    <w:rsid w:val="00D35519"/>
    <w:rsid w:val="00D356F6"/>
    <w:rsid w:val="00D35761"/>
    <w:rsid w:val="00D3576D"/>
    <w:rsid w:val="00D35804"/>
    <w:rsid w:val="00D358DF"/>
    <w:rsid w:val="00D35A69"/>
    <w:rsid w:val="00D35AA1"/>
    <w:rsid w:val="00D35B9F"/>
    <w:rsid w:val="00D35BE0"/>
    <w:rsid w:val="00D35BFB"/>
    <w:rsid w:val="00D35D97"/>
    <w:rsid w:val="00D35E33"/>
    <w:rsid w:val="00D361D0"/>
    <w:rsid w:val="00D362D4"/>
    <w:rsid w:val="00D364CD"/>
    <w:rsid w:val="00D3653A"/>
    <w:rsid w:val="00D36593"/>
    <w:rsid w:val="00D365B0"/>
    <w:rsid w:val="00D36600"/>
    <w:rsid w:val="00D366A9"/>
    <w:rsid w:val="00D366D3"/>
    <w:rsid w:val="00D36754"/>
    <w:rsid w:val="00D3687A"/>
    <w:rsid w:val="00D36A64"/>
    <w:rsid w:val="00D36B50"/>
    <w:rsid w:val="00D36B9F"/>
    <w:rsid w:val="00D36BCC"/>
    <w:rsid w:val="00D36C19"/>
    <w:rsid w:val="00D36CAD"/>
    <w:rsid w:val="00D36CCB"/>
    <w:rsid w:val="00D36CD9"/>
    <w:rsid w:val="00D36DFA"/>
    <w:rsid w:val="00D36E97"/>
    <w:rsid w:val="00D36F27"/>
    <w:rsid w:val="00D36FE2"/>
    <w:rsid w:val="00D37078"/>
    <w:rsid w:val="00D37092"/>
    <w:rsid w:val="00D371CD"/>
    <w:rsid w:val="00D371DB"/>
    <w:rsid w:val="00D3743C"/>
    <w:rsid w:val="00D374E5"/>
    <w:rsid w:val="00D374F2"/>
    <w:rsid w:val="00D376FC"/>
    <w:rsid w:val="00D37854"/>
    <w:rsid w:val="00D37898"/>
    <w:rsid w:val="00D37984"/>
    <w:rsid w:val="00D3799F"/>
    <w:rsid w:val="00D37A0A"/>
    <w:rsid w:val="00D37A0E"/>
    <w:rsid w:val="00D37A76"/>
    <w:rsid w:val="00D37C01"/>
    <w:rsid w:val="00D37C58"/>
    <w:rsid w:val="00D37CE1"/>
    <w:rsid w:val="00D37CEE"/>
    <w:rsid w:val="00D37D36"/>
    <w:rsid w:val="00D37E94"/>
    <w:rsid w:val="00D37ECD"/>
    <w:rsid w:val="00D40030"/>
    <w:rsid w:val="00D400B9"/>
    <w:rsid w:val="00D40112"/>
    <w:rsid w:val="00D40146"/>
    <w:rsid w:val="00D401A3"/>
    <w:rsid w:val="00D401BA"/>
    <w:rsid w:val="00D40229"/>
    <w:rsid w:val="00D4026B"/>
    <w:rsid w:val="00D40326"/>
    <w:rsid w:val="00D403AC"/>
    <w:rsid w:val="00D404D7"/>
    <w:rsid w:val="00D4058A"/>
    <w:rsid w:val="00D405BB"/>
    <w:rsid w:val="00D406A0"/>
    <w:rsid w:val="00D409D5"/>
    <w:rsid w:val="00D40B29"/>
    <w:rsid w:val="00D40B47"/>
    <w:rsid w:val="00D40C4B"/>
    <w:rsid w:val="00D40E60"/>
    <w:rsid w:val="00D40EDF"/>
    <w:rsid w:val="00D40F72"/>
    <w:rsid w:val="00D40F92"/>
    <w:rsid w:val="00D40FB4"/>
    <w:rsid w:val="00D41095"/>
    <w:rsid w:val="00D410D4"/>
    <w:rsid w:val="00D41145"/>
    <w:rsid w:val="00D4135B"/>
    <w:rsid w:val="00D414B3"/>
    <w:rsid w:val="00D415D8"/>
    <w:rsid w:val="00D4170F"/>
    <w:rsid w:val="00D4179B"/>
    <w:rsid w:val="00D41829"/>
    <w:rsid w:val="00D41904"/>
    <w:rsid w:val="00D41A6A"/>
    <w:rsid w:val="00D41CAC"/>
    <w:rsid w:val="00D41FBE"/>
    <w:rsid w:val="00D4208C"/>
    <w:rsid w:val="00D42187"/>
    <w:rsid w:val="00D421BD"/>
    <w:rsid w:val="00D421BF"/>
    <w:rsid w:val="00D421E3"/>
    <w:rsid w:val="00D4226D"/>
    <w:rsid w:val="00D423BF"/>
    <w:rsid w:val="00D423F2"/>
    <w:rsid w:val="00D42473"/>
    <w:rsid w:val="00D4253B"/>
    <w:rsid w:val="00D426EB"/>
    <w:rsid w:val="00D4274E"/>
    <w:rsid w:val="00D42873"/>
    <w:rsid w:val="00D42A7B"/>
    <w:rsid w:val="00D42B89"/>
    <w:rsid w:val="00D42CAF"/>
    <w:rsid w:val="00D42CF9"/>
    <w:rsid w:val="00D42D75"/>
    <w:rsid w:val="00D42E08"/>
    <w:rsid w:val="00D42E19"/>
    <w:rsid w:val="00D42F84"/>
    <w:rsid w:val="00D43006"/>
    <w:rsid w:val="00D43117"/>
    <w:rsid w:val="00D43293"/>
    <w:rsid w:val="00D4343B"/>
    <w:rsid w:val="00D435B7"/>
    <w:rsid w:val="00D43656"/>
    <w:rsid w:val="00D43682"/>
    <w:rsid w:val="00D43686"/>
    <w:rsid w:val="00D437B6"/>
    <w:rsid w:val="00D4381E"/>
    <w:rsid w:val="00D438BF"/>
    <w:rsid w:val="00D4392C"/>
    <w:rsid w:val="00D43948"/>
    <w:rsid w:val="00D439E4"/>
    <w:rsid w:val="00D43A8F"/>
    <w:rsid w:val="00D43AFB"/>
    <w:rsid w:val="00D43BB3"/>
    <w:rsid w:val="00D43BCE"/>
    <w:rsid w:val="00D43E1D"/>
    <w:rsid w:val="00D43E80"/>
    <w:rsid w:val="00D43EE0"/>
    <w:rsid w:val="00D43F2A"/>
    <w:rsid w:val="00D43F4F"/>
    <w:rsid w:val="00D4427B"/>
    <w:rsid w:val="00D4427C"/>
    <w:rsid w:val="00D442B4"/>
    <w:rsid w:val="00D44386"/>
    <w:rsid w:val="00D44498"/>
    <w:rsid w:val="00D44620"/>
    <w:rsid w:val="00D446A6"/>
    <w:rsid w:val="00D446E9"/>
    <w:rsid w:val="00D44773"/>
    <w:rsid w:val="00D44816"/>
    <w:rsid w:val="00D4482D"/>
    <w:rsid w:val="00D4497C"/>
    <w:rsid w:val="00D44A79"/>
    <w:rsid w:val="00D44A98"/>
    <w:rsid w:val="00D44C5A"/>
    <w:rsid w:val="00D44DA7"/>
    <w:rsid w:val="00D44DE2"/>
    <w:rsid w:val="00D44EEA"/>
    <w:rsid w:val="00D44F7F"/>
    <w:rsid w:val="00D45128"/>
    <w:rsid w:val="00D451B7"/>
    <w:rsid w:val="00D452DC"/>
    <w:rsid w:val="00D453D3"/>
    <w:rsid w:val="00D4553C"/>
    <w:rsid w:val="00D45802"/>
    <w:rsid w:val="00D45811"/>
    <w:rsid w:val="00D459A6"/>
    <w:rsid w:val="00D45AD4"/>
    <w:rsid w:val="00D45BA1"/>
    <w:rsid w:val="00D45C90"/>
    <w:rsid w:val="00D45E56"/>
    <w:rsid w:val="00D45F74"/>
    <w:rsid w:val="00D46077"/>
    <w:rsid w:val="00D46273"/>
    <w:rsid w:val="00D4628A"/>
    <w:rsid w:val="00D4630F"/>
    <w:rsid w:val="00D463FE"/>
    <w:rsid w:val="00D4649D"/>
    <w:rsid w:val="00D46713"/>
    <w:rsid w:val="00D468BC"/>
    <w:rsid w:val="00D46981"/>
    <w:rsid w:val="00D46B1F"/>
    <w:rsid w:val="00D46D47"/>
    <w:rsid w:val="00D46FF8"/>
    <w:rsid w:val="00D47096"/>
    <w:rsid w:val="00D47163"/>
    <w:rsid w:val="00D471DD"/>
    <w:rsid w:val="00D471ED"/>
    <w:rsid w:val="00D4730E"/>
    <w:rsid w:val="00D47314"/>
    <w:rsid w:val="00D47334"/>
    <w:rsid w:val="00D473FA"/>
    <w:rsid w:val="00D47570"/>
    <w:rsid w:val="00D475D2"/>
    <w:rsid w:val="00D47646"/>
    <w:rsid w:val="00D4765C"/>
    <w:rsid w:val="00D476F0"/>
    <w:rsid w:val="00D47778"/>
    <w:rsid w:val="00D47830"/>
    <w:rsid w:val="00D47843"/>
    <w:rsid w:val="00D47952"/>
    <w:rsid w:val="00D479E8"/>
    <w:rsid w:val="00D47C27"/>
    <w:rsid w:val="00D47C4C"/>
    <w:rsid w:val="00D47C65"/>
    <w:rsid w:val="00D47E97"/>
    <w:rsid w:val="00D47FF3"/>
    <w:rsid w:val="00D50023"/>
    <w:rsid w:val="00D501CF"/>
    <w:rsid w:val="00D50621"/>
    <w:rsid w:val="00D50684"/>
    <w:rsid w:val="00D506BE"/>
    <w:rsid w:val="00D50735"/>
    <w:rsid w:val="00D507A7"/>
    <w:rsid w:val="00D507D3"/>
    <w:rsid w:val="00D50D68"/>
    <w:rsid w:val="00D50D92"/>
    <w:rsid w:val="00D50E70"/>
    <w:rsid w:val="00D50E7F"/>
    <w:rsid w:val="00D50EA9"/>
    <w:rsid w:val="00D50F2C"/>
    <w:rsid w:val="00D50F79"/>
    <w:rsid w:val="00D50F8C"/>
    <w:rsid w:val="00D50FD1"/>
    <w:rsid w:val="00D5101C"/>
    <w:rsid w:val="00D513A6"/>
    <w:rsid w:val="00D51484"/>
    <w:rsid w:val="00D51579"/>
    <w:rsid w:val="00D51628"/>
    <w:rsid w:val="00D516BB"/>
    <w:rsid w:val="00D51740"/>
    <w:rsid w:val="00D51787"/>
    <w:rsid w:val="00D51A5C"/>
    <w:rsid w:val="00D51A82"/>
    <w:rsid w:val="00D51B76"/>
    <w:rsid w:val="00D51C52"/>
    <w:rsid w:val="00D51C7C"/>
    <w:rsid w:val="00D51DA0"/>
    <w:rsid w:val="00D51DD6"/>
    <w:rsid w:val="00D51DEA"/>
    <w:rsid w:val="00D51E64"/>
    <w:rsid w:val="00D51EF9"/>
    <w:rsid w:val="00D51F09"/>
    <w:rsid w:val="00D5212B"/>
    <w:rsid w:val="00D523F4"/>
    <w:rsid w:val="00D5247E"/>
    <w:rsid w:val="00D524C1"/>
    <w:rsid w:val="00D524DA"/>
    <w:rsid w:val="00D52590"/>
    <w:rsid w:val="00D527D0"/>
    <w:rsid w:val="00D5291F"/>
    <w:rsid w:val="00D52949"/>
    <w:rsid w:val="00D529CD"/>
    <w:rsid w:val="00D529DC"/>
    <w:rsid w:val="00D52A39"/>
    <w:rsid w:val="00D52A5F"/>
    <w:rsid w:val="00D52BF0"/>
    <w:rsid w:val="00D52C27"/>
    <w:rsid w:val="00D52C3E"/>
    <w:rsid w:val="00D52E19"/>
    <w:rsid w:val="00D530CF"/>
    <w:rsid w:val="00D530E4"/>
    <w:rsid w:val="00D531D9"/>
    <w:rsid w:val="00D53209"/>
    <w:rsid w:val="00D5330E"/>
    <w:rsid w:val="00D5332D"/>
    <w:rsid w:val="00D53570"/>
    <w:rsid w:val="00D536BC"/>
    <w:rsid w:val="00D53775"/>
    <w:rsid w:val="00D53843"/>
    <w:rsid w:val="00D53878"/>
    <w:rsid w:val="00D539F8"/>
    <w:rsid w:val="00D53A67"/>
    <w:rsid w:val="00D53B05"/>
    <w:rsid w:val="00D53C48"/>
    <w:rsid w:val="00D53C4E"/>
    <w:rsid w:val="00D53CD7"/>
    <w:rsid w:val="00D53DE1"/>
    <w:rsid w:val="00D53F8B"/>
    <w:rsid w:val="00D54031"/>
    <w:rsid w:val="00D5413A"/>
    <w:rsid w:val="00D541C7"/>
    <w:rsid w:val="00D54308"/>
    <w:rsid w:val="00D54480"/>
    <w:rsid w:val="00D544C6"/>
    <w:rsid w:val="00D54534"/>
    <w:rsid w:val="00D546E6"/>
    <w:rsid w:val="00D54704"/>
    <w:rsid w:val="00D5470B"/>
    <w:rsid w:val="00D54712"/>
    <w:rsid w:val="00D5478C"/>
    <w:rsid w:val="00D547B0"/>
    <w:rsid w:val="00D54824"/>
    <w:rsid w:val="00D54AC8"/>
    <w:rsid w:val="00D54B66"/>
    <w:rsid w:val="00D54C5F"/>
    <w:rsid w:val="00D54C68"/>
    <w:rsid w:val="00D54CF6"/>
    <w:rsid w:val="00D54E2A"/>
    <w:rsid w:val="00D54F5E"/>
    <w:rsid w:val="00D54FAD"/>
    <w:rsid w:val="00D54FB5"/>
    <w:rsid w:val="00D55076"/>
    <w:rsid w:val="00D550A3"/>
    <w:rsid w:val="00D55252"/>
    <w:rsid w:val="00D552CA"/>
    <w:rsid w:val="00D55303"/>
    <w:rsid w:val="00D55322"/>
    <w:rsid w:val="00D5541B"/>
    <w:rsid w:val="00D55487"/>
    <w:rsid w:val="00D554AB"/>
    <w:rsid w:val="00D555AE"/>
    <w:rsid w:val="00D55692"/>
    <w:rsid w:val="00D55735"/>
    <w:rsid w:val="00D55819"/>
    <w:rsid w:val="00D5581A"/>
    <w:rsid w:val="00D55820"/>
    <w:rsid w:val="00D558E0"/>
    <w:rsid w:val="00D5597B"/>
    <w:rsid w:val="00D55A2E"/>
    <w:rsid w:val="00D55B1F"/>
    <w:rsid w:val="00D55C04"/>
    <w:rsid w:val="00D55C39"/>
    <w:rsid w:val="00D55C74"/>
    <w:rsid w:val="00D55D25"/>
    <w:rsid w:val="00D55D33"/>
    <w:rsid w:val="00D55D55"/>
    <w:rsid w:val="00D55E3E"/>
    <w:rsid w:val="00D55ECF"/>
    <w:rsid w:val="00D55FEE"/>
    <w:rsid w:val="00D56000"/>
    <w:rsid w:val="00D563E0"/>
    <w:rsid w:val="00D563F3"/>
    <w:rsid w:val="00D56417"/>
    <w:rsid w:val="00D5644A"/>
    <w:rsid w:val="00D56466"/>
    <w:rsid w:val="00D56512"/>
    <w:rsid w:val="00D56822"/>
    <w:rsid w:val="00D56854"/>
    <w:rsid w:val="00D568DC"/>
    <w:rsid w:val="00D56A2E"/>
    <w:rsid w:val="00D56AAE"/>
    <w:rsid w:val="00D56B1F"/>
    <w:rsid w:val="00D56BBA"/>
    <w:rsid w:val="00D56BC3"/>
    <w:rsid w:val="00D56F41"/>
    <w:rsid w:val="00D5707E"/>
    <w:rsid w:val="00D570E6"/>
    <w:rsid w:val="00D571AE"/>
    <w:rsid w:val="00D5721E"/>
    <w:rsid w:val="00D5724B"/>
    <w:rsid w:val="00D572A4"/>
    <w:rsid w:val="00D57316"/>
    <w:rsid w:val="00D57370"/>
    <w:rsid w:val="00D575E5"/>
    <w:rsid w:val="00D57606"/>
    <w:rsid w:val="00D57672"/>
    <w:rsid w:val="00D576FF"/>
    <w:rsid w:val="00D5778A"/>
    <w:rsid w:val="00D577E3"/>
    <w:rsid w:val="00D577FC"/>
    <w:rsid w:val="00D57844"/>
    <w:rsid w:val="00D57868"/>
    <w:rsid w:val="00D57A4C"/>
    <w:rsid w:val="00D57AD9"/>
    <w:rsid w:val="00D57BAE"/>
    <w:rsid w:val="00D57C00"/>
    <w:rsid w:val="00D57C76"/>
    <w:rsid w:val="00D57C92"/>
    <w:rsid w:val="00D57D00"/>
    <w:rsid w:val="00D57D53"/>
    <w:rsid w:val="00D57F6C"/>
    <w:rsid w:val="00D6007B"/>
    <w:rsid w:val="00D60099"/>
    <w:rsid w:val="00D60100"/>
    <w:rsid w:val="00D603AE"/>
    <w:rsid w:val="00D60530"/>
    <w:rsid w:val="00D60625"/>
    <w:rsid w:val="00D60740"/>
    <w:rsid w:val="00D60752"/>
    <w:rsid w:val="00D60881"/>
    <w:rsid w:val="00D609AF"/>
    <w:rsid w:val="00D60AF0"/>
    <w:rsid w:val="00D60B01"/>
    <w:rsid w:val="00D60BAB"/>
    <w:rsid w:val="00D60C78"/>
    <w:rsid w:val="00D60F13"/>
    <w:rsid w:val="00D61200"/>
    <w:rsid w:val="00D61225"/>
    <w:rsid w:val="00D6134E"/>
    <w:rsid w:val="00D613B6"/>
    <w:rsid w:val="00D614BB"/>
    <w:rsid w:val="00D6152D"/>
    <w:rsid w:val="00D6171D"/>
    <w:rsid w:val="00D61750"/>
    <w:rsid w:val="00D61792"/>
    <w:rsid w:val="00D61892"/>
    <w:rsid w:val="00D6196F"/>
    <w:rsid w:val="00D6198A"/>
    <w:rsid w:val="00D61AD3"/>
    <w:rsid w:val="00D61B69"/>
    <w:rsid w:val="00D61C7F"/>
    <w:rsid w:val="00D61D10"/>
    <w:rsid w:val="00D61E5F"/>
    <w:rsid w:val="00D61FB2"/>
    <w:rsid w:val="00D61FCF"/>
    <w:rsid w:val="00D62022"/>
    <w:rsid w:val="00D622EC"/>
    <w:rsid w:val="00D6230C"/>
    <w:rsid w:val="00D62390"/>
    <w:rsid w:val="00D6240C"/>
    <w:rsid w:val="00D62424"/>
    <w:rsid w:val="00D62455"/>
    <w:rsid w:val="00D62582"/>
    <w:rsid w:val="00D625A4"/>
    <w:rsid w:val="00D62651"/>
    <w:rsid w:val="00D6265F"/>
    <w:rsid w:val="00D62734"/>
    <w:rsid w:val="00D62888"/>
    <w:rsid w:val="00D62925"/>
    <w:rsid w:val="00D62A1D"/>
    <w:rsid w:val="00D62AAF"/>
    <w:rsid w:val="00D62CA8"/>
    <w:rsid w:val="00D62E86"/>
    <w:rsid w:val="00D62F46"/>
    <w:rsid w:val="00D62F9A"/>
    <w:rsid w:val="00D62FAA"/>
    <w:rsid w:val="00D62FE8"/>
    <w:rsid w:val="00D63032"/>
    <w:rsid w:val="00D631C5"/>
    <w:rsid w:val="00D6337F"/>
    <w:rsid w:val="00D6340D"/>
    <w:rsid w:val="00D6342E"/>
    <w:rsid w:val="00D634CF"/>
    <w:rsid w:val="00D634D8"/>
    <w:rsid w:val="00D6369C"/>
    <w:rsid w:val="00D63726"/>
    <w:rsid w:val="00D639D8"/>
    <w:rsid w:val="00D63A4C"/>
    <w:rsid w:val="00D63BA5"/>
    <w:rsid w:val="00D63DA4"/>
    <w:rsid w:val="00D63DCC"/>
    <w:rsid w:val="00D63E0E"/>
    <w:rsid w:val="00D63E5A"/>
    <w:rsid w:val="00D63FD4"/>
    <w:rsid w:val="00D63FDF"/>
    <w:rsid w:val="00D64091"/>
    <w:rsid w:val="00D64327"/>
    <w:rsid w:val="00D64350"/>
    <w:rsid w:val="00D6439E"/>
    <w:rsid w:val="00D643A1"/>
    <w:rsid w:val="00D6442B"/>
    <w:rsid w:val="00D64574"/>
    <w:rsid w:val="00D6461A"/>
    <w:rsid w:val="00D6462A"/>
    <w:rsid w:val="00D646C0"/>
    <w:rsid w:val="00D646E1"/>
    <w:rsid w:val="00D6488F"/>
    <w:rsid w:val="00D64971"/>
    <w:rsid w:val="00D64C1F"/>
    <w:rsid w:val="00D64C5D"/>
    <w:rsid w:val="00D64CA7"/>
    <w:rsid w:val="00D64CD6"/>
    <w:rsid w:val="00D64D60"/>
    <w:rsid w:val="00D64DF8"/>
    <w:rsid w:val="00D64E01"/>
    <w:rsid w:val="00D64EF1"/>
    <w:rsid w:val="00D64FED"/>
    <w:rsid w:val="00D65094"/>
    <w:rsid w:val="00D65285"/>
    <w:rsid w:val="00D65294"/>
    <w:rsid w:val="00D652B6"/>
    <w:rsid w:val="00D65411"/>
    <w:rsid w:val="00D654A7"/>
    <w:rsid w:val="00D654B2"/>
    <w:rsid w:val="00D654C4"/>
    <w:rsid w:val="00D6550B"/>
    <w:rsid w:val="00D65657"/>
    <w:rsid w:val="00D65677"/>
    <w:rsid w:val="00D65702"/>
    <w:rsid w:val="00D65807"/>
    <w:rsid w:val="00D658F5"/>
    <w:rsid w:val="00D65980"/>
    <w:rsid w:val="00D659B4"/>
    <w:rsid w:val="00D659E9"/>
    <w:rsid w:val="00D65AEC"/>
    <w:rsid w:val="00D65B4E"/>
    <w:rsid w:val="00D65D75"/>
    <w:rsid w:val="00D65DBA"/>
    <w:rsid w:val="00D65DD0"/>
    <w:rsid w:val="00D65F55"/>
    <w:rsid w:val="00D66015"/>
    <w:rsid w:val="00D66090"/>
    <w:rsid w:val="00D661C9"/>
    <w:rsid w:val="00D661DA"/>
    <w:rsid w:val="00D662FA"/>
    <w:rsid w:val="00D6634F"/>
    <w:rsid w:val="00D663CA"/>
    <w:rsid w:val="00D6641B"/>
    <w:rsid w:val="00D66456"/>
    <w:rsid w:val="00D664CE"/>
    <w:rsid w:val="00D6655A"/>
    <w:rsid w:val="00D665FA"/>
    <w:rsid w:val="00D666F5"/>
    <w:rsid w:val="00D666F9"/>
    <w:rsid w:val="00D667D1"/>
    <w:rsid w:val="00D66836"/>
    <w:rsid w:val="00D66857"/>
    <w:rsid w:val="00D668A0"/>
    <w:rsid w:val="00D6690F"/>
    <w:rsid w:val="00D669BC"/>
    <w:rsid w:val="00D669F5"/>
    <w:rsid w:val="00D66A7F"/>
    <w:rsid w:val="00D66B0D"/>
    <w:rsid w:val="00D66CCB"/>
    <w:rsid w:val="00D66E6E"/>
    <w:rsid w:val="00D67094"/>
    <w:rsid w:val="00D67128"/>
    <w:rsid w:val="00D67174"/>
    <w:rsid w:val="00D6719A"/>
    <w:rsid w:val="00D672B1"/>
    <w:rsid w:val="00D6735D"/>
    <w:rsid w:val="00D67437"/>
    <w:rsid w:val="00D6745D"/>
    <w:rsid w:val="00D674DD"/>
    <w:rsid w:val="00D674E1"/>
    <w:rsid w:val="00D67658"/>
    <w:rsid w:val="00D676B8"/>
    <w:rsid w:val="00D67839"/>
    <w:rsid w:val="00D67A30"/>
    <w:rsid w:val="00D67A72"/>
    <w:rsid w:val="00D67B77"/>
    <w:rsid w:val="00D67BA7"/>
    <w:rsid w:val="00D67DA0"/>
    <w:rsid w:val="00D67E98"/>
    <w:rsid w:val="00D67ECE"/>
    <w:rsid w:val="00D70067"/>
    <w:rsid w:val="00D7020E"/>
    <w:rsid w:val="00D70266"/>
    <w:rsid w:val="00D70422"/>
    <w:rsid w:val="00D70445"/>
    <w:rsid w:val="00D70465"/>
    <w:rsid w:val="00D70601"/>
    <w:rsid w:val="00D70899"/>
    <w:rsid w:val="00D70946"/>
    <w:rsid w:val="00D70D5B"/>
    <w:rsid w:val="00D70DB8"/>
    <w:rsid w:val="00D7106A"/>
    <w:rsid w:val="00D71219"/>
    <w:rsid w:val="00D71292"/>
    <w:rsid w:val="00D713F9"/>
    <w:rsid w:val="00D714F2"/>
    <w:rsid w:val="00D7160A"/>
    <w:rsid w:val="00D71625"/>
    <w:rsid w:val="00D716DB"/>
    <w:rsid w:val="00D716E9"/>
    <w:rsid w:val="00D71742"/>
    <w:rsid w:val="00D717A7"/>
    <w:rsid w:val="00D71943"/>
    <w:rsid w:val="00D71AC9"/>
    <w:rsid w:val="00D71C03"/>
    <w:rsid w:val="00D71C89"/>
    <w:rsid w:val="00D71D29"/>
    <w:rsid w:val="00D71DA4"/>
    <w:rsid w:val="00D71DEB"/>
    <w:rsid w:val="00D71E90"/>
    <w:rsid w:val="00D71F4B"/>
    <w:rsid w:val="00D71FAB"/>
    <w:rsid w:val="00D7203C"/>
    <w:rsid w:val="00D7204B"/>
    <w:rsid w:val="00D72144"/>
    <w:rsid w:val="00D72346"/>
    <w:rsid w:val="00D7239E"/>
    <w:rsid w:val="00D723EC"/>
    <w:rsid w:val="00D7243D"/>
    <w:rsid w:val="00D7261D"/>
    <w:rsid w:val="00D72638"/>
    <w:rsid w:val="00D726D1"/>
    <w:rsid w:val="00D7287A"/>
    <w:rsid w:val="00D728D1"/>
    <w:rsid w:val="00D72A22"/>
    <w:rsid w:val="00D72BBE"/>
    <w:rsid w:val="00D72BE7"/>
    <w:rsid w:val="00D72DC0"/>
    <w:rsid w:val="00D72DE0"/>
    <w:rsid w:val="00D72E4A"/>
    <w:rsid w:val="00D72E74"/>
    <w:rsid w:val="00D72EB7"/>
    <w:rsid w:val="00D72EB8"/>
    <w:rsid w:val="00D73014"/>
    <w:rsid w:val="00D73140"/>
    <w:rsid w:val="00D731BA"/>
    <w:rsid w:val="00D731C5"/>
    <w:rsid w:val="00D7328C"/>
    <w:rsid w:val="00D7331F"/>
    <w:rsid w:val="00D734D7"/>
    <w:rsid w:val="00D734ED"/>
    <w:rsid w:val="00D7361D"/>
    <w:rsid w:val="00D737A3"/>
    <w:rsid w:val="00D739DF"/>
    <w:rsid w:val="00D73B41"/>
    <w:rsid w:val="00D73C5A"/>
    <w:rsid w:val="00D73CE6"/>
    <w:rsid w:val="00D73FF4"/>
    <w:rsid w:val="00D74206"/>
    <w:rsid w:val="00D74227"/>
    <w:rsid w:val="00D743B3"/>
    <w:rsid w:val="00D74400"/>
    <w:rsid w:val="00D744DA"/>
    <w:rsid w:val="00D74528"/>
    <w:rsid w:val="00D7465D"/>
    <w:rsid w:val="00D7467C"/>
    <w:rsid w:val="00D74758"/>
    <w:rsid w:val="00D747D5"/>
    <w:rsid w:val="00D74944"/>
    <w:rsid w:val="00D7497A"/>
    <w:rsid w:val="00D7498B"/>
    <w:rsid w:val="00D74B2A"/>
    <w:rsid w:val="00D74C79"/>
    <w:rsid w:val="00D74D8E"/>
    <w:rsid w:val="00D74FBC"/>
    <w:rsid w:val="00D752F0"/>
    <w:rsid w:val="00D75352"/>
    <w:rsid w:val="00D75372"/>
    <w:rsid w:val="00D75386"/>
    <w:rsid w:val="00D753E7"/>
    <w:rsid w:val="00D753F0"/>
    <w:rsid w:val="00D754B7"/>
    <w:rsid w:val="00D7551F"/>
    <w:rsid w:val="00D7552D"/>
    <w:rsid w:val="00D75639"/>
    <w:rsid w:val="00D75940"/>
    <w:rsid w:val="00D75B01"/>
    <w:rsid w:val="00D75B2A"/>
    <w:rsid w:val="00D75BA1"/>
    <w:rsid w:val="00D75BA6"/>
    <w:rsid w:val="00D75BF6"/>
    <w:rsid w:val="00D75FC6"/>
    <w:rsid w:val="00D761AB"/>
    <w:rsid w:val="00D761AF"/>
    <w:rsid w:val="00D763EA"/>
    <w:rsid w:val="00D76759"/>
    <w:rsid w:val="00D76B67"/>
    <w:rsid w:val="00D76B74"/>
    <w:rsid w:val="00D76C58"/>
    <w:rsid w:val="00D76E2D"/>
    <w:rsid w:val="00D76E57"/>
    <w:rsid w:val="00D76F39"/>
    <w:rsid w:val="00D76F6F"/>
    <w:rsid w:val="00D76FC1"/>
    <w:rsid w:val="00D7705F"/>
    <w:rsid w:val="00D771B2"/>
    <w:rsid w:val="00D77209"/>
    <w:rsid w:val="00D77406"/>
    <w:rsid w:val="00D774DA"/>
    <w:rsid w:val="00D77537"/>
    <w:rsid w:val="00D77567"/>
    <w:rsid w:val="00D7759D"/>
    <w:rsid w:val="00D775AB"/>
    <w:rsid w:val="00D775F2"/>
    <w:rsid w:val="00D77718"/>
    <w:rsid w:val="00D777BB"/>
    <w:rsid w:val="00D778C0"/>
    <w:rsid w:val="00D77961"/>
    <w:rsid w:val="00D7797C"/>
    <w:rsid w:val="00D77B20"/>
    <w:rsid w:val="00D77B8F"/>
    <w:rsid w:val="00D77BC5"/>
    <w:rsid w:val="00D77D3A"/>
    <w:rsid w:val="00D80073"/>
    <w:rsid w:val="00D800EE"/>
    <w:rsid w:val="00D801E2"/>
    <w:rsid w:val="00D80233"/>
    <w:rsid w:val="00D802FC"/>
    <w:rsid w:val="00D80647"/>
    <w:rsid w:val="00D806DB"/>
    <w:rsid w:val="00D806DD"/>
    <w:rsid w:val="00D807D7"/>
    <w:rsid w:val="00D80850"/>
    <w:rsid w:val="00D80A54"/>
    <w:rsid w:val="00D80B38"/>
    <w:rsid w:val="00D80BA1"/>
    <w:rsid w:val="00D80BCE"/>
    <w:rsid w:val="00D80BD3"/>
    <w:rsid w:val="00D80CC6"/>
    <w:rsid w:val="00D80DD6"/>
    <w:rsid w:val="00D80DD8"/>
    <w:rsid w:val="00D80ECB"/>
    <w:rsid w:val="00D80EE6"/>
    <w:rsid w:val="00D80F3F"/>
    <w:rsid w:val="00D810D1"/>
    <w:rsid w:val="00D8140E"/>
    <w:rsid w:val="00D81429"/>
    <w:rsid w:val="00D815D6"/>
    <w:rsid w:val="00D81627"/>
    <w:rsid w:val="00D81653"/>
    <w:rsid w:val="00D81672"/>
    <w:rsid w:val="00D81689"/>
    <w:rsid w:val="00D81B64"/>
    <w:rsid w:val="00D81BEB"/>
    <w:rsid w:val="00D81CFE"/>
    <w:rsid w:val="00D81DA7"/>
    <w:rsid w:val="00D81DD5"/>
    <w:rsid w:val="00D81DEC"/>
    <w:rsid w:val="00D82046"/>
    <w:rsid w:val="00D82153"/>
    <w:rsid w:val="00D82229"/>
    <w:rsid w:val="00D823D1"/>
    <w:rsid w:val="00D8241E"/>
    <w:rsid w:val="00D824B1"/>
    <w:rsid w:val="00D825F4"/>
    <w:rsid w:val="00D826CB"/>
    <w:rsid w:val="00D82721"/>
    <w:rsid w:val="00D82783"/>
    <w:rsid w:val="00D8286D"/>
    <w:rsid w:val="00D82906"/>
    <w:rsid w:val="00D82919"/>
    <w:rsid w:val="00D82933"/>
    <w:rsid w:val="00D82A3E"/>
    <w:rsid w:val="00D82BD3"/>
    <w:rsid w:val="00D82E66"/>
    <w:rsid w:val="00D83022"/>
    <w:rsid w:val="00D8303C"/>
    <w:rsid w:val="00D830DF"/>
    <w:rsid w:val="00D8312F"/>
    <w:rsid w:val="00D831F3"/>
    <w:rsid w:val="00D83242"/>
    <w:rsid w:val="00D832BB"/>
    <w:rsid w:val="00D83380"/>
    <w:rsid w:val="00D833DB"/>
    <w:rsid w:val="00D83421"/>
    <w:rsid w:val="00D835CF"/>
    <w:rsid w:val="00D8361B"/>
    <w:rsid w:val="00D83697"/>
    <w:rsid w:val="00D836B4"/>
    <w:rsid w:val="00D838F4"/>
    <w:rsid w:val="00D839A7"/>
    <w:rsid w:val="00D83B16"/>
    <w:rsid w:val="00D83B1B"/>
    <w:rsid w:val="00D83C7A"/>
    <w:rsid w:val="00D83D0B"/>
    <w:rsid w:val="00D83E7F"/>
    <w:rsid w:val="00D83ECD"/>
    <w:rsid w:val="00D83F9C"/>
    <w:rsid w:val="00D8429A"/>
    <w:rsid w:val="00D8429B"/>
    <w:rsid w:val="00D842AA"/>
    <w:rsid w:val="00D842EF"/>
    <w:rsid w:val="00D843A5"/>
    <w:rsid w:val="00D8455E"/>
    <w:rsid w:val="00D845E9"/>
    <w:rsid w:val="00D846C0"/>
    <w:rsid w:val="00D8486C"/>
    <w:rsid w:val="00D848AF"/>
    <w:rsid w:val="00D84AA3"/>
    <w:rsid w:val="00D84AA6"/>
    <w:rsid w:val="00D84B37"/>
    <w:rsid w:val="00D84B6B"/>
    <w:rsid w:val="00D84BFA"/>
    <w:rsid w:val="00D84CAB"/>
    <w:rsid w:val="00D84D8F"/>
    <w:rsid w:val="00D84EC5"/>
    <w:rsid w:val="00D84FD1"/>
    <w:rsid w:val="00D8505C"/>
    <w:rsid w:val="00D850E2"/>
    <w:rsid w:val="00D85124"/>
    <w:rsid w:val="00D85174"/>
    <w:rsid w:val="00D85193"/>
    <w:rsid w:val="00D8535E"/>
    <w:rsid w:val="00D853B7"/>
    <w:rsid w:val="00D8552C"/>
    <w:rsid w:val="00D856AB"/>
    <w:rsid w:val="00D85921"/>
    <w:rsid w:val="00D85964"/>
    <w:rsid w:val="00D85AB8"/>
    <w:rsid w:val="00D85C8C"/>
    <w:rsid w:val="00D85D36"/>
    <w:rsid w:val="00D85D60"/>
    <w:rsid w:val="00D85F24"/>
    <w:rsid w:val="00D85F80"/>
    <w:rsid w:val="00D85FA6"/>
    <w:rsid w:val="00D86085"/>
    <w:rsid w:val="00D861B3"/>
    <w:rsid w:val="00D8628D"/>
    <w:rsid w:val="00D86301"/>
    <w:rsid w:val="00D8635C"/>
    <w:rsid w:val="00D86389"/>
    <w:rsid w:val="00D8639B"/>
    <w:rsid w:val="00D86466"/>
    <w:rsid w:val="00D8657C"/>
    <w:rsid w:val="00D865C7"/>
    <w:rsid w:val="00D867B2"/>
    <w:rsid w:val="00D868BB"/>
    <w:rsid w:val="00D86941"/>
    <w:rsid w:val="00D86B42"/>
    <w:rsid w:val="00D86C94"/>
    <w:rsid w:val="00D86D26"/>
    <w:rsid w:val="00D86DC0"/>
    <w:rsid w:val="00D86EC0"/>
    <w:rsid w:val="00D86F51"/>
    <w:rsid w:val="00D86F86"/>
    <w:rsid w:val="00D86FB6"/>
    <w:rsid w:val="00D870F6"/>
    <w:rsid w:val="00D871BB"/>
    <w:rsid w:val="00D872B8"/>
    <w:rsid w:val="00D874B9"/>
    <w:rsid w:val="00D875DE"/>
    <w:rsid w:val="00D877FF"/>
    <w:rsid w:val="00D87811"/>
    <w:rsid w:val="00D878B3"/>
    <w:rsid w:val="00D87989"/>
    <w:rsid w:val="00D879DF"/>
    <w:rsid w:val="00D87AA1"/>
    <w:rsid w:val="00D87AFE"/>
    <w:rsid w:val="00D87B0D"/>
    <w:rsid w:val="00D87B3E"/>
    <w:rsid w:val="00D87B68"/>
    <w:rsid w:val="00D87B96"/>
    <w:rsid w:val="00D87CA2"/>
    <w:rsid w:val="00D87E32"/>
    <w:rsid w:val="00D87E4A"/>
    <w:rsid w:val="00D9004B"/>
    <w:rsid w:val="00D90078"/>
    <w:rsid w:val="00D901E1"/>
    <w:rsid w:val="00D9028F"/>
    <w:rsid w:val="00D9037D"/>
    <w:rsid w:val="00D90598"/>
    <w:rsid w:val="00D90611"/>
    <w:rsid w:val="00D9081F"/>
    <w:rsid w:val="00D908F0"/>
    <w:rsid w:val="00D90938"/>
    <w:rsid w:val="00D9096C"/>
    <w:rsid w:val="00D909E9"/>
    <w:rsid w:val="00D90D0E"/>
    <w:rsid w:val="00D90D11"/>
    <w:rsid w:val="00D90DD1"/>
    <w:rsid w:val="00D90E53"/>
    <w:rsid w:val="00D90FED"/>
    <w:rsid w:val="00D9112F"/>
    <w:rsid w:val="00D91213"/>
    <w:rsid w:val="00D91289"/>
    <w:rsid w:val="00D91304"/>
    <w:rsid w:val="00D91345"/>
    <w:rsid w:val="00D91384"/>
    <w:rsid w:val="00D91401"/>
    <w:rsid w:val="00D914EB"/>
    <w:rsid w:val="00D9162D"/>
    <w:rsid w:val="00D916F6"/>
    <w:rsid w:val="00D918C2"/>
    <w:rsid w:val="00D9199B"/>
    <w:rsid w:val="00D91A0E"/>
    <w:rsid w:val="00D91C99"/>
    <w:rsid w:val="00D91D19"/>
    <w:rsid w:val="00D91D40"/>
    <w:rsid w:val="00D91D65"/>
    <w:rsid w:val="00D91DA2"/>
    <w:rsid w:val="00D91E35"/>
    <w:rsid w:val="00D91E57"/>
    <w:rsid w:val="00D91EC5"/>
    <w:rsid w:val="00D9211D"/>
    <w:rsid w:val="00D921B7"/>
    <w:rsid w:val="00D92201"/>
    <w:rsid w:val="00D92213"/>
    <w:rsid w:val="00D9233D"/>
    <w:rsid w:val="00D924B4"/>
    <w:rsid w:val="00D9250D"/>
    <w:rsid w:val="00D9259C"/>
    <w:rsid w:val="00D9274E"/>
    <w:rsid w:val="00D92899"/>
    <w:rsid w:val="00D92A80"/>
    <w:rsid w:val="00D92AA7"/>
    <w:rsid w:val="00D92B81"/>
    <w:rsid w:val="00D92BD0"/>
    <w:rsid w:val="00D92BD3"/>
    <w:rsid w:val="00D92D03"/>
    <w:rsid w:val="00D92D20"/>
    <w:rsid w:val="00D92D78"/>
    <w:rsid w:val="00D92F14"/>
    <w:rsid w:val="00D9301D"/>
    <w:rsid w:val="00D93232"/>
    <w:rsid w:val="00D932AA"/>
    <w:rsid w:val="00D93346"/>
    <w:rsid w:val="00D933D0"/>
    <w:rsid w:val="00D9347A"/>
    <w:rsid w:val="00D934D4"/>
    <w:rsid w:val="00D935D0"/>
    <w:rsid w:val="00D93718"/>
    <w:rsid w:val="00D9372E"/>
    <w:rsid w:val="00D937A3"/>
    <w:rsid w:val="00D937C8"/>
    <w:rsid w:val="00D938BD"/>
    <w:rsid w:val="00D93957"/>
    <w:rsid w:val="00D93993"/>
    <w:rsid w:val="00D939B3"/>
    <w:rsid w:val="00D939CC"/>
    <w:rsid w:val="00D939D4"/>
    <w:rsid w:val="00D93B37"/>
    <w:rsid w:val="00D93B54"/>
    <w:rsid w:val="00D93C3B"/>
    <w:rsid w:val="00D93C75"/>
    <w:rsid w:val="00D93CC5"/>
    <w:rsid w:val="00D93D87"/>
    <w:rsid w:val="00D93DC2"/>
    <w:rsid w:val="00D93EB7"/>
    <w:rsid w:val="00D93EB9"/>
    <w:rsid w:val="00D93F17"/>
    <w:rsid w:val="00D9415E"/>
    <w:rsid w:val="00D94216"/>
    <w:rsid w:val="00D94297"/>
    <w:rsid w:val="00D94299"/>
    <w:rsid w:val="00D9439F"/>
    <w:rsid w:val="00D943AC"/>
    <w:rsid w:val="00D94435"/>
    <w:rsid w:val="00D94448"/>
    <w:rsid w:val="00D944CB"/>
    <w:rsid w:val="00D9450E"/>
    <w:rsid w:val="00D9471A"/>
    <w:rsid w:val="00D94836"/>
    <w:rsid w:val="00D94A4A"/>
    <w:rsid w:val="00D94AAD"/>
    <w:rsid w:val="00D94F6A"/>
    <w:rsid w:val="00D94F77"/>
    <w:rsid w:val="00D9519F"/>
    <w:rsid w:val="00D951F9"/>
    <w:rsid w:val="00D95244"/>
    <w:rsid w:val="00D952B2"/>
    <w:rsid w:val="00D953A2"/>
    <w:rsid w:val="00D95432"/>
    <w:rsid w:val="00D95491"/>
    <w:rsid w:val="00D95542"/>
    <w:rsid w:val="00D95563"/>
    <w:rsid w:val="00D9560D"/>
    <w:rsid w:val="00D9572B"/>
    <w:rsid w:val="00D95795"/>
    <w:rsid w:val="00D95834"/>
    <w:rsid w:val="00D95DD7"/>
    <w:rsid w:val="00D95DEB"/>
    <w:rsid w:val="00D95EAE"/>
    <w:rsid w:val="00D95F41"/>
    <w:rsid w:val="00D95FB4"/>
    <w:rsid w:val="00D9617E"/>
    <w:rsid w:val="00D96283"/>
    <w:rsid w:val="00D962C5"/>
    <w:rsid w:val="00D96309"/>
    <w:rsid w:val="00D96431"/>
    <w:rsid w:val="00D9646C"/>
    <w:rsid w:val="00D96486"/>
    <w:rsid w:val="00D965C0"/>
    <w:rsid w:val="00D965FA"/>
    <w:rsid w:val="00D966D8"/>
    <w:rsid w:val="00D96737"/>
    <w:rsid w:val="00D9679F"/>
    <w:rsid w:val="00D96812"/>
    <w:rsid w:val="00D96B53"/>
    <w:rsid w:val="00D96B5F"/>
    <w:rsid w:val="00D96C1B"/>
    <w:rsid w:val="00D96D24"/>
    <w:rsid w:val="00D96E52"/>
    <w:rsid w:val="00D96E66"/>
    <w:rsid w:val="00D96FB4"/>
    <w:rsid w:val="00D97071"/>
    <w:rsid w:val="00D970DE"/>
    <w:rsid w:val="00D971B0"/>
    <w:rsid w:val="00D971F8"/>
    <w:rsid w:val="00D9746C"/>
    <w:rsid w:val="00D974D2"/>
    <w:rsid w:val="00D97555"/>
    <w:rsid w:val="00D975BF"/>
    <w:rsid w:val="00D975CB"/>
    <w:rsid w:val="00D976F3"/>
    <w:rsid w:val="00D97729"/>
    <w:rsid w:val="00D978C8"/>
    <w:rsid w:val="00D97949"/>
    <w:rsid w:val="00D979E9"/>
    <w:rsid w:val="00D97AE4"/>
    <w:rsid w:val="00D97BA7"/>
    <w:rsid w:val="00D97D4D"/>
    <w:rsid w:val="00DA00C7"/>
    <w:rsid w:val="00DA00CA"/>
    <w:rsid w:val="00DA01E2"/>
    <w:rsid w:val="00DA0223"/>
    <w:rsid w:val="00DA03E8"/>
    <w:rsid w:val="00DA04A8"/>
    <w:rsid w:val="00DA08E9"/>
    <w:rsid w:val="00DA09AF"/>
    <w:rsid w:val="00DA0A9B"/>
    <w:rsid w:val="00DA0BE9"/>
    <w:rsid w:val="00DA0C2F"/>
    <w:rsid w:val="00DA0C3C"/>
    <w:rsid w:val="00DA0C3F"/>
    <w:rsid w:val="00DA0C5A"/>
    <w:rsid w:val="00DA0CD8"/>
    <w:rsid w:val="00DA0E19"/>
    <w:rsid w:val="00DA0E81"/>
    <w:rsid w:val="00DA0E9C"/>
    <w:rsid w:val="00DA0EB8"/>
    <w:rsid w:val="00DA0F5F"/>
    <w:rsid w:val="00DA0F7E"/>
    <w:rsid w:val="00DA1021"/>
    <w:rsid w:val="00DA10F2"/>
    <w:rsid w:val="00DA13FD"/>
    <w:rsid w:val="00DA160E"/>
    <w:rsid w:val="00DA16D2"/>
    <w:rsid w:val="00DA1707"/>
    <w:rsid w:val="00DA1793"/>
    <w:rsid w:val="00DA1C21"/>
    <w:rsid w:val="00DA1C89"/>
    <w:rsid w:val="00DA1C99"/>
    <w:rsid w:val="00DA1D03"/>
    <w:rsid w:val="00DA1DE4"/>
    <w:rsid w:val="00DA1E6A"/>
    <w:rsid w:val="00DA1E74"/>
    <w:rsid w:val="00DA1F12"/>
    <w:rsid w:val="00DA1F34"/>
    <w:rsid w:val="00DA2031"/>
    <w:rsid w:val="00DA2049"/>
    <w:rsid w:val="00DA215A"/>
    <w:rsid w:val="00DA2175"/>
    <w:rsid w:val="00DA237B"/>
    <w:rsid w:val="00DA2398"/>
    <w:rsid w:val="00DA23B1"/>
    <w:rsid w:val="00DA23B7"/>
    <w:rsid w:val="00DA2508"/>
    <w:rsid w:val="00DA28CB"/>
    <w:rsid w:val="00DA2D0C"/>
    <w:rsid w:val="00DA2E71"/>
    <w:rsid w:val="00DA30F0"/>
    <w:rsid w:val="00DA350E"/>
    <w:rsid w:val="00DA35A2"/>
    <w:rsid w:val="00DA35C7"/>
    <w:rsid w:val="00DA365A"/>
    <w:rsid w:val="00DA3684"/>
    <w:rsid w:val="00DA37BD"/>
    <w:rsid w:val="00DA3AB6"/>
    <w:rsid w:val="00DA3B58"/>
    <w:rsid w:val="00DA3CCE"/>
    <w:rsid w:val="00DA3E14"/>
    <w:rsid w:val="00DA3E35"/>
    <w:rsid w:val="00DA3E9C"/>
    <w:rsid w:val="00DA3F13"/>
    <w:rsid w:val="00DA400A"/>
    <w:rsid w:val="00DA403C"/>
    <w:rsid w:val="00DA4133"/>
    <w:rsid w:val="00DA4268"/>
    <w:rsid w:val="00DA42BD"/>
    <w:rsid w:val="00DA430D"/>
    <w:rsid w:val="00DA438D"/>
    <w:rsid w:val="00DA44BE"/>
    <w:rsid w:val="00DA4556"/>
    <w:rsid w:val="00DA45BD"/>
    <w:rsid w:val="00DA4702"/>
    <w:rsid w:val="00DA4726"/>
    <w:rsid w:val="00DA473D"/>
    <w:rsid w:val="00DA4961"/>
    <w:rsid w:val="00DA4974"/>
    <w:rsid w:val="00DA499B"/>
    <w:rsid w:val="00DA4A74"/>
    <w:rsid w:val="00DA4C79"/>
    <w:rsid w:val="00DA4D43"/>
    <w:rsid w:val="00DA4D95"/>
    <w:rsid w:val="00DA4FB9"/>
    <w:rsid w:val="00DA5019"/>
    <w:rsid w:val="00DA50E6"/>
    <w:rsid w:val="00DA5391"/>
    <w:rsid w:val="00DA5417"/>
    <w:rsid w:val="00DA54B9"/>
    <w:rsid w:val="00DA5545"/>
    <w:rsid w:val="00DA55A0"/>
    <w:rsid w:val="00DA55E7"/>
    <w:rsid w:val="00DA57ED"/>
    <w:rsid w:val="00DA586F"/>
    <w:rsid w:val="00DA5A65"/>
    <w:rsid w:val="00DA5BB8"/>
    <w:rsid w:val="00DA5CC2"/>
    <w:rsid w:val="00DA5D61"/>
    <w:rsid w:val="00DA5DCC"/>
    <w:rsid w:val="00DA5F07"/>
    <w:rsid w:val="00DA5F14"/>
    <w:rsid w:val="00DA5F17"/>
    <w:rsid w:val="00DA5FCF"/>
    <w:rsid w:val="00DA604E"/>
    <w:rsid w:val="00DA60B7"/>
    <w:rsid w:val="00DA6193"/>
    <w:rsid w:val="00DA61B0"/>
    <w:rsid w:val="00DA625F"/>
    <w:rsid w:val="00DA627C"/>
    <w:rsid w:val="00DA63CD"/>
    <w:rsid w:val="00DA65CC"/>
    <w:rsid w:val="00DA665F"/>
    <w:rsid w:val="00DA6B25"/>
    <w:rsid w:val="00DA6BAC"/>
    <w:rsid w:val="00DA6C0F"/>
    <w:rsid w:val="00DA6C5A"/>
    <w:rsid w:val="00DA6D9B"/>
    <w:rsid w:val="00DA6DBB"/>
    <w:rsid w:val="00DA6DD1"/>
    <w:rsid w:val="00DA6E0D"/>
    <w:rsid w:val="00DA6ED3"/>
    <w:rsid w:val="00DA6F8E"/>
    <w:rsid w:val="00DA71DE"/>
    <w:rsid w:val="00DA7550"/>
    <w:rsid w:val="00DA76AC"/>
    <w:rsid w:val="00DA7821"/>
    <w:rsid w:val="00DA78C7"/>
    <w:rsid w:val="00DA7B18"/>
    <w:rsid w:val="00DA7B91"/>
    <w:rsid w:val="00DA7BF0"/>
    <w:rsid w:val="00DA7C36"/>
    <w:rsid w:val="00DA7C54"/>
    <w:rsid w:val="00DA7D34"/>
    <w:rsid w:val="00DA7DA7"/>
    <w:rsid w:val="00DA7EDE"/>
    <w:rsid w:val="00DA7F56"/>
    <w:rsid w:val="00DB0022"/>
    <w:rsid w:val="00DB01D1"/>
    <w:rsid w:val="00DB0396"/>
    <w:rsid w:val="00DB03C3"/>
    <w:rsid w:val="00DB03FC"/>
    <w:rsid w:val="00DB04CB"/>
    <w:rsid w:val="00DB0517"/>
    <w:rsid w:val="00DB0528"/>
    <w:rsid w:val="00DB05CE"/>
    <w:rsid w:val="00DB0695"/>
    <w:rsid w:val="00DB075F"/>
    <w:rsid w:val="00DB0782"/>
    <w:rsid w:val="00DB0784"/>
    <w:rsid w:val="00DB0824"/>
    <w:rsid w:val="00DB08FD"/>
    <w:rsid w:val="00DB09E0"/>
    <w:rsid w:val="00DB0A28"/>
    <w:rsid w:val="00DB0AC2"/>
    <w:rsid w:val="00DB0B15"/>
    <w:rsid w:val="00DB0BA4"/>
    <w:rsid w:val="00DB0D33"/>
    <w:rsid w:val="00DB0D85"/>
    <w:rsid w:val="00DB0EA7"/>
    <w:rsid w:val="00DB0ECE"/>
    <w:rsid w:val="00DB0F26"/>
    <w:rsid w:val="00DB0FA3"/>
    <w:rsid w:val="00DB0FD3"/>
    <w:rsid w:val="00DB1078"/>
    <w:rsid w:val="00DB12BD"/>
    <w:rsid w:val="00DB131D"/>
    <w:rsid w:val="00DB13E0"/>
    <w:rsid w:val="00DB148A"/>
    <w:rsid w:val="00DB159A"/>
    <w:rsid w:val="00DB15CC"/>
    <w:rsid w:val="00DB1711"/>
    <w:rsid w:val="00DB171A"/>
    <w:rsid w:val="00DB19E6"/>
    <w:rsid w:val="00DB1A45"/>
    <w:rsid w:val="00DB1CDE"/>
    <w:rsid w:val="00DB1CF4"/>
    <w:rsid w:val="00DB1EF2"/>
    <w:rsid w:val="00DB1F10"/>
    <w:rsid w:val="00DB1F6D"/>
    <w:rsid w:val="00DB2001"/>
    <w:rsid w:val="00DB2046"/>
    <w:rsid w:val="00DB20F8"/>
    <w:rsid w:val="00DB21DA"/>
    <w:rsid w:val="00DB22D5"/>
    <w:rsid w:val="00DB24A9"/>
    <w:rsid w:val="00DB24FE"/>
    <w:rsid w:val="00DB256C"/>
    <w:rsid w:val="00DB2648"/>
    <w:rsid w:val="00DB26B9"/>
    <w:rsid w:val="00DB273C"/>
    <w:rsid w:val="00DB2823"/>
    <w:rsid w:val="00DB2957"/>
    <w:rsid w:val="00DB2AAC"/>
    <w:rsid w:val="00DB2B4D"/>
    <w:rsid w:val="00DB2BFE"/>
    <w:rsid w:val="00DB2C0E"/>
    <w:rsid w:val="00DB2C94"/>
    <w:rsid w:val="00DB2CD4"/>
    <w:rsid w:val="00DB2D9D"/>
    <w:rsid w:val="00DB2DDF"/>
    <w:rsid w:val="00DB2F93"/>
    <w:rsid w:val="00DB3114"/>
    <w:rsid w:val="00DB319C"/>
    <w:rsid w:val="00DB3333"/>
    <w:rsid w:val="00DB33C7"/>
    <w:rsid w:val="00DB33D1"/>
    <w:rsid w:val="00DB34DD"/>
    <w:rsid w:val="00DB351C"/>
    <w:rsid w:val="00DB35A0"/>
    <w:rsid w:val="00DB387D"/>
    <w:rsid w:val="00DB3B5D"/>
    <w:rsid w:val="00DB3B6A"/>
    <w:rsid w:val="00DB3C67"/>
    <w:rsid w:val="00DB3CFF"/>
    <w:rsid w:val="00DB3DE4"/>
    <w:rsid w:val="00DB3EB7"/>
    <w:rsid w:val="00DB3EC5"/>
    <w:rsid w:val="00DB41D5"/>
    <w:rsid w:val="00DB4305"/>
    <w:rsid w:val="00DB43E6"/>
    <w:rsid w:val="00DB4429"/>
    <w:rsid w:val="00DB466D"/>
    <w:rsid w:val="00DB473C"/>
    <w:rsid w:val="00DB4942"/>
    <w:rsid w:val="00DB4A58"/>
    <w:rsid w:val="00DB4B5C"/>
    <w:rsid w:val="00DB4C5F"/>
    <w:rsid w:val="00DB4CE3"/>
    <w:rsid w:val="00DB4E59"/>
    <w:rsid w:val="00DB4E5D"/>
    <w:rsid w:val="00DB4EA7"/>
    <w:rsid w:val="00DB5111"/>
    <w:rsid w:val="00DB5118"/>
    <w:rsid w:val="00DB514E"/>
    <w:rsid w:val="00DB519F"/>
    <w:rsid w:val="00DB52D8"/>
    <w:rsid w:val="00DB5544"/>
    <w:rsid w:val="00DB5730"/>
    <w:rsid w:val="00DB5887"/>
    <w:rsid w:val="00DB58B3"/>
    <w:rsid w:val="00DB59D5"/>
    <w:rsid w:val="00DB5A36"/>
    <w:rsid w:val="00DB5B58"/>
    <w:rsid w:val="00DB5BCA"/>
    <w:rsid w:val="00DB5BDA"/>
    <w:rsid w:val="00DB5CE6"/>
    <w:rsid w:val="00DB5EB1"/>
    <w:rsid w:val="00DB6090"/>
    <w:rsid w:val="00DB60AA"/>
    <w:rsid w:val="00DB6169"/>
    <w:rsid w:val="00DB61D2"/>
    <w:rsid w:val="00DB6308"/>
    <w:rsid w:val="00DB6332"/>
    <w:rsid w:val="00DB634C"/>
    <w:rsid w:val="00DB648A"/>
    <w:rsid w:val="00DB6507"/>
    <w:rsid w:val="00DB6765"/>
    <w:rsid w:val="00DB691B"/>
    <w:rsid w:val="00DB69BB"/>
    <w:rsid w:val="00DB6C22"/>
    <w:rsid w:val="00DB6C5C"/>
    <w:rsid w:val="00DB6FE6"/>
    <w:rsid w:val="00DB7067"/>
    <w:rsid w:val="00DB707D"/>
    <w:rsid w:val="00DB71BB"/>
    <w:rsid w:val="00DB7257"/>
    <w:rsid w:val="00DB7309"/>
    <w:rsid w:val="00DB73E9"/>
    <w:rsid w:val="00DB7422"/>
    <w:rsid w:val="00DB7507"/>
    <w:rsid w:val="00DB7578"/>
    <w:rsid w:val="00DB7866"/>
    <w:rsid w:val="00DB7889"/>
    <w:rsid w:val="00DB7967"/>
    <w:rsid w:val="00DB79D0"/>
    <w:rsid w:val="00DB7A84"/>
    <w:rsid w:val="00DB7B55"/>
    <w:rsid w:val="00DB7CF6"/>
    <w:rsid w:val="00DB7EC7"/>
    <w:rsid w:val="00DB7ECB"/>
    <w:rsid w:val="00DC0024"/>
    <w:rsid w:val="00DC0065"/>
    <w:rsid w:val="00DC0089"/>
    <w:rsid w:val="00DC01D6"/>
    <w:rsid w:val="00DC01E0"/>
    <w:rsid w:val="00DC029E"/>
    <w:rsid w:val="00DC03F0"/>
    <w:rsid w:val="00DC04BE"/>
    <w:rsid w:val="00DC0520"/>
    <w:rsid w:val="00DC0563"/>
    <w:rsid w:val="00DC05B2"/>
    <w:rsid w:val="00DC08F3"/>
    <w:rsid w:val="00DC0BBE"/>
    <w:rsid w:val="00DC0C56"/>
    <w:rsid w:val="00DC0D00"/>
    <w:rsid w:val="00DC0E41"/>
    <w:rsid w:val="00DC0E5B"/>
    <w:rsid w:val="00DC0EA2"/>
    <w:rsid w:val="00DC114B"/>
    <w:rsid w:val="00DC144C"/>
    <w:rsid w:val="00DC1485"/>
    <w:rsid w:val="00DC14ED"/>
    <w:rsid w:val="00DC1649"/>
    <w:rsid w:val="00DC17BD"/>
    <w:rsid w:val="00DC185B"/>
    <w:rsid w:val="00DC18EC"/>
    <w:rsid w:val="00DC1A5E"/>
    <w:rsid w:val="00DC1B1D"/>
    <w:rsid w:val="00DC1B56"/>
    <w:rsid w:val="00DC1D45"/>
    <w:rsid w:val="00DC1F45"/>
    <w:rsid w:val="00DC2275"/>
    <w:rsid w:val="00DC234D"/>
    <w:rsid w:val="00DC2377"/>
    <w:rsid w:val="00DC23C3"/>
    <w:rsid w:val="00DC24D5"/>
    <w:rsid w:val="00DC24E8"/>
    <w:rsid w:val="00DC256C"/>
    <w:rsid w:val="00DC2598"/>
    <w:rsid w:val="00DC274B"/>
    <w:rsid w:val="00DC274E"/>
    <w:rsid w:val="00DC278C"/>
    <w:rsid w:val="00DC2922"/>
    <w:rsid w:val="00DC298B"/>
    <w:rsid w:val="00DC2A2C"/>
    <w:rsid w:val="00DC2AEE"/>
    <w:rsid w:val="00DC2B40"/>
    <w:rsid w:val="00DC2B61"/>
    <w:rsid w:val="00DC2BFE"/>
    <w:rsid w:val="00DC2CE3"/>
    <w:rsid w:val="00DC2D68"/>
    <w:rsid w:val="00DC2EA1"/>
    <w:rsid w:val="00DC2F30"/>
    <w:rsid w:val="00DC2FE4"/>
    <w:rsid w:val="00DC30BC"/>
    <w:rsid w:val="00DC30BF"/>
    <w:rsid w:val="00DC31EE"/>
    <w:rsid w:val="00DC3240"/>
    <w:rsid w:val="00DC327C"/>
    <w:rsid w:val="00DC32E5"/>
    <w:rsid w:val="00DC339F"/>
    <w:rsid w:val="00DC3680"/>
    <w:rsid w:val="00DC36F5"/>
    <w:rsid w:val="00DC37CB"/>
    <w:rsid w:val="00DC3807"/>
    <w:rsid w:val="00DC380A"/>
    <w:rsid w:val="00DC385E"/>
    <w:rsid w:val="00DC38F3"/>
    <w:rsid w:val="00DC3905"/>
    <w:rsid w:val="00DC39A5"/>
    <w:rsid w:val="00DC3A36"/>
    <w:rsid w:val="00DC3AD9"/>
    <w:rsid w:val="00DC3B54"/>
    <w:rsid w:val="00DC3D2D"/>
    <w:rsid w:val="00DC3F05"/>
    <w:rsid w:val="00DC408F"/>
    <w:rsid w:val="00DC40CA"/>
    <w:rsid w:val="00DC40F8"/>
    <w:rsid w:val="00DC4141"/>
    <w:rsid w:val="00DC4283"/>
    <w:rsid w:val="00DC4330"/>
    <w:rsid w:val="00DC47C2"/>
    <w:rsid w:val="00DC47DA"/>
    <w:rsid w:val="00DC4890"/>
    <w:rsid w:val="00DC48AF"/>
    <w:rsid w:val="00DC48D7"/>
    <w:rsid w:val="00DC4944"/>
    <w:rsid w:val="00DC499C"/>
    <w:rsid w:val="00DC4A2D"/>
    <w:rsid w:val="00DC4ADC"/>
    <w:rsid w:val="00DC4B38"/>
    <w:rsid w:val="00DC4C76"/>
    <w:rsid w:val="00DC4D3A"/>
    <w:rsid w:val="00DC4E62"/>
    <w:rsid w:val="00DC4EB8"/>
    <w:rsid w:val="00DC4F81"/>
    <w:rsid w:val="00DC4FA4"/>
    <w:rsid w:val="00DC4FE1"/>
    <w:rsid w:val="00DC5115"/>
    <w:rsid w:val="00DC52D9"/>
    <w:rsid w:val="00DC52DA"/>
    <w:rsid w:val="00DC534B"/>
    <w:rsid w:val="00DC5359"/>
    <w:rsid w:val="00DC53F9"/>
    <w:rsid w:val="00DC544E"/>
    <w:rsid w:val="00DC548F"/>
    <w:rsid w:val="00DC585A"/>
    <w:rsid w:val="00DC5A69"/>
    <w:rsid w:val="00DC5B4B"/>
    <w:rsid w:val="00DC5CA4"/>
    <w:rsid w:val="00DC5CB0"/>
    <w:rsid w:val="00DC5E01"/>
    <w:rsid w:val="00DC5E59"/>
    <w:rsid w:val="00DC5FF6"/>
    <w:rsid w:val="00DC5FFD"/>
    <w:rsid w:val="00DC61B2"/>
    <w:rsid w:val="00DC61FA"/>
    <w:rsid w:val="00DC6303"/>
    <w:rsid w:val="00DC649B"/>
    <w:rsid w:val="00DC66CC"/>
    <w:rsid w:val="00DC66D1"/>
    <w:rsid w:val="00DC685A"/>
    <w:rsid w:val="00DC6868"/>
    <w:rsid w:val="00DC6922"/>
    <w:rsid w:val="00DC692E"/>
    <w:rsid w:val="00DC6A48"/>
    <w:rsid w:val="00DC6AC7"/>
    <w:rsid w:val="00DC6C3D"/>
    <w:rsid w:val="00DC6C93"/>
    <w:rsid w:val="00DC6CF7"/>
    <w:rsid w:val="00DC6DFB"/>
    <w:rsid w:val="00DC6FD2"/>
    <w:rsid w:val="00DC71E4"/>
    <w:rsid w:val="00DC72BF"/>
    <w:rsid w:val="00DC73A6"/>
    <w:rsid w:val="00DC75B3"/>
    <w:rsid w:val="00DC76DF"/>
    <w:rsid w:val="00DC777E"/>
    <w:rsid w:val="00DC77F3"/>
    <w:rsid w:val="00DC79C7"/>
    <w:rsid w:val="00DC7A24"/>
    <w:rsid w:val="00DC7B0D"/>
    <w:rsid w:val="00DC7B39"/>
    <w:rsid w:val="00DC7D79"/>
    <w:rsid w:val="00DC7F4D"/>
    <w:rsid w:val="00DD0012"/>
    <w:rsid w:val="00DD011D"/>
    <w:rsid w:val="00DD01F8"/>
    <w:rsid w:val="00DD0220"/>
    <w:rsid w:val="00DD02C9"/>
    <w:rsid w:val="00DD042E"/>
    <w:rsid w:val="00DD0456"/>
    <w:rsid w:val="00DD04B5"/>
    <w:rsid w:val="00DD04DF"/>
    <w:rsid w:val="00DD0891"/>
    <w:rsid w:val="00DD08B9"/>
    <w:rsid w:val="00DD08DC"/>
    <w:rsid w:val="00DD093E"/>
    <w:rsid w:val="00DD0B23"/>
    <w:rsid w:val="00DD0CF8"/>
    <w:rsid w:val="00DD0E04"/>
    <w:rsid w:val="00DD0EB4"/>
    <w:rsid w:val="00DD0F6B"/>
    <w:rsid w:val="00DD100E"/>
    <w:rsid w:val="00DD1062"/>
    <w:rsid w:val="00DD115E"/>
    <w:rsid w:val="00DD120B"/>
    <w:rsid w:val="00DD1263"/>
    <w:rsid w:val="00DD155F"/>
    <w:rsid w:val="00DD15B3"/>
    <w:rsid w:val="00DD15DA"/>
    <w:rsid w:val="00DD164D"/>
    <w:rsid w:val="00DD17B3"/>
    <w:rsid w:val="00DD1958"/>
    <w:rsid w:val="00DD1A39"/>
    <w:rsid w:val="00DD1B14"/>
    <w:rsid w:val="00DD1B93"/>
    <w:rsid w:val="00DD1CD5"/>
    <w:rsid w:val="00DD1DFA"/>
    <w:rsid w:val="00DD20C0"/>
    <w:rsid w:val="00DD2199"/>
    <w:rsid w:val="00DD2231"/>
    <w:rsid w:val="00DD2360"/>
    <w:rsid w:val="00DD2455"/>
    <w:rsid w:val="00DD25A6"/>
    <w:rsid w:val="00DD2613"/>
    <w:rsid w:val="00DD27FE"/>
    <w:rsid w:val="00DD282D"/>
    <w:rsid w:val="00DD2875"/>
    <w:rsid w:val="00DD293B"/>
    <w:rsid w:val="00DD2945"/>
    <w:rsid w:val="00DD2AFF"/>
    <w:rsid w:val="00DD2B3F"/>
    <w:rsid w:val="00DD2CDB"/>
    <w:rsid w:val="00DD2D79"/>
    <w:rsid w:val="00DD2DCC"/>
    <w:rsid w:val="00DD2E2B"/>
    <w:rsid w:val="00DD2E6F"/>
    <w:rsid w:val="00DD30B2"/>
    <w:rsid w:val="00DD3195"/>
    <w:rsid w:val="00DD31BA"/>
    <w:rsid w:val="00DD3311"/>
    <w:rsid w:val="00DD34D4"/>
    <w:rsid w:val="00DD35C5"/>
    <w:rsid w:val="00DD3633"/>
    <w:rsid w:val="00DD37DE"/>
    <w:rsid w:val="00DD3A93"/>
    <w:rsid w:val="00DD3BB9"/>
    <w:rsid w:val="00DD3C04"/>
    <w:rsid w:val="00DD3C33"/>
    <w:rsid w:val="00DD3C9C"/>
    <w:rsid w:val="00DD3D41"/>
    <w:rsid w:val="00DD3E15"/>
    <w:rsid w:val="00DD3F35"/>
    <w:rsid w:val="00DD4174"/>
    <w:rsid w:val="00DD41A1"/>
    <w:rsid w:val="00DD41F1"/>
    <w:rsid w:val="00DD42DD"/>
    <w:rsid w:val="00DD44AE"/>
    <w:rsid w:val="00DD45AB"/>
    <w:rsid w:val="00DD47E7"/>
    <w:rsid w:val="00DD4945"/>
    <w:rsid w:val="00DD4A4B"/>
    <w:rsid w:val="00DD4C69"/>
    <w:rsid w:val="00DD4CC0"/>
    <w:rsid w:val="00DD4EB3"/>
    <w:rsid w:val="00DD4FC1"/>
    <w:rsid w:val="00DD50D9"/>
    <w:rsid w:val="00DD5135"/>
    <w:rsid w:val="00DD513A"/>
    <w:rsid w:val="00DD5144"/>
    <w:rsid w:val="00DD51CF"/>
    <w:rsid w:val="00DD51E1"/>
    <w:rsid w:val="00DD5242"/>
    <w:rsid w:val="00DD5469"/>
    <w:rsid w:val="00DD55AE"/>
    <w:rsid w:val="00DD5615"/>
    <w:rsid w:val="00DD56F9"/>
    <w:rsid w:val="00DD57E4"/>
    <w:rsid w:val="00DD581A"/>
    <w:rsid w:val="00DD59B4"/>
    <w:rsid w:val="00DD5B6F"/>
    <w:rsid w:val="00DD5CB2"/>
    <w:rsid w:val="00DD5D4A"/>
    <w:rsid w:val="00DD5D4F"/>
    <w:rsid w:val="00DD5FF4"/>
    <w:rsid w:val="00DD6140"/>
    <w:rsid w:val="00DD6161"/>
    <w:rsid w:val="00DD62A4"/>
    <w:rsid w:val="00DD637D"/>
    <w:rsid w:val="00DD656A"/>
    <w:rsid w:val="00DD668C"/>
    <w:rsid w:val="00DD66C4"/>
    <w:rsid w:val="00DD6758"/>
    <w:rsid w:val="00DD675B"/>
    <w:rsid w:val="00DD68E2"/>
    <w:rsid w:val="00DD6951"/>
    <w:rsid w:val="00DD6B2E"/>
    <w:rsid w:val="00DD6B8D"/>
    <w:rsid w:val="00DD6BD2"/>
    <w:rsid w:val="00DD6C42"/>
    <w:rsid w:val="00DD6D95"/>
    <w:rsid w:val="00DD6DA0"/>
    <w:rsid w:val="00DD6F1A"/>
    <w:rsid w:val="00DD7029"/>
    <w:rsid w:val="00DD7124"/>
    <w:rsid w:val="00DD7245"/>
    <w:rsid w:val="00DD72E4"/>
    <w:rsid w:val="00DD7393"/>
    <w:rsid w:val="00DD754B"/>
    <w:rsid w:val="00DD757B"/>
    <w:rsid w:val="00DD7591"/>
    <w:rsid w:val="00DD785D"/>
    <w:rsid w:val="00DD78A9"/>
    <w:rsid w:val="00DD79D2"/>
    <w:rsid w:val="00DD7A23"/>
    <w:rsid w:val="00DD7AFB"/>
    <w:rsid w:val="00DD7BEC"/>
    <w:rsid w:val="00DD7D1B"/>
    <w:rsid w:val="00DD7DBC"/>
    <w:rsid w:val="00DD7F5C"/>
    <w:rsid w:val="00DE00E8"/>
    <w:rsid w:val="00DE01E2"/>
    <w:rsid w:val="00DE01EB"/>
    <w:rsid w:val="00DE01FE"/>
    <w:rsid w:val="00DE0242"/>
    <w:rsid w:val="00DE0452"/>
    <w:rsid w:val="00DE0467"/>
    <w:rsid w:val="00DE04FF"/>
    <w:rsid w:val="00DE0515"/>
    <w:rsid w:val="00DE05F3"/>
    <w:rsid w:val="00DE0752"/>
    <w:rsid w:val="00DE0780"/>
    <w:rsid w:val="00DE07E2"/>
    <w:rsid w:val="00DE0816"/>
    <w:rsid w:val="00DE0852"/>
    <w:rsid w:val="00DE08E0"/>
    <w:rsid w:val="00DE0A79"/>
    <w:rsid w:val="00DE0BD6"/>
    <w:rsid w:val="00DE0BE8"/>
    <w:rsid w:val="00DE0CEE"/>
    <w:rsid w:val="00DE0DC1"/>
    <w:rsid w:val="00DE0DC2"/>
    <w:rsid w:val="00DE0E1B"/>
    <w:rsid w:val="00DE0F21"/>
    <w:rsid w:val="00DE0F31"/>
    <w:rsid w:val="00DE0FF6"/>
    <w:rsid w:val="00DE11BB"/>
    <w:rsid w:val="00DE124F"/>
    <w:rsid w:val="00DE1295"/>
    <w:rsid w:val="00DE143A"/>
    <w:rsid w:val="00DE1524"/>
    <w:rsid w:val="00DE15E0"/>
    <w:rsid w:val="00DE1638"/>
    <w:rsid w:val="00DE1645"/>
    <w:rsid w:val="00DE17BD"/>
    <w:rsid w:val="00DE1836"/>
    <w:rsid w:val="00DE1947"/>
    <w:rsid w:val="00DE194E"/>
    <w:rsid w:val="00DE1A43"/>
    <w:rsid w:val="00DE1A69"/>
    <w:rsid w:val="00DE1BAD"/>
    <w:rsid w:val="00DE1C52"/>
    <w:rsid w:val="00DE1D04"/>
    <w:rsid w:val="00DE1E2E"/>
    <w:rsid w:val="00DE1E35"/>
    <w:rsid w:val="00DE1F5A"/>
    <w:rsid w:val="00DE1FC6"/>
    <w:rsid w:val="00DE20A9"/>
    <w:rsid w:val="00DE20D4"/>
    <w:rsid w:val="00DE21D0"/>
    <w:rsid w:val="00DE2386"/>
    <w:rsid w:val="00DE2586"/>
    <w:rsid w:val="00DE2597"/>
    <w:rsid w:val="00DE25AD"/>
    <w:rsid w:val="00DE2633"/>
    <w:rsid w:val="00DE2664"/>
    <w:rsid w:val="00DE274A"/>
    <w:rsid w:val="00DE2790"/>
    <w:rsid w:val="00DE28C4"/>
    <w:rsid w:val="00DE2DD9"/>
    <w:rsid w:val="00DE2E33"/>
    <w:rsid w:val="00DE2F35"/>
    <w:rsid w:val="00DE30B5"/>
    <w:rsid w:val="00DE30D5"/>
    <w:rsid w:val="00DE30F0"/>
    <w:rsid w:val="00DE3120"/>
    <w:rsid w:val="00DE31A2"/>
    <w:rsid w:val="00DE31D5"/>
    <w:rsid w:val="00DE33CB"/>
    <w:rsid w:val="00DE33E0"/>
    <w:rsid w:val="00DE3421"/>
    <w:rsid w:val="00DE34C4"/>
    <w:rsid w:val="00DE3568"/>
    <w:rsid w:val="00DE35B4"/>
    <w:rsid w:val="00DE3693"/>
    <w:rsid w:val="00DE36BD"/>
    <w:rsid w:val="00DE36E6"/>
    <w:rsid w:val="00DE36E9"/>
    <w:rsid w:val="00DE375C"/>
    <w:rsid w:val="00DE3833"/>
    <w:rsid w:val="00DE38E3"/>
    <w:rsid w:val="00DE39D3"/>
    <w:rsid w:val="00DE3AC6"/>
    <w:rsid w:val="00DE3AD8"/>
    <w:rsid w:val="00DE3AF2"/>
    <w:rsid w:val="00DE3ED5"/>
    <w:rsid w:val="00DE3F2C"/>
    <w:rsid w:val="00DE4194"/>
    <w:rsid w:val="00DE43AC"/>
    <w:rsid w:val="00DE43D6"/>
    <w:rsid w:val="00DE46C3"/>
    <w:rsid w:val="00DE47E4"/>
    <w:rsid w:val="00DE485C"/>
    <w:rsid w:val="00DE498A"/>
    <w:rsid w:val="00DE4A08"/>
    <w:rsid w:val="00DE4A6E"/>
    <w:rsid w:val="00DE4B3D"/>
    <w:rsid w:val="00DE4B68"/>
    <w:rsid w:val="00DE4DBF"/>
    <w:rsid w:val="00DE4DC6"/>
    <w:rsid w:val="00DE4F04"/>
    <w:rsid w:val="00DE51A5"/>
    <w:rsid w:val="00DE51DA"/>
    <w:rsid w:val="00DE5344"/>
    <w:rsid w:val="00DE53AA"/>
    <w:rsid w:val="00DE571E"/>
    <w:rsid w:val="00DE5764"/>
    <w:rsid w:val="00DE5960"/>
    <w:rsid w:val="00DE596E"/>
    <w:rsid w:val="00DE59C4"/>
    <w:rsid w:val="00DE5CA4"/>
    <w:rsid w:val="00DE5CBC"/>
    <w:rsid w:val="00DE5E61"/>
    <w:rsid w:val="00DE5E62"/>
    <w:rsid w:val="00DE5E66"/>
    <w:rsid w:val="00DE60A5"/>
    <w:rsid w:val="00DE60BB"/>
    <w:rsid w:val="00DE6109"/>
    <w:rsid w:val="00DE630A"/>
    <w:rsid w:val="00DE636A"/>
    <w:rsid w:val="00DE63C7"/>
    <w:rsid w:val="00DE64B5"/>
    <w:rsid w:val="00DE6561"/>
    <w:rsid w:val="00DE65D0"/>
    <w:rsid w:val="00DE6708"/>
    <w:rsid w:val="00DE6822"/>
    <w:rsid w:val="00DE6874"/>
    <w:rsid w:val="00DE6937"/>
    <w:rsid w:val="00DE6AF3"/>
    <w:rsid w:val="00DE6B1D"/>
    <w:rsid w:val="00DE6C7C"/>
    <w:rsid w:val="00DE6CA6"/>
    <w:rsid w:val="00DE6CC6"/>
    <w:rsid w:val="00DE6D10"/>
    <w:rsid w:val="00DE6D83"/>
    <w:rsid w:val="00DE6E37"/>
    <w:rsid w:val="00DE6EE8"/>
    <w:rsid w:val="00DE6F5E"/>
    <w:rsid w:val="00DE70A3"/>
    <w:rsid w:val="00DE714D"/>
    <w:rsid w:val="00DE7344"/>
    <w:rsid w:val="00DE743B"/>
    <w:rsid w:val="00DE745F"/>
    <w:rsid w:val="00DE7466"/>
    <w:rsid w:val="00DE74BA"/>
    <w:rsid w:val="00DE76C4"/>
    <w:rsid w:val="00DE7858"/>
    <w:rsid w:val="00DE787A"/>
    <w:rsid w:val="00DE79AF"/>
    <w:rsid w:val="00DE7B8F"/>
    <w:rsid w:val="00DE7E70"/>
    <w:rsid w:val="00DE7EB0"/>
    <w:rsid w:val="00DE7F2E"/>
    <w:rsid w:val="00DF0039"/>
    <w:rsid w:val="00DF01A7"/>
    <w:rsid w:val="00DF0278"/>
    <w:rsid w:val="00DF03B0"/>
    <w:rsid w:val="00DF041B"/>
    <w:rsid w:val="00DF0423"/>
    <w:rsid w:val="00DF04A0"/>
    <w:rsid w:val="00DF0572"/>
    <w:rsid w:val="00DF05E8"/>
    <w:rsid w:val="00DF0720"/>
    <w:rsid w:val="00DF0845"/>
    <w:rsid w:val="00DF08A0"/>
    <w:rsid w:val="00DF08DA"/>
    <w:rsid w:val="00DF0C6F"/>
    <w:rsid w:val="00DF1135"/>
    <w:rsid w:val="00DF113E"/>
    <w:rsid w:val="00DF128E"/>
    <w:rsid w:val="00DF1369"/>
    <w:rsid w:val="00DF1411"/>
    <w:rsid w:val="00DF1415"/>
    <w:rsid w:val="00DF14CA"/>
    <w:rsid w:val="00DF156D"/>
    <w:rsid w:val="00DF15B6"/>
    <w:rsid w:val="00DF1820"/>
    <w:rsid w:val="00DF1974"/>
    <w:rsid w:val="00DF19FB"/>
    <w:rsid w:val="00DF1A20"/>
    <w:rsid w:val="00DF1BA5"/>
    <w:rsid w:val="00DF1CA3"/>
    <w:rsid w:val="00DF1DD3"/>
    <w:rsid w:val="00DF1E27"/>
    <w:rsid w:val="00DF1E9D"/>
    <w:rsid w:val="00DF20D8"/>
    <w:rsid w:val="00DF20E0"/>
    <w:rsid w:val="00DF224B"/>
    <w:rsid w:val="00DF22BC"/>
    <w:rsid w:val="00DF23EA"/>
    <w:rsid w:val="00DF241C"/>
    <w:rsid w:val="00DF27DA"/>
    <w:rsid w:val="00DF2869"/>
    <w:rsid w:val="00DF2879"/>
    <w:rsid w:val="00DF29DD"/>
    <w:rsid w:val="00DF2A2E"/>
    <w:rsid w:val="00DF2A34"/>
    <w:rsid w:val="00DF2A7D"/>
    <w:rsid w:val="00DF2B3B"/>
    <w:rsid w:val="00DF2C82"/>
    <w:rsid w:val="00DF2E6A"/>
    <w:rsid w:val="00DF2F96"/>
    <w:rsid w:val="00DF343E"/>
    <w:rsid w:val="00DF3521"/>
    <w:rsid w:val="00DF367C"/>
    <w:rsid w:val="00DF3746"/>
    <w:rsid w:val="00DF37BE"/>
    <w:rsid w:val="00DF381A"/>
    <w:rsid w:val="00DF3A15"/>
    <w:rsid w:val="00DF3A40"/>
    <w:rsid w:val="00DF3AD3"/>
    <w:rsid w:val="00DF3AE1"/>
    <w:rsid w:val="00DF3B76"/>
    <w:rsid w:val="00DF3E3D"/>
    <w:rsid w:val="00DF3EE7"/>
    <w:rsid w:val="00DF3F2A"/>
    <w:rsid w:val="00DF4034"/>
    <w:rsid w:val="00DF4075"/>
    <w:rsid w:val="00DF40C7"/>
    <w:rsid w:val="00DF413D"/>
    <w:rsid w:val="00DF41E8"/>
    <w:rsid w:val="00DF4249"/>
    <w:rsid w:val="00DF42DD"/>
    <w:rsid w:val="00DF43D4"/>
    <w:rsid w:val="00DF44C4"/>
    <w:rsid w:val="00DF47F7"/>
    <w:rsid w:val="00DF48E1"/>
    <w:rsid w:val="00DF4937"/>
    <w:rsid w:val="00DF49E9"/>
    <w:rsid w:val="00DF4A89"/>
    <w:rsid w:val="00DF4BA1"/>
    <w:rsid w:val="00DF4D9D"/>
    <w:rsid w:val="00DF4E0D"/>
    <w:rsid w:val="00DF4E39"/>
    <w:rsid w:val="00DF4EEB"/>
    <w:rsid w:val="00DF4F0A"/>
    <w:rsid w:val="00DF501D"/>
    <w:rsid w:val="00DF5050"/>
    <w:rsid w:val="00DF5275"/>
    <w:rsid w:val="00DF52D4"/>
    <w:rsid w:val="00DF52E8"/>
    <w:rsid w:val="00DF5664"/>
    <w:rsid w:val="00DF58A6"/>
    <w:rsid w:val="00DF58D3"/>
    <w:rsid w:val="00DF591D"/>
    <w:rsid w:val="00DF59B0"/>
    <w:rsid w:val="00DF5ACE"/>
    <w:rsid w:val="00DF5BE0"/>
    <w:rsid w:val="00DF5DA5"/>
    <w:rsid w:val="00DF5DE0"/>
    <w:rsid w:val="00DF5E20"/>
    <w:rsid w:val="00DF5EF6"/>
    <w:rsid w:val="00DF6093"/>
    <w:rsid w:val="00DF6172"/>
    <w:rsid w:val="00DF61D1"/>
    <w:rsid w:val="00DF6226"/>
    <w:rsid w:val="00DF6300"/>
    <w:rsid w:val="00DF64E2"/>
    <w:rsid w:val="00DF65CC"/>
    <w:rsid w:val="00DF6602"/>
    <w:rsid w:val="00DF6652"/>
    <w:rsid w:val="00DF671C"/>
    <w:rsid w:val="00DF6746"/>
    <w:rsid w:val="00DF675F"/>
    <w:rsid w:val="00DF695A"/>
    <w:rsid w:val="00DF6AF7"/>
    <w:rsid w:val="00DF6C5F"/>
    <w:rsid w:val="00DF6EA9"/>
    <w:rsid w:val="00DF703D"/>
    <w:rsid w:val="00DF71C1"/>
    <w:rsid w:val="00DF7294"/>
    <w:rsid w:val="00DF72C3"/>
    <w:rsid w:val="00DF7312"/>
    <w:rsid w:val="00DF74A6"/>
    <w:rsid w:val="00DF75A0"/>
    <w:rsid w:val="00DF75D4"/>
    <w:rsid w:val="00DF77CC"/>
    <w:rsid w:val="00DF7B18"/>
    <w:rsid w:val="00DF7BEB"/>
    <w:rsid w:val="00DF7CA2"/>
    <w:rsid w:val="00E0004F"/>
    <w:rsid w:val="00E00168"/>
    <w:rsid w:val="00E00301"/>
    <w:rsid w:val="00E004A1"/>
    <w:rsid w:val="00E00527"/>
    <w:rsid w:val="00E005E9"/>
    <w:rsid w:val="00E0063A"/>
    <w:rsid w:val="00E006C8"/>
    <w:rsid w:val="00E00794"/>
    <w:rsid w:val="00E007A6"/>
    <w:rsid w:val="00E00824"/>
    <w:rsid w:val="00E0099A"/>
    <w:rsid w:val="00E009D7"/>
    <w:rsid w:val="00E00AC0"/>
    <w:rsid w:val="00E00DB6"/>
    <w:rsid w:val="00E00DDE"/>
    <w:rsid w:val="00E00DE8"/>
    <w:rsid w:val="00E00E2B"/>
    <w:rsid w:val="00E00E80"/>
    <w:rsid w:val="00E00F16"/>
    <w:rsid w:val="00E00F81"/>
    <w:rsid w:val="00E00FD8"/>
    <w:rsid w:val="00E010A2"/>
    <w:rsid w:val="00E010C7"/>
    <w:rsid w:val="00E01223"/>
    <w:rsid w:val="00E0127F"/>
    <w:rsid w:val="00E01343"/>
    <w:rsid w:val="00E01421"/>
    <w:rsid w:val="00E01451"/>
    <w:rsid w:val="00E014C2"/>
    <w:rsid w:val="00E01979"/>
    <w:rsid w:val="00E01AD3"/>
    <w:rsid w:val="00E01BFB"/>
    <w:rsid w:val="00E01E57"/>
    <w:rsid w:val="00E01F1F"/>
    <w:rsid w:val="00E01FBB"/>
    <w:rsid w:val="00E02073"/>
    <w:rsid w:val="00E02153"/>
    <w:rsid w:val="00E021AE"/>
    <w:rsid w:val="00E02285"/>
    <w:rsid w:val="00E0233E"/>
    <w:rsid w:val="00E024E7"/>
    <w:rsid w:val="00E02591"/>
    <w:rsid w:val="00E02650"/>
    <w:rsid w:val="00E026AD"/>
    <w:rsid w:val="00E0275F"/>
    <w:rsid w:val="00E02898"/>
    <w:rsid w:val="00E028E2"/>
    <w:rsid w:val="00E0294D"/>
    <w:rsid w:val="00E0295A"/>
    <w:rsid w:val="00E029DA"/>
    <w:rsid w:val="00E02B3D"/>
    <w:rsid w:val="00E02B6E"/>
    <w:rsid w:val="00E02C42"/>
    <w:rsid w:val="00E02C8C"/>
    <w:rsid w:val="00E02CA8"/>
    <w:rsid w:val="00E02D8F"/>
    <w:rsid w:val="00E02F03"/>
    <w:rsid w:val="00E02F68"/>
    <w:rsid w:val="00E03077"/>
    <w:rsid w:val="00E0313D"/>
    <w:rsid w:val="00E03213"/>
    <w:rsid w:val="00E032A1"/>
    <w:rsid w:val="00E032F7"/>
    <w:rsid w:val="00E033D2"/>
    <w:rsid w:val="00E0357A"/>
    <w:rsid w:val="00E0389D"/>
    <w:rsid w:val="00E03960"/>
    <w:rsid w:val="00E03996"/>
    <w:rsid w:val="00E03B54"/>
    <w:rsid w:val="00E03BDA"/>
    <w:rsid w:val="00E03BE7"/>
    <w:rsid w:val="00E03C0B"/>
    <w:rsid w:val="00E03E01"/>
    <w:rsid w:val="00E03EAA"/>
    <w:rsid w:val="00E040DC"/>
    <w:rsid w:val="00E041C0"/>
    <w:rsid w:val="00E041D6"/>
    <w:rsid w:val="00E04205"/>
    <w:rsid w:val="00E04281"/>
    <w:rsid w:val="00E042BD"/>
    <w:rsid w:val="00E043CC"/>
    <w:rsid w:val="00E045E4"/>
    <w:rsid w:val="00E04707"/>
    <w:rsid w:val="00E04769"/>
    <w:rsid w:val="00E04816"/>
    <w:rsid w:val="00E04858"/>
    <w:rsid w:val="00E048A0"/>
    <w:rsid w:val="00E048CD"/>
    <w:rsid w:val="00E04B19"/>
    <w:rsid w:val="00E04B7D"/>
    <w:rsid w:val="00E04C74"/>
    <w:rsid w:val="00E04CA9"/>
    <w:rsid w:val="00E04E64"/>
    <w:rsid w:val="00E04EDE"/>
    <w:rsid w:val="00E04FED"/>
    <w:rsid w:val="00E050FB"/>
    <w:rsid w:val="00E0527C"/>
    <w:rsid w:val="00E0537E"/>
    <w:rsid w:val="00E053F5"/>
    <w:rsid w:val="00E05465"/>
    <w:rsid w:val="00E0553F"/>
    <w:rsid w:val="00E05563"/>
    <w:rsid w:val="00E055A1"/>
    <w:rsid w:val="00E0560D"/>
    <w:rsid w:val="00E05662"/>
    <w:rsid w:val="00E056B9"/>
    <w:rsid w:val="00E056E0"/>
    <w:rsid w:val="00E057E3"/>
    <w:rsid w:val="00E058D6"/>
    <w:rsid w:val="00E05BC8"/>
    <w:rsid w:val="00E05C8D"/>
    <w:rsid w:val="00E05E1F"/>
    <w:rsid w:val="00E05E73"/>
    <w:rsid w:val="00E0604B"/>
    <w:rsid w:val="00E060AB"/>
    <w:rsid w:val="00E061BD"/>
    <w:rsid w:val="00E061EA"/>
    <w:rsid w:val="00E06361"/>
    <w:rsid w:val="00E0646D"/>
    <w:rsid w:val="00E06503"/>
    <w:rsid w:val="00E06510"/>
    <w:rsid w:val="00E06680"/>
    <w:rsid w:val="00E066F0"/>
    <w:rsid w:val="00E06747"/>
    <w:rsid w:val="00E06892"/>
    <w:rsid w:val="00E068D7"/>
    <w:rsid w:val="00E06908"/>
    <w:rsid w:val="00E06971"/>
    <w:rsid w:val="00E06B0B"/>
    <w:rsid w:val="00E06B38"/>
    <w:rsid w:val="00E06BB9"/>
    <w:rsid w:val="00E06CB3"/>
    <w:rsid w:val="00E06E6B"/>
    <w:rsid w:val="00E06EC1"/>
    <w:rsid w:val="00E0725A"/>
    <w:rsid w:val="00E07473"/>
    <w:rsid w:val="00E075AD"/>
    <w:rsid w:val="00E07665"/>
    <w:rsid w:val="00E076B8"/>
    <w:rsid w:val="00E076FF"/>
    <w:rsid w:val="00E0774F"/>
    <w:rsid w:val="00E07794"/>
    <w:rsid w:val="00E0794F"/>
    <w:rsid w:val="00E07A73"/>
    <w:rsid w:val="00E07B28"/>
    <w:rsid w:val="00E07B7E"/>
    <w:rsid w:val="00E07BC7"/>
    <w:rsid w:val="00E07CBE"/>
    <w:rsid w:val="00E07D0A"/>
    <w:rsid w:val="00E07D82"/>
    <w:rsid w:val="00E07DD8"/>
    <w:rsid w:val="00E07E57"/>
    <w:rsid w:val="00E07EA2"/>
    <w:rsid w:val="00E100B3"/>
    <w:rsid w:val="00E100E8"/>
    <w:rsid w:val="00E102D7"/>
    <w:rsid w:val="00E10360"/>
    <w:rsid w:val="00E1038C"/>
    <w:rsid w:val="00E103ED"/>
    <w:rsid w:val="00E10509"/>
    <w:rsid w:val="00E10564"/>
    <w:rsid w:val="00E10587"/>
    <w:rsid w:val="00E10623"/>
    <w:rsid w:val="00E10807"/>
    <w:rsid w:val="00E108CA"/>
    <w:rsid w:val="00E10A2B"/>
    <w:rsid w:val="00E10B2D"/>
    <w:rsid w:val="00E10B7E"/>
    <w:rsid w:val="00E10C5A"/>
    <w:rsid w:val="00E10C5F"/>
    <w:rsid w:val="00E10C96"/>
    <w:rsid w:val="00E10C98"/>
    <w:rsid w:val="00E10CBC"/>
    <w:rsid w:val="00E10DB6"/>
    <w:rsid w:val="00E10E2D"/>
    <w:rsid w:val="00E10E33"/>
    <w:rsid w:val="00E10FD8"/>
    <w:rsid w:val="00E11012"/>
    <w:rsid w:val="00E11179"/>
    <w:rsid w:val="00E112E5"/>
    <w:rsid w:val="00E11374"/>
    <w:rsid w:val="00E113F9"/>
    <w:rsid w:val="00E114B6"/>
    <w:rsid w:val="00E1173D"/>
    <w:rsid w:val="00E1185C"/>
    <w:rsid w:val="00E1187D"/>
    <w:rsid w:val="00E119A1"/>
    <w:rsid w:val="00E11A2F"/>
    <w:rsid w:val="00E11B0C"/>
    <w:rsid w:val="00E11FE0"/>
    <w:rsid w:val="00E1208E"/>
    <w:rsid w:val="00E122F7"/>
    <w:rsid w:val="00E122FF"/>
    <w:rsid w:val="00E12400"/>
    <w:rsid w:val="00E12597"/>
    <w:rsid w:val="00E1273D"/>
    <w:rsid w:val="00E12817"/>
    <w:rsid w:val="00E12865"/>
    <w:rsid w:val="00E12A6D"/>
    <w:rsid w:val="00E12BBB"/>
    <w:rsid w:val="00E12C02"/>
    <w:rsid w:val="00E12D7D"/>
    <w:rsid w:val="00E12DE8"/>
    <w:rsid w:val="00E12E83"/>
    <w:rsid w:val="00E12EC2"/>
    <w:rsid w:val="00E12ED2"/>
    <w:rsid w:val="00E12F4B"/>
    <w:rsid w:val="00E130A4"/>
    <w:rsid w:val="00E130AE"/>
    <w:rsid w:val="00E13238"/>
    <w:rsid w:val="00E13259"/>
    <w:rsid w:val="00E135D8"/>
    <w:rsid w:val="00E136B9"/>
    <w:rsid w:val="00E13BCC"/>
    <w:rsid w:val="00E13C28"/>
    <w:rsid w:val="00E13C7C"/>
    <w:rsid w:val="00E13CB2"/>
    <w:rsid w:val="00E13DD0"/>
    <w:rsid w:val="00E13E4D"/>
    <w:rsid w:val="00E13FE7"/>
    <w:rsid w:val="00E1404E"/>
    <w:rsid w:val="00E1409B"/>
    <w:rsid w:val="00E142AD"/>
    <w:rsid w:val="00E1436A"/>
    <w:rsid w:val="00E1437F"/>
    <w:rsid w:val="00E14392"/>
    <w:rsid w:val="00E14456"/>
    <w:rsid w:val="00E1453D"/>
    <w:rsid w:val="00E14667"/>
    <w:rsid w:val="00E1466C"/>
    <w:rsid w:val="00E14756"/>
    <w:rsid w:val="00E14B5C"/>
    <w:rsid w:val="00E14D1E"/>
    <w:rsid w:val="00E14D50"/>
    <w:rsid w:val="00E14EF7"/>
    <w:rsid w:val="00E14F83"/>
    <w:rsid w:val="00E1502E"/>
    <w:rsid w:val="00E15058"/>
    <w:rsid w:val="00E150C6"/>
    <w:rsid w:val="00E151B5"/>
    <w:rsid w:val="00E1522F"/>
    <w:rsid w:val="00E1528B"/>
    <w:rsid w:val="00E152C7"/>
    <w:rsid w:val="00E15442"/>
    <w:rsid w:val="00E154C5"/>
    <w:rsid w:val="00E15507"/>
    <w:rsid w:val="00E15696"/>
    <w:rsid w:val="00E1580C"/>
    <w:rsid w:val="00E15A39"/>
    <w:rsid w:val="00E15AC2"/>
    <w:rsid w:val="00E15C43"/>
    <w:rsid w:val="00E15D8B"/>
    <w:rsid w:val="00E162A8"/>
    <w:rsid w:val="00E162F2"/>
    <w:rsid w:val="00E16406"/>
    <w:rsid w:val="00E16450"/>
    <w:rsid w:val="00E16478"/>
    <w:rsid w:val="00E164CF"/>
    <w:rsid w:val="00E1666E"/>
    <w:rsid w:val="00E167B7"/>
    <w:rsid w:val="00E168E3"/>
    <w:rsid w:val="00E16B19"/>
    <w:rsid w:val="00E16BE0"/>
    <w:rsid w:val="00E16BEA"/>
    <w:rsid w:val="00E16C29"/>
    <w:rsid w:val="00E16C5D"/>
    <w:rsid w:val="00E16C7D"/>
    <w:rsid w:val="00E16D02"/>
    <w:rsid w:val="00E17012"/>
    <w:rsid w:val="00E170CE"/>
    <w:rsid w:val="00E170E3"/>
    <w:rsid w:val="00E17175"/>
    <w:rsid w:val="00E1719E"/>
    <w:rsid w:val="00E171BE"/>
    <w:rsid w:val="00E172D9"/>
    <w:rsid w:val="00E173FC"/>
    <w:rsid w:val="00E17436"/>
    <w:rsid w:val="00E1748E"/>
    <w:rsid w:val="00E17792"/>
    <w:rsid w:val="00E1782A"/>
    <w:rsid w:val="00E17BAE"/>
    <w:rsid w:val="00E17C58"/>
    <w:rsid w:val="00E17F55"/>
    <w:rsid w:val="00E2019A"/>
    <w:rsid w:val="00E2033F"/>
    <w:rsid w:val="00E203B1"/>
    <w:rsid w:val="00E20400"/>
    <w:rsid w:val="00E204A7"/>
    <w:rsid w:val="00E2057E"/>
    <w:rsid w:val="00E205C4"/>
    <w:rsid w:val="00E20694"/>
    <w:rsid w:val="00E20705"/>
    <w:rsid w:val="00E2076D"/>
    <w:rsid w:val="00E207A4"/>
    <w:rsid w:val="00E208F7"/>
    <w:rsid w:val="00E20A49"/>
    <w:rsid w:val="00E20A99"/>
    <w:rsid w:val="00E20BCA"/>
    <w:rsid w:val="00E20BF3"/>
    <w:rsid w:val="00E20C4C"/>
    <w:rsid w:val="00E20DBD"/>
    <w:rsid w:val="00E20DD8"/>
    <w:rsid w:val="00E20FAC"/>
    <w:rsid w:val="00E20FD3"/>
    <w:rsid w:val="00E2100F"/>
    <w:rsid w:val="00E21018"/>
    <w:rsid w:val="00E21086"/>
    <w:rsid w:val="00E2108E"/>
    <w:rsid w:val="00E21231"/>
    <w:rsid w:val="00E2126E"/>
    <w:rsid w:val="00E21278"/>
    <w:rsid w:val="00E212E3"/>
    <w:rsid w:val="00E21420"/>
    <w:rsid w:val="00E21479"/>
    <w:rsid w:val="00E21556"/>
    <w:rsid w:val="00E2167C"/>
    <w:rsid w:val="00E216F4"/>
    <w:rsid w:val="00E21763"/>
    <w:rsid w:val="00E21861"/>
    <w:rsid w:val="00E21AC5"/>
    <w:rsid w:val="00E21D02"/>
    <w:rsid w:val="00E21D49"/>
    <w:rsid w:val="00E21D4B"/>
    <w:rsid w:val="00E21DC3"/>
    <w:rsid w:val="00E21E6E"/>
    <w:rsid w:val="00E21EAA"/>
    <w:rsid w:val="00E21F32"/>
    <w:rsid w:val="00E2214D"/>
    <w:rsid w:val="00E221CF"/>
    <w:rsid w:val="00E221F8"/>
    <w:rsid w:val="00E221FD"/>
    <w:rsid w:val="00E22220"/>
    <w:rsid w:val="00E22226"/>
    <w:rsid w:val="00E2228F"/>
    <w:rsid w:val="00E22392"/>
    <w:rsid w:val="00E223A1"/>
    <w:rsid w:val="00E2260C"/>
    <w:rsid w:val="00E2273B"/>
    <w:rsid w:val="00E229BF"/>
    <w:rsid w:val="00E22A33"/>
    <w:rsid w:val="00E22BAB"/>
    <w:rsid w:val="00E22C89"/>
    <w:rsid w:val="00E22CCA"/>
    <w:rsid w:val="00E22D50"/>
    <w:rsid w:val="00E22E96"/>
    <w:rsid w:val="00E23015"/>
    <w:rsid w:val="00E23035"/>
    <w:rsid w:val="00E23065"/>
    <w:rsid w:val="00E23225"/>
    <w:rsid w:val="00E232C1"/>
    <w:rsid w:val="00E2337F"/>
    <w:rsid w:val="00E235F9"/>
    <w:rsid w:val="00E23690"/>
    <w:rsid w:val="00E23A09"/>
    <w:rsid w:val="00E23B46"/>
    <w:rsid w:val="00E23E2E"/>
    <w:rsid w:val="00E23E95"/>
    <w:rsid w:val="00E23F18"/>
    <w:rsid w:val="00E23F23"/>
    <w:rsid w:val="00E23F55"/>
    <w:rsid w:val="00E23F5C"/>
    <w:rsid w:val="00E23FF6"/>
    <w:rsid w:val="00E24370"/>
    <w:rsid w:val="00E243AF"/>
    <w:rsid w:val="00E2441B"/>
    <w:rsid w:val="00E24584"/>
    <w:rsid w:val="00E245CA"/>
    <w:rsid w:val="00E246B3"/>
    <w:rsid w:val="00E248EB"/>
    <w:rsid w:val="00E2492D"/>
    <w:rsid w:val="00E24994"/>
    <w:rsid w:val="00E24A56"/>
    <w:rsid w:val="00E24AE1"/>
    <w:rsid w:val="00E24B83"/>
    <w:rsid w:val="00E24BE0"/>
    <w:rsid w:val="00E24D0E"/>
    <w:rsid w:val="00E24D42"/>
    <w:rsid w:val="00E24D75"/>
    <w:rsid w:val="00E24D9F"/>
    <w:rsid w:val="00E24F01"/>
    <w:rsid w:val="00E24F98"/>
    <w:rsid w:val="00E25004"/>
    <w:rsid w:val="00E25040"/>
    <w:rsid w:val="00E251F4"/>
    <w:rsid w:val="00E2523F"/>
    <w:rsid w:val="00E25241"/>
    <w:rsid w:val="00E2527F"/>
    <w:rsid w:val="00E25289"/>
    <w:rsid w:val="00E2575C"/>
    <w:rsid w:val="00E25A0D"/>
    <w:rsid w:val="00E25A20"/>
    <w:rsid w:val="00E25A7B"/>
    <w:rsid w:val="00E261D6"/>
    <w:rsid w:val="00E26281"/>
    <w:rsid w:val="00E26371"/>
    <w:rsid w:val="00E263A1"/>
    <w:rsid w:val="00E263D8"/>
    <w:rsid w:val="00E26423"/>
    <w:rsid w:val="00E26461"/>
    <w:rsid w:val="00E26674"/>
    <w:rsid w:val="00E266A9"/>
    <w:rsid w:val="00E26785"/>
    <w:rsid w:val="00E267F5"/>
    <w:rsid w:val="00E2680B"/>
    <w:rsid w:val="00E2682B"/>
    <w:rsid w:val="00E269D7"/>
    <w:rsid w:val="00E26DB9"/>
    <w:rsid w:val="00E26E43"/>
    <w:rsid w:val="00E26F31"/>
    <w:rsid w:val="00E26F5C"/>
    <w:rsid w:val="00E26FCA"/>
    <w:rsid w:val="00E2708C"/>
    <w:rsid w:val="00E27130"/>
    <w:rsid w:val="00E271FD"/>
    <w:rsid w:val="00E27244"/>
    <w:rsid w:val="00E272DD"/>
    <w:rsid w:val="00E27376"/>
    <w:rsid w:val="00E273F4"/>
    <w:rsid w:val="00E27574"/>
    <w:rsid w:val="00E275F3"/>
    <w:rsid w:val="00E276CD"/>
    <w:rsid w:val="00E2771A"/>
    <w:rsid w:val="00E2796C"/>
    <w:rsid w:val="00E27A33"/>
    <w:rsid w:val="00E27B9F"/>
    <w:rsid w:val="00E27C18"/>
    <w:rsid w:val="00E27D7B"/>
    <w:rsid w:val="00E27EF3"/>
    <w:rsid w:val="00E27F1C"/>
    <w:rsid w:val="00E27FFB"/>
    <w:rsid w:val="00E3000D"/>
    <w:rsid w:val="00E3000F"/>
    <w:rsid w:val="00E300EC"/>
    <w:rsid w:val="00E3021A"/>
    <w:rsid w:val="00E3028C"/>
    <w:rsid w:val="00E30333"/>
    <w:rsid w:val="00E30361"/>
    <w:rsid w:val="00E30592"/>
    <w:rsid w:val="00E305A4"/>
    <w:rsid w:val="00E30630"/>
    <w:rsid w:val="00E30863"/>
    <w:rsid w:val="00E308F7"/>
    <w:rsid w:val="00E30A76"/>
    <w:rsid w:val="00E30ADE"/>
    <w:rsid w:val="00E30B49"/>
    <w:rsid w:val="00E30BC3"/>
    <w:rsid w:val="00E30CBF"/>
    <w:rsid w:val="00E30D71"/>
    <w:rsid w:val="00E30F4B"/>
    <w:rsid w:val="00E31131"/>
    <w:rsid w:val="00E311F6"/>
    <w:rsid w:val="00E313D3"/>
    <w:rsid w:val="00E31438"/>
    <w:rsid w:val="00E315AF"/>
    <w:rsid w:val="00E315D5"/>
    <w:rsid w:val="00E316D6"/>
    <w:rsid w:val="00E316E0"/>
    <w:rsid w:val="00E317D2"/>
    <w:rsid w:val="00E31848"/>
    <w:rsid w:val="00E3187B"/>
    <w:rsid w:val="00E31AC2"/>
    <w:rsid w:val="00E31ACF"/>
    <w:rsid w:val="00E31BC1"/>
    <w:rsid w:val="00E31C93"/>
    <w:rsid w:val="00E31EFF"/>
    <w:rsid w:val="00E31FD3"/>
    <w:rsid w:val="00E31FDC"/>
    <w:rsid w:val="00E32139"/>
    <w:rsid w:val="00E322F4"/>
    <w:rsid w:val="00E32323"/>
    <w:rsid w:val="00E323B9"/>
    <w:rsid w:val="00E323DE"/>
    <w:rsid w:val="00E3242F"/>
    <w:rsid w:val="00E3264B"/>
    <w:rsid w:val="00E32868"/>
    <w:rsid w:val="00E329CB"/>
    <w:rsid w:val="00E329E8"/>
    <w:rsid w:val="00E32A45"/>
    <w:rsid w:val="00E32B08"/>
    <w:rsid w:val="00E32B28"/>
    <w:rsid w:val="00E32BB8"/>
    <w:rsid w:val="00E32C47"/>
    <w:rsid w:val="00E32EC2"/>
    <w:rsid w:val="00E32FA0"/>
    <w:rsid w:val="00E3305D"/>
    <w:rsid w:val="00E330E2"/>
    <w:rsid w:val="00E332C6"/>
    <w:rsid w:val="00E33380"/>
    <w:rsid w:val="00E333A9"/>
    <w:rsid w:val="00E33451"/>
    <w:rsid w:val="00E335D4"/>
    <w:rsid w:val="00E3389B"/>
    <w:rsid w:val="00E33918"/>
    <w:rsid w:val="00E33A01"/>
    <w:rsid w:val="00E33AE2"/>
    <w:rsid w:val="00E33B98"/>
    <w:rsid w:val="00E33D44"/>
    <w:rsid w:val="00E33D69"/>
    <w:rsid w:val="00E33EE8"/>
    <w:rsid w:val="00E33F72"/>
    <w:rsid w:val="00E3401D"/>
    <w:rsid w:val="00E34066"/>
    <w:rsid w:val="00E340BE"/>
    <w:rsid w:val="00E3418A"/>
    <w:rsid w:val="00E34197"/>
    <w:rsid w:val="00E34285"/>
    <w:rsid w:val="00E346F9"/>
    <w:rsid w:val="00E3475B"/>
    <w:rsid w:val="00E348D7"/>
    <w:rsid w:val="00E34964"/>
    <w:rsid w:val="00E34AC7"/>
    <w:rsid w:val="00E34AED"/>
    <w:rsid w:val="00E34B89"/>
    <w:rsid w:val="00E34B99"/>
    <w:rsid w:val="00E34BE7"/>
    <w:rsid w:val="00E34D5F"/>
    <w:rsid w:val="00E34E99"/>
    <w:rsid w:val="00E34F67"/>
    <w:rsid w:val="00E35039"/>
    <w:rsid w:val="00E350B5"/>
    <w:rsid w:val="00E350DC"/>
    <w:rsid w:val="00E35241"/>
    <w:rsid w:val="00E353F4"/>
    <w:rsid w:val="00E35545"/>
    <w:rsid w:val="00E356C1"/>
    <w:rsid w:val="00E35765"/>
    <w:rsid w:val="00E3590A"/>
    <w:rsid w:val="00E35CBC"/>
    <w:rsid w:val="00E35CCC"/>
    <w:rsid w:val="00E35E7A"/>
    <w:rsid w:val="00E36015"/>
    <w:rsid w:val="00E36131"/>
    <w:rsid w:val="00E361CB"/>
    <w:rsid w:val="00E36441"/>
    <w:rsid w:val="00E3653D"/>
    <w:rsid w:val="00E367B3"/>
    <w:rsid w:val="00E36A0F"/>
    <w:rsid w:val="00E36B34"/>
    <w:rsid w:val="00E36BCE"/>
    <w:rsid w:val="00E36BEB"/>
    <w:rsid w:val="00E36BF0"/>
    <w:rsid w:val="00E36E52"/>
    <w:rsid w:val="00E37056"/>
    <w:rsid w:val="00E372DC"/>
    <w:rsid w:val="00E37370"/>
    <w:rsid w:val="00E375E5"/>
    <w:rsid w:val="00E37798"/>
    <w:rsid w:val="00E377A8"/>
    <w:rsid w:val="00E3787F"/>
    <w:rsid w:val="00E37A52"/>
    <w:rsid w:val="00E37B0E"/>
    <w:rsid w:val="00E37D81"/>
    <w:rsid w:val="00E40015"/>
    <w:rsid w:val="00E400A9"/>
    <w:rsid w:val="00E40114"/>
    <w:rsid w:val="00E4013C"/>
    <w:rsid w:val="00E40146"/>
    <w:rsid w:val="00E401AB"/>
    <w:rsid w:val="00E402E7"/>
    <w:rsid w:val="00E40450"/>
    <w:rsid w:val="00E4046F"/>
    <w:rsid w:val="00E40558"/>
    <w:rsid w:val="00E40716"/>
    <w:rsid w:val="00E4074C"/>
    <w:rsid w:val="00E40916"/>
    <w:rsid w:val="00E40A86"/>
    <w:rsid w:val="00E40B12"/>
    <w:rsid w:val="00E40C04"/>
    <w:rsid w:val="00E40DD7"/>
    <w:rsid w:val="00E40DDA"/>
    <w:rsid w:val="00E40F25"/>
    <w:rsid w:val="00E40FF9"/>
    <w:rsid w:val="00E41002"/>
    <w:rsid w:val="00E41047"/>
    <w:rsid w:val="00E412BD"/>
    <w:rsid w:val="00E41440"/>
    <w:rsid w:val="00E414FE"/>
    <w:rsid w:val="00E41584"/>
    <w:rsid w:val="00E41588"/>
    <w:rsid w:val="00E415CB"/>
    <w:rsid w:val="00E41732"/>
    <w:rsid w:val="00E417E6"/>
    <w:rsid w:val="00E418A2"/>
    <w:rsid w:val="00E418B3"/>
    <w:rsid w:val="00E4198C"/>
    <w:rsid w:val="00E419A6"/>
    <w:rsid w:val="00E41A14"/>
    <w:rsid w:val="00E41C3C"/>
    <w:rsid w:val="00E41C6A"/>
    <w:rsid w:val="00E41D2B"/>
    <w:rsid w:val="00E41D54"/>
    <w:rsid w:val="00E41E38"/>
    <w:rsid w:val="00E41F33"/>
    <w:rsid w:val="00E41F67"/>
    <w:rsid w:val="00E4204D"/>
    <w:rsid w:val="00E4205E"/>
    <w:rsid w:val="00E4214A"/>
    <w:rsid w:val="00E42160"/>
    <w:rsid w:val="00E42172"/>
    <w:rsid w:val="00E42245"/>
    <w:rsid w:val="00E42322"/>
    <w:rsid w:val="00E42382"/>
    <w:rsid w:val="00E423AF"/>
    <w:rsid w:val="00E42614"/>
    <w:rsid w:val="00E42758"/>
    <w:rsid w:val="00E42888"/>
    <w:rsid w:val="00E428CA"/>
    <w:rsid w:val="00E42CEF"/>
    <w:rsid w:val="00E42E59"/>
    <w:rsid w:val="00E42E85"/>
    <w:rsid w:val="00E42EDE"/>
    <w:rsid w:val="00E42F69"/>
    <w:rsid w:val="00E43034"/>
    <w:rsid w:val="00E43037"/>
    <w:rsid w:val="00E43084"/>
    <w:rsid w:val="00E4308D"/>
    <w:rsid w:val="00E430A2"/>
    <w:rsid w:val="00E431E4"/>
    <w:rsid w:val="00E43216"/>
    <w:rsid w:val="00E432E8"/>
    <w:rsid w:val="00E43423"/>
    <w:rsid w:val="00E4343D"/>
    <w:rsid w:val="00E438CE"/>
    <w:rsid w:val="00E4390D"/>
    <w:rsid w:val="00E43A1D"/>
    <w:rsid w:val="00E43A75"/>
    <w:rsid w:val="00E43B2F"/>
    <w:rsid w:val="00E43B30"/>
    <w:rsid w:val="00E43B45"/>
    <w:rsid w:val="00E43C34"/>
    <w:rsid w:val="00E43D04"/>
    <w:rsid w:val="00E43D20"/>
    <w:rsid w:val="00E43E53"/>
    <w:rsid w:val="00E43E90"/>
    <w:rsid w:val="00E43F6B"/>
    <w:rsid w:val="00E440CE"/>
    <w:rsid w:val="00E440FB"/>
    <w:rsid w:val="00E4432C"/>
    <w:rsid w:val="00E44459"/>
    <w:rsid w:val="00E444DC"/>
    <w:rsid w:val="00E4472F"/>
    <w:rsid w:val="00E447C1"/>
    <w:rsid w:val="00E44919"/>
    <w:rsid w:val="00E44A42"/>
    <w:rsid w:val="00E44B2C"/>
    <w:rsid w:val="00E44BD3"/>
    <w:rsid w:val="00E44C27"/>
    <w:rsid w:val="00E44C4F"/>
    <w:rsid w:val="00E44E22"/>
    <w:rsid w:val="00E44E62"/>
    <w:rsid w:val="00E44F20"/>
    <w:rsid w:val="00E44F2D"/>
    <w:rsid w:val="00E44FA4"/>
    <w:rsid w:val="00E450AA"/>
    <w:rsid w:val="00E45162"/>
    <w:rsid w:val="00E45219"/>
    <w:rsid w:val="00E4521C"/>
    <w:rsid w:val="00E45458"/>
    <w:rsid w:val="00E45495"/>
    <w:rsid w:val="00E45587"/>
    <w:rsid w:val="00E45600"/>
    <w:rsid w:val="00E457FF"/>
    <w:rsid w:val="00E45897"/>
    <w:rsid w:val="00E4595B"/>
    <w:rsid w:val="00E459E7"/>
    <w:rsid w:val="00E45A2E"/>
    <w:rsid w:val="00E45A3B"/>
    <w:rsid w:val="00E45A84"/>
    <w:rsid w:val="00E45ABD"/>
    <w:rsid w:val="00E45BE6"/>
    <w:rsid w:val="00E45D76"/>
    <w:rsid w:val="00E45E1B"/>
    <w:rsid w:val="00E45E1E"/>
    <w:rsid w:val="00E45F8D"/>
    <w:rsid w:val="00E46043"/>
    <w:rsid w:val="00E46122"/>
    <w:rsid w:val="00E46173"/>
    <w:rsid w:val="00E462B2"/>
    <w:rsid w:val="00E46340"/>
    <w:rsid w:val="00E46489"/>
    <w:rsid w:val="00E464BD"/>
    <w:rsid w:val="00E464D9"/>
    <w:rsid w:val="00E46611"/>
    <w:rsid w:val="00E46801"/>
    <w:rsid w:val="00E4687F"/>
    <w:rsid w:val="00E46C3F"/>
    <w:rsid w:val="00E46EB2"/>
    <w:rsid w:val="00E46F7A"/>
    <w:rsid w:val="00E46FBB"/>
    <w:rsid w:val="00E46FDE"/>
    <w:rsid w:val="00E47082"/>
    <w:rsid w:val="00E4709D"/>
    <w:rsid w:val="00E47201"/>
    <w:rsid w:val="00E472F0"/>
    <w:rsid w:val="00E4749E"/>
    <w:rsid w:val="00E4765E"/>
    <w:rsid w:val="00E4771D"/>
    <w:rsid w:val="00E47762"/>
    <w:rsid w:val="00E477AD"/>
    <w:rsid w:val="00E478DB"/>
    <w:rsid w:val="00E47914"/>
    <w:rsid w:val="00E47992"/>
    <w:rsid w:val="00E47B70"/>
    <w:rsid w:val="00E47BF2"/>
    <w:rsid w:val="00E47CDB"/>
    <w:rsid w:val="00E47CE9"/>
    <w:rsid w:val="00E47D5E"/>
    <w:rsid w:val="00E47E27"/>
    <w:rsid w:val="00E47E8B"/>
    <w:rsid w:val="00E47ED5"/>
    <w:rsid w:val="00E50047"/>
    <w:rsid w:val="00E502C1"/>
    <w:rsid w:val="00E50394"/>
    <w:rsid w:val="00E504C6"/>
    <w:rsid w:val="00E506EB"/>
    <w:rsid w:val="00E5078F"/>
    <w:rsid w:val="00E5089E"/>
    <w:rsid w:val="00E50B1E"/>
    <w:rsid w:val="00E50B71"/>
    <w:rsid w:val="00E50B9D"/>
    <w:rsid w:val="00E50C0B"/>
    <w:rsid w:val="00E50C88"/>
    <w:rsid w:val="00E50CA9"/>
    <w:rsid w:val="00E50DAF"/>
    <w:rsid w:val="00E511E4"/>
    <w:rsid w:val="00E513C7"/>
    <w:rsid w:val="00E51469"/>
    <w:rsid w:val="00E515DB"/>
    <w:rsid w:val="00E51A88"/>
    <w:rsid w:val="00E51B75"/>
    <w:rsid w:val="00E51C1E"/>
    <w:rsid w:val="00E51C49"/>
    <w:rsid w:val="00E51C54"/>
    <w:rsid w:val="00E51DE9"/>
    <w:rsid w:val="00E51E07"/>
    <w:rsid w:val="00E5202B"/>
    <w:rsid w:val="00E52040"/>
    <w:rsid w:val="00E520CC"/>
    <w:rsid w:val="00E52103"/>
    <w:rsid w:val="00E52116"/>
    <w:rsid w:val="00E5212B"/>
    <w:rsid w:val="00E52164"/>
    <w:rsid w:val="00E5223F"/>
    <w:rsid w:val="00E522BB"/>
    <w:rsid w:val="00E52322"/>
    <w:rsid w:val="00E52397"/>
    <w:rsid w:val="00E52483"/>
    <w:rsid w:val="00E524B0"/>
    <w:rsid w:val="00E525B1"/>
    <w:rsid w:val="00E526D5"/>
    <w:rsid w:val="00E52728"/>
    <w:rsid w:val="00E528E6"/>
    <w:rsid w:val="00E529F6"/>
    <w:rsid w:val="00E52A18"/>
    <w:rsid w:val="00E52BB1"/>
    <w:rsid w:val="00E52BC8"/>
    <w:rsid w:val="00E52C08"/>
    <w:rsid w:val="00E52C1E"/>
    <w:rsid w:val="00E52CB6"/>
    <w:rsid w:val="00E52D3B"/>
    <w:rsid w:val="00E52FD6"/>
    <w:rsid w:val="00E5301E"/>
    <w:rsid w:val="00E53105"/>
    <w:rsid w:val="00E5319C"/>
    <w:rsid w:val="00E53209"/>
    <w:rsid w:val="00E5321C"/>
    <w:rsid w:val="00E53319"/>
    <w:rsid w:val="00E53365"/>
    <w:rsid w:val="00E534B3"/>
    <w:rsid w:val="00E5352B"/>
    <w:rsid w:val="00E5363B"/>
    <w:rsid w:val="00E537BC"/>
    <w:rsid w:val="00E53837"/>
    <w:rsid w:val="00E538EE"/>
    <w:rsid w:val="00E539A9"/>
    <w:rsid w:val="00E539FB"/>
    <w:rsid w:val="00E53AC3"/>
    <w:rsid w:val="00E53B00"/>
    <w:rsid w:val="00E53C59"/>
    <w:rsid w:val="00E53CD3"/>
    <w:rsid w:val="00E53DF8"/>
    <w:rsid w:val="00E53EB4"/>
    <w:rsid w:val="00E53EC1"/>
    <w:rsid w:val="00E53F25"/>
    <w:rsid w:val="00E53F5D"/>
    <w:rsid w:val="00E53F61"/>
    <w:rsid w:val="00E53FCD"/>
    <w:rsid w:val="00E53FF3"/>
    <w:rsid w:val="00E54037"/>
    <w:rsid w:val="00E540F1"/>
    <w:rsid w:val="00E54163"/>
    <w:rsid w:val="00E541A3"/>
    <w:rsid w:val="00E54322"/>
    <w:rsid w:val="00E543E5"/>
    <w:rsid w:val="00E5440D"/>
    <w:rsid w:val="00E545B4"/>
    <w:rsid w:val="00E545BD"/>
    <w:rsid w:val="00E54600"/>
    <w:rsid w:val="00E547E0"/>
    <w:rsid w:val="00E54820"/>
    <w:rsid w:val="00E5488F"/>
    <w:rsid w:val="00E548FC"/>
    <w:rsid w:val="00E5491D"/>
    <w:rsid w:val="00E549BC"/>
    <w:rsid w:val="00E549C3"/>
    <w:rsid w:val="00E54A32"/>
    <w:rsid w:val="00E54AF3"/>
    <w:rsid w:val="00E54B5C"/>
    <w:rsid w:val="00E54BA8"/>
    <w:rsid w:val="00E54BB4"/>
    <w:rsid w:val="00E54DB1"/>
    <w:rsid w:val="00E54DD5"/>
    <w:rsid w:val="00E54EC0"/>
    <w:rsid w:val="00E54F67"/>
    <w:rsid w:val="00E54F77"/>
    <w:rsid w:val="00E54FC1"/>
    <w:rsid w:val="00E5511E"/>
    <w:rsid w:val="00E55176"/>
    <w:rsid w:val="00E551CE"/>
    <w:rsid w:val="00E5521C"/>
    <w:rsid w:val="00E55237"/>
    <w:rsid w:val="00E5526A"/>
    <w:rsid w:val="00E55280"/>
    <w:rsid w:val="00E55491"/>
    <w:rsid w:val="00E5555C"/>
    <w:rsid w:val="00E555C7"/>
    <w:rsid w:val="00E55622"/>
    <w:rsid w:val="00E55762"/>
    <w:rsid w:val="00E55E43"/>
    <w:rsid w:val="00E55F73"/>
    <w:rsid w:val="00E561F8"/>
    <w:rsid w:val="00E5640A"/>
    <w:rsid w:val="00E5650A"/>
    <w:rsid w:val="00E56571"/>
    <w:rsid w:val="00E56637"/>
    <w:rsid w:val="00E56871"/>
    <w:rsid w:val="00E56983"/>
    <w:rsid w:val="00E56AE0"/>
    <w:rsid w:val="00E56B15"/>
    <w:rsid w:val="00E56D40"/>
    <w:rsid w:val="00E56DF7"/>
    <w:rsid w:val="00E56DF9"/>
    <w:rsid w:val="00E56E69"/>
    <w:rsid w:val="00E5701C"/>
    <w:rsid w:val="00E57173"/>
    <w:rsid w:val="00E57685"/>
    <w:rsid w:val="00E57687"/>
    <w:rsid w:val="00E57696"/>
    <w:rsid w:val="00E576C6"/>
    <w:rsid w:val="00E5775D"/>
    <w:rsid w:val="00E57847"/>
    <w:rsid w:val="00E579E1"/>
    <w:rsid w:val="00E57AEC"/>
    <w:rsid w:val="00E57B0F"/>
    <w:rsid w:val="00E57B6C"/>
    <w:rsid w:val="00E57B87"/>
    <w:rsid w:val="00E57C4C"/>
    <w:rsid w:val="00E57C78"/>
    <w:rsid w:val="00E57CE2"/>
    <w:rsid w:val="00E57D12"/>
    <w:rsid w:val="00E57E6F"/>
    <w:rsid w:val="00E57E87"/>
    <w:rsid w:val="00E57FC9"/>
    <w:rsid w:val="00E6014B"/>
    <w:rsid w:val="00E6018B"/>
    <w:rsid w:val="00E60271"/>
    <w:rsid w:val="00E6030A"/>
    <w:rsid w:val="00E60460"/>
    <w:rsid w:val="00E6047D"/>
    <w:rsid w:val="00E605C6"/>
    <w:rsid w:val="00E60630"/>
    <w:rsid w:val="00E60908"/>
    <w:rsid w:val="00E6090C"/>
    <w:rsid w:val="00E609B2"/>
    <w:rsid w:val="00E60BD9"/>
    <w:rsid w:val="00E60C83"/>
    <w:rsid w:val="00E60D69"/>
    <w:rsid w:val="00E60D94"/>
    <w:rsid w:val="00E61094"/>
    <w:rsid w:val="00E61197"/>
    <w:rsid w:val="00E611BE"/>
    <w:rsid w:val="00E61216"/>
    <w:rsid w:val="00E61291"/>
    <w:rsid w:val="00E61340"/>
    <w:rsid w:val="00E6138C"/>
    <w:rsid w:val="00E613EA"/>
    <w:rsid w:val="00E61557"/>
    <w:rsid w:val="00E617DB"/>
    <w:rsid w:val="00E61A6F"/>
    <w:rsid w:val="00E61A8A"/>
    <w:rsid w:val="00E61B2B"/>
    <w:rsid w:val="00E61B6F"/>
    <w:rsid w:val="00E61BE1"/>
    <w:rsid w:val="00E61BF3"/>
    <w:rsid w:val="00E61DB0"/>
    <w:rsid w:val="00E61EF8"/>
    <w:rsid w:val="00E62032"/>
    <w:rsid w:val="00E6217E"/>
    <w:rsid w:val="00E6218A"/>
    <w:rsid w:val="00E62454"/>
    <w:rsid w:val="00E6247A"/>
    <w:rsid w:val="00E62487"/>
    <w:rsid w:val="00E624C3"/>
    <w:rsid w:val="00E6252B"/>
    <w:rsid w:val="00E62599"/>
    <w:rsid w:val="00E6263A"/>
    <w:rsid w:val="00E626D9"/>
    <w:rsid w:val="00E627D9"/>
    <w:rsid w:val="00E62AD7"/>
    <w:rsid w:val="00E62BBB"/>
    <w:rsid w:val="00E62BEB"/>
    <w:rsid w:val="00E62CE8"/>
    <w:rsid w:val="00E62D83"/>
    <w:rsid w:val="00E62E14"/>
    <w:rsid w:val="00E62E43"/>
    <w:rsid w:val="00E62ED7"/>
    <w:rsid w:val="00E63083"/>
    <w:rsid w:val="00E63129"/>
    <w:rsid w:val="00E63136"/>
    <w:rsid w:val="00E631B3"/>
    <w:rsid w:val="00E631C8"/>
    <w:rsid w:val="00E632E9"/>
    <w:rsid w:val="00E634CB"/>
    <w:rsid w:val="00E63505"/>
    <w:rsid w:val="00E635B3"/>
    <w:rsid w:val="00E63610"/>
    <w:rsid w:val="00E637F5"/>
    <w:rsid w:val="00E63805"/>
    <w:rsid w:val="00E63853"/>
    <w:rsid w:val="00E63942"/>
    <w:rsid w:val="00E63A1E"/>
    <w:rsid w:val="00E63A20"/>
    <w:rsid w:val="00E63A84"/>
    <w:rsid w:val="00E63EE3"/>
    <w:rsid w:val="00E63FAC"/>
    <w:rsid w:val="00E64468"/>
    <w:rsid w:val="00E64477"/>
    <w:rsid w:val="00E644B9"/>
    <w:rsid w:val="00E644FF"/>
    <w:rsid w:val="00E64555"/>
    <w:rsid w:val="00E6480B"/>
    <w:rsid w:val="00E64917"/>
    <w:rsid w:val="00E64A17"/>
    <w:rsid w:val="00E64A18"/>
    <w:rsid w:val="00E64AD8"/>
    <w:rsid w:val="00E64B2E"/>
    <w:rsid w:val="00E64B69"/>
    <w:rsid w:val="00E64BAC"/>
    <w:rsid w:val="00E64DBF"/>
    <w:rsid w:val="00E64F32"/>
    <w:rsid w:val="00E64F3E"/>
    <w:rsid w:val="00E650DA"/>
    <w:rsid w:val="00E65192"/>
    <w:rsid w:val="00E65234"/>
    <w:rsid w:val="00E6532E"/>
    <w:rsid w:val="00E653C3"/>
    <w:rsid w:val="00E653CA"/>
    <w:rsid w:val="00E654F6"/>
    <w:rsid w:val="00E6559B"/>
    <w:rsid w:val="00E655ED"/>
    <w:rsid w:val="00E65708"/>
    <w:rsid w:val="00E6570E"/>
    <w:rsid w:val="00E65777"/>
    <w:rsid w:val="00E65807"/>
    <w:rsid w:val="00E65825"/>
    <w:rsid w:val="00E658D6"/>
    <w:rsid w:val="00E6591D"/>
    <w:rsid w:val="00E6595A"/>
    <w:rsid w:val="00E659E3"/>
    <w:rsid w:val="00E65BBD"/>
    <w:rsid w:val="00E65D59"/>
    <w:rsid w:val="00E65E49"/>
    <w:rsid w:val="00E65EBC"/>
    <w:rsid w:val="00E65EC8"/>
    <w:rsid w:val="00E660E9"/>
    <w:rsid w:val="00E66147"/>
    <w:rsid w:val="00E661D5"/>
    <w:rsid w:val="00E66317"/>
    <w:rsid w:val="00E66517"/>
    <w:rsid w:val="00E66698"/>
    <w:rsid w:val="00E66764"/>
    <w:rsid w:val="00E66871"/>
    <w:rsid w:val="00E66BE6"/>
    <w:rsid w:val="00E66C14"/>
    <w:rsid w:val="00E66E24"/>
    <w:rsid w:val="00E66E93"/>
    <w:rsid w:val="00E66F42"/>
    <w:rsid w:val="00E670D7"/>
    <w:rsid w:val="00E67116"/>
    <w:rsid w:val="00E6725E"/>
    <w:rsid w:val="00E672EB"/>
    <w:rsid w:val="00E67472"/>
    <w:rsid w:val="00E67577"/>
    <w:rsid w:val="00E67591"/>
    <w:rsid w:val="00E675A8"/>
    <w:rsid w:val="00E6792F"/>
    <w:rsid w:val="00E679BC"/>
    <w:rsid w:val="00E679DF"/>
    <w:rsid w:val="00E67A65"/>
    <w:rsid w:val="00E67AA8"/>
    <w:rsid w:val="00E67EF3"/>
    <w:rsid w:val="00E67FD7"/>
    <w:rsid w:val="00E67FFE"/>
    <w:rsid w:val="00E7000B"/>
    <w:rsid w:val="00E700D6"/>
    <w:rsid w:val="00E7012A"/>
    <w:rsid w:val="00E7022B"/>
    <w:rsid w:val="00E702A9"/>
    <w:rsid w:val="00E703C0"/>
    <w:rsid w:val="00E703C5"/>
    <w:rsid w:val="00E70588"/>
    <w:rsid w:val="00E70616"/>
    <w:rsid w:val="00E706E4"/>
    <w:rsid w:val="00E70747"/>
    <w:rsid w:val="00E7099C"/>
    <w:rsid w:val="00E709F1"/>
    <w:rsid w:val="00E70C0E"/>
    <w:rsid w:val="00E70C62"/>
    <w:rsid w:val="00E70CFD"/>
    <w:rsid w:val="00E70FB0"/>
    <w:rsid w:val="00E7109B"/>
    <w:rsid w:val="00E7109E"/>
    <w:rsid w:val="00E710A3"/>
    <w:rsid w:val="00E712AF"/>
    <w:rsid w:val="00E712F1"/>
    <w:rsid w:val="00E71600"/>
    <w:rsid w:val="00E71626"/>
    <w:rsid w:val="00E7178C"/>
    <w:rsid w:val="00E718A2"/>
    <w:rsid w:val="00E718A4"/>
    <w:rsid w:val="00E718CE"/>
    <w:rsid w:val="00E718F0"/>
    <w:rsid w:val="00E7194F"/>
    <w:rsid w:val="00E7195B"/>
    <w:rsid w:val="00E71A0B"/>
    <w:rsid w:val="00E71A6F"/>
    <w:rsid w:val="00E71C60"/>
    <w:rsid w:val="00E71EB7"/>
    <w:rsid w:val="00E71EE7"/>
    <w:rsid w:val="00E71FAC"/>
    <w:rsid w:val="00E72068"/>
    <w:rsid w:val="00E720FC"/>
    <w:rsid w:val="00E7212E"/>
    <w:rsid w:val="00E721D7"/>
    <w:rsid w:val="00E722D8"/>
    <w:rsid w:val="00E72378"/>
    <w:rsid w:val="00E723DD"/>
    <w:rsid w:val="00E72451"/>
    <w:rsid w:val="00E724EC"/>
    <w:rsid w:val="00E72503"/>
    <w:rsid w:val="00E725AB"/>
    <w:rsid w:val="00E7267F"/>
    <w:rsid w:val="00E7276C"/>
    <w:rsid w:val="00E72801"/>
    <w:rsid w:val="00E728AC"/>
    <w:rsid w:val="00E72904"/>
    <w:rsid w:val="00E72989"/>
    <w:rsid w:val="00E72A75"/>
    <w:rsid w:val="00E72A9D"/>
    <w:rsid w:val="00E72B5C"/>
    <w:rsid w:val="00E72D69"/>
    <w:rsid w:val="00E72D99"/>
    <w:rsid w:val="00E72ECA"/>
    <w:rsid w:val="00E72F7E"/>
    <w:rsid w:val="00E72F8F"/>
    <w:rsid w:val="00E72FFB"/>
    <w:rsid w:val="00E7319D"/>
    <w:rsid w:val="00E73212"/>
    <w:rsid w:val="00E7326E"/>
    <w:rsid w:val="00E73333"/>
    <w:rsid w:val="00E7351D"/>
    <w:rsid w:val="00E73579"/>
    <w:rsid w:val="00E73745"/>
    <w:rsid w:val="00E7385D"/>
    <w:rsid w:val="00E73BA6"/>
    <w:rsid w:val="00E73BDF"/>
    <w:rsid w:val="00E73C1D"/>
    <w:rsid w:val="00E73C27"/>
    <w:rsid w:val="00E73C66"/>
    <w:rsid w:val="00E73D3B"/>
    <w:rsid w:val="00E73D6F"/>
    <w:rsid w:val="00E73E85"/>
    <w:rsid w:val="00E73FE5"/>
    <w:rsid w:val="00E742E0"/>
    <w:rsid w:val="00E74496"/>
    <w:rsid w:val="00E744A1"/>
    <w:rsid w:val="00E74569"/>
    <w:rsid w:val="00E74573"/>
    <w:rsid w:val="00E74634"/>
    <w:rsid w:val="00E74729"/>
    <w:rsid w:val="00E74778"/>
    <w:rsid w:val="00E74872"/>
    <w:rsid w:val="00E748B6"/>
    <w:rsid w:val="00E749C1"/>
    <w:rsid w:val="00E74A79"/>
    <w:rsid w:val="00E74AA4"/>
    <w:rsid w:val="00E74ABD"/>
    <w:rsid w:val="00E74C51"/>
    <w:rsid w:val="00E74DA2"/>
    <w:rsid w:val="00E74DCE"/>
    <w:rsid w:val="00E74E00"/>
    <w:rsid w:val="00E74EF6"/>
    <w:rsid w:val="00E74F11"/>
    <w:rsid w:val="00E74F5F"/>
    <w:rsid w:val="00E7509A"/>
    <w:rsid w:val="00E750C7"/>
    <w:rsid w:val="00E750E1"/>
    <w:rsid w:val="00E75126"/>
    <w:rsid w:val="00E755C7"/>
    <w:rsid w:val="00E7561A"/>
    <w:rsid w:val="00E75625"/>
    <w:rsid w:val="00E756EE"/>
    <w:rsid w:val="00E757D9"/>
    <w:rsid w:val="00E75857"/>
    <w:rsid w:val="00E75B93"/>
    <w:rsid w:val="00E75CB2"/>
    <w:rsid w:val="00E75EDC"/>
    <w:rsid w:val="00E760F3"/>
    <w:rsid w:val="00E76125"/>
    <w:rsid w:val="00E762B7"/>
    <w:rsid w:val="00E76386"/>
    <w:rsid w:val="00E76607"/>
    <w:rsid w:val="00E7675F"/>
    <w:rsid w:val="00E7686B"/>
    <w:rsid w:val="00E768D2"/>
    <w:rsid w:val="00E76965"/>
    <w:rsid w:val="00E76A16"/>
    <w:rsid w:val="00E76AC7"/>
    <w:rsid w:val="00E76AD7"/>
    <w:rsid w:val="00E76B17"/>
    <w:rsid w:val="00E76BB0"/>
    <w:rsid w:val="00E76D2D"/>
    <w:rsid w:val="00E76D34"/>
    <w:rsid w:val="00E76D69"/>
    <w:rsid w:val="00E76DE6"/>
    <w:rsid w:val="00E76FB6"/>
    <w:rsid w:val="00E76FD7"/>
    <w:rsid w:val="00E76FF9"/>
    <w:rsid w:val="00E7714E"/>
    <w:rsid w:val="00E7727A"/>
    <w:rsid w:val="00E77359"/>
    <w:rsid w:val="00E77364"/>
    <w:rsid w:val="00E773B0"/>
    <w:rsid w:val="00E773F6"/>
    <w:rsid w:val="00E7744D"/>
    <w:rsid w:val="00E7750F"/>
    <w:rsid w:val="00E77689"/>
    <w:rsid w:val="00E7769B"/>
    <w:rsid w:val="00E776D4"/>
    <w:rsid w:val="00E777BF"/>
    <w:rsid w:val="00E77914"/>
    <w:rsid w:val="00E77990"/>
    <w:rsid w:val="00E7799E"/>
    <w:rsid w:val="00E77ADB"/>
    <w:rsid w:val="00E77D0F"/>
    <w:rsid w:val="00E77EF0"/>
    <w:rsid w:val="00E77EF6"/>
    <w:rsid w:val="00E77F5D"/>
    <w:rsid w:val="00E8008B"/>
    <w:rsid w:val="00E800C4"/>
    <w:rsid w:val="00E80118"/>
    <w:rsid w:val="00E8018E"/>
    <w:rsid w:val="00E803FE"/>
    <w:rsid w:val="00E804FB"/>
    <w:rsid w:val="00E806DF"/>
    <w:rsid w:val="00E8076F"/>
    <w:rsid w:val="00E808F1"/>
    <w:rsid w:val="00E80ADC"/>
    <w:rsid w:val="00E80E0E"/>
    <w:rsid w:val="00E80ED7"/>
    <w:rsid w:val="00E811CE"/>
    <w:rsid w:val="00E81256"/>
    <w:rsid w:val="00E812A5"/>
    <w:rsid w:val="00E812F3"/>
    <w:rsid w:val="00E81430"/>
    <w:rsid w:val="00E81436"/>
    <w:rsid w:val="00E8145F"/>
    <w:rsid w:val="00E815D1"/>
    <w:rsid w:val="00E815D8"/>
    <w:rsid w:val="00E81709"/>
    <w:rsid w:val="00E81A98"/>
    <w:rsid w:val="00E81AF0"/>
    <w:rsid w:val="00E81B48"/>
    <w:rsid w:val="00E81BD9"/>
    <w:rsid w:val="00E81D33"/>
    <w:rsid w:val="00E81DF6"/>
    <w:rsid w:val="00E81FB4"/>
    <w:rsid w:val="00E8207F"/>
    <w:rsid w:val="00E821C9"/>
    <w:rsid w:val="00E82406"/>
    <w:rsid w:val="00E8243A"/>
    <w:rsid w:val="00E824F9"/>
    <w:rsid w:val="00E82706"/>
    <w:rsid w:val="00E8278B"/>
    <w:rsid w:val="00E82963"/>
    <w:rsid w:val="00E829BF"/>
    <w:rsid w:val="00E829CD"/>
    <w:rsid w:val="00E82BF5"/>
    <w:rsid w:val="00E82CB0"/>
    <w:rsid w:val="00E82F76"/>
    <w:rsid w:val="00E83057"/>
    <w:rsid w:val="00E83077"/>
    <w:rsid w:val="00E830A5"/>
    <w:rsid w:val="00E830B4"/>
    <w:rsid w:val="00E83206"/>
    <w:rsid w:val="00E8323B"/>
    <w:rsid w:val="00E832A5"/>
    <w:rsid w:val="00E83329"/>
    <w:rsid w:val="00E8339A"/>
    <w:rsid w:val="00E833B3"/>
    <w:rsid w:val="00E834CD"/>
    <w:rsid w:val="00E83537"/>
    <w:rsid w:val="00E837FA"/>
    <w:rsid w:val="00E839AE"/>
    <w:rsid w:val="00E839F2"/>
    <w:rsid w:val="00E83C36"/>
    <w:rsid w:val="00E83D84"/>
    <w:rsid w:val="00E83E72"/>
    <w:rsid w:val="00E840E5"/>
    <w:rsid w:val="00E840F4"/>
    <w:rsid w:val="00E84164"/>
    <w:rsid w:val="00E843B1"/>
    <w:rsid w:val="00E845C1"/>
    <w:rsid w:val="00E8462A"/>
    <w:rsid w:val="00E84698"/>
    <w:rsid w:val="00E846E6"/>
    <w:rsid w:val="00E84709"/>
    <w:rsid w:val="00E84772"/>
    <w:rsid w:val="00E84870"/>
    <w:rsid w:val="00E848B9"/>
    <w:rsid w:val="00E849C7"/>
    <w:rsid w:val="00E84AEE"/>
    <w:rsid w:val="00E84BFB"/>
    <w:rsid w:val="00E84C9E"/>
    <w:rsid w:val="00E84CD4"/>
    <w:rsid w:val="00E85070"/>
    <w:rsid w:val="00E8510C"/>
    <w:rsid w:val="00E851A6"/>
    <w:rsid w:val="00E85306"/>
    <w:rsid w:val="00E85331"/>
    <w:rsid w:val="00E85613"/>
    <w:rsid w:val="00E8572C"/>
    <w:rsid w:val="00E8581E"/>
    <w:rsid w:val="00E85890"/>
    <w:rsid w:val="00E85965"/>
    <w:rsid w:val="00E859D3"/>
    <w:rsid w:val="00E85A44"/>
    <w:rsid w:val="00E85B0F"/>
    <w:rsid w:val="00E85C2D"/>
    <w:rsid w:val="00E85DE6"/>
    <w:rsid w:val="00E85E17"/>
    <w:rsid w:val="00E85F70"/>
    <w:rsid w:val="00E85F76"/>
    <w:rsid w:val="00E8611B"/>
    <w:rsid w:val="00E86216"/>
    <w:rsid w:val="00E862D9"/>
    <w:rsid w:val="00E86360"/>
    <w:rsid w:val="00E86373"/>
    <w:rsid w:val="00E8637E"/>
    <w:rsid w:val="00E863C0"/>
    <w:rsid w:val="00E8644B"/>
    <w:rsid w:val="00E8655C"/>
    <w:rsid w:val="00E86612"/>
    <w:rsid w:val="00E8671A"/>
    <w:rsid w:val="00E8674F"/>
    <w:rsid w:val="00E86870"/>
    <w:rsid w:val="00E86A53"/>
    <w:rsid w:val="00E86A88"/>
    <w:rsid w:val="00E86B3A"/>
    <w:rsid w:val="00E86BA3"/>
    <w:rsid w:val="00E86C57"/>
    <w:rsid w:val="00E86E36"/>
    <w:rsid w:val="00E86F1C"/>
    <w:rsid w:val="00E86F6D"/>
    <w:rsid w:val="00E870A9"/>
    <w:rsid w:val="00E871B1"/>
    <w:rsid w:val="00E87223"/>
    <w:rsid w:val="00E87346"/>
    <w:rsid w:val="00E87354"/>
    <w:rsid w:val="00E873C7"/>
    <w:rsid w:val="00E87507"/>
    <w:rsid w:val="00E8761B"/>
    <w:rsid w:val="00E876CC"/>
    <w:rsid w:val="00E87722"/>
    <w:rsid w:val="00E878AA"/>
    <w:rsid w:val="00E878C9"/>
    <w:rsid w:val="00E878D1"/>
    <w:rsid w:val="00E879F0"/>
    <w:rsid w:val="00E87A0D"/>
    <w:rsid w:val="00E87A1C"/>
    <w:rsid w:val="00E87A3E"/>
    <w:rsid w:val="00E87ABE"/>
    <w:rsid w:val="00E87B54"/>
    <w:rsid w:val="00E87BD7"/>
    <w:rsid w:val="00E87CEB"/>
    <w:rsid w:val="00E87DF9"/>
    <w:rsid w:val="00E87E85"/>
    <w:rsid w:val="00E87F4A"/>
    <w:rsid w:val="00E87FE5"/>
    <w:rsid w:val="00E9005C"/>
    <w:rsid w:val="00E900DC"/>
    <w:rsid w:val="00E901E0"/>
    <w:rsid w:val="00E90204"/>
    <w:rsid w:val="00E903EE"/>
    <w:rsid w:val="00E904B7"/>
    <w:rsid w:val="00E9062E"/>
    <w:rsid w:val="00E9068E"/>
    <w:rsid w:val="00E907C2"/>
    <w:rsid w:val="00E90BCA"/>
    <w:rsid w:val="00E90C2A"/>
    <w:rsid w:val="00E90D82"/>
    <w:rsid w:val="00E90E21"/>
    <w:rsid w:val="00E90E81"/>
    <w:rsid w:val="00E90EA4"/>
    <w:rsid w:val="00E90FEE"/>
    <w:rsid w:val="00E9115C"/>
    <w:rsid w:val="00E9119A"/>
    <w:rsid w:val="00E911D2"/>
    <w:rsid w:val="00E912BF"/>
    <w:rsid w:val="00E912EE"/>
    <w:rsid w:val="00E91406"/>
    <w:rsid w:val="00E91437"/>
    <w:rsid w:val="00E91463"/>
    <w:rsid w:val="00E91477"/>
    <w:rsid w:val="00E91484"/>
    <w:rsid w:val="00E91516"/>
    <w:rsid w:val="00E91793"/>
    <w:rsid w:val="00E91824"/>
    <w:rsid w:val="00E91A2B"/>
    <w:rsid w:val="00E91A4C"/>
    <w:rsid w:val="00E91B87"/>
    <w:rsid w:val="00E91CCA"/>
    <w:rsid w:val="00E91DFD"/>
    <w:rsid w:val="00E92138"/>
    <w:rsid w:val="00E92197"/>
    <w:rsid w:val="00E9230E"/>
    <w:rsid w:val="00E92313"/>
    <w:rsid w:val="00E9266F"/>
    <w:rsid w:val="00E92734"/>
    <w:rsid w:val="00E9274F"/>
    <w:rsid w:val="00E92763"/>
    <w:rsid w:val="00E92910"/>
    <w:rsid w:val="00E92A2C"/>
    <w:rsid w:val="00E92AFA"/>
    <w:rsid w:val="00E92CBB"/>
    <w:rsid w:val="00E92D17"/>
    <w:rsid w:val="00E92D18"/>
    <w:rsid w:val="00E92DA5"/>
    <w:rsid w:val="00E92DEC"/>
    <w:rsid w:val="00E9303F"/>
    <w:rsid w:val="00E93097"/>
    <w:rsid w:val="00E930A5"/>
    <w:rsid w:val="00E930F2"/>
    <w:rsid w:val="00E934B7"/>
    <w:rsid w:val="00E937A4"/>
    <w:rsid w:val="00E9396B"/>
    <w:rsid w:val="00E93A70"/>
    <w:rsid w:val="00E93B01"/>
    <w:rsid w:val="00E93BC4"/>
    <w:rsid w:val="00E93BE7"/>
    <w:rsid w:val="00E93C1E"/>
    <w:rsid w:val="00E93D9C"/>
    <w:rsid w:val="00E94042"/>
    <w:rsid w:val="00E940A9"/>
    <w:rsid w:val="00E940CF"/>
    <w:rsid w:val="00E94107"/>
    <w:rsid w:val="00E94114"/>
    <w:rsid w:val="00E94484"/>
    <w:rsid w:val="00E944BA"/>
    <w:rsid w:val="00E94571"/>
    <w:rsid w:val="00E9457D"/>
    <w:rsid w:val="00E945F9"/>
    <w:rsid w:val="00E94849"/>
    <w:rsid w:val="00E949B9"/>
    <w:rsid w:val="00E94A68"/>
    <w:rsid w:val="00E94B4E"/>
    <w:rsid w:val="00E94BBD"/>
    <w:rsid w:val="00E94D52"/>
    <w:rsid w:val="00E94E7D"/>
    <w:rsid w:val="00E94EC8"/>
    <w:rsid w:val="00E94FAA"/>
    <w:rsid w:val="00E95062"/>
    <w:rsid w:val="00E9511A"/>
    <w:rsid w:val="00E951D8"/>
    <w:rsid w:val="00E9547A"/>
    <w:rsid w:val="00E95495"/>
    <w:rsid w:val="00E954B7"/>
    <w:rsid w:val="00E95545"/>
    <w:rsid w:val="00E95601"/>
    <w:rsid w:val="00E95664"/>
    <w:rsid w:val="00E9566D"/>
    <w:rsid w:val="00E958D1"/>
    <w:rsid w:val="00E9592F"/>
    <w:rsid w:val="00E9594A"/>
    <w:rsid w:val="00E95A60"/>
    <w:rsid w:val="00E95B13"/>
    <w:rsid w:val="00E95B17"/>
    <w:rsid w:val="00E95B39"/>
    <w:rsid w:val="00E95BD6"/>
    <w:rsid w:val="00E95D2E"/>
    <w:rsid w:val="00E95F15"/>
    <w:rsid w:val="00E961E3"/>
    <w:rsid w:val="00E961E8"/>
    <w:rsid w:val="00E9627D"/>
    <w:rsid w:val="00E962A4"/>
    <w:rsid w:val="00E962B7"/>
    <w:rsid w:val="00E963FA"/>
    <w:rsid w:val="00E96431"/>
    <w:rsid w:val="00E964D7"/>
    <w:rsid w:val="00E96564"/>
    <w:rsid w:val="00E9656A"/>
    <w:rsid w:val="00E966DF"/>
    <w:rsid w:val="00E9677C"/>
    <w:rsid w:val="00E967B8"/>
    <w:rsid w:val="00E968E9"/>
    <w:rsid w:val="00E96976"/>
    <w:rsid w:val="00E96A59"/>
    <w:rsid w:val="00E96B6A"/>
    <w:rsid w:val="00E96BAE"/>
    <w:rsid w:val="00E96EAD"/>
    <w:rsid w:val="00E96EE1"/>
    <w:rsid w:val="00E97021"/>
    <w:rsid w:val="00E97268"/>
    <w:rsid w:val="00E972C6"/>
    <w:rsid w:val="00E973C1"/>
    <w:rsid w:val="00E973D2"/>
    <w:rsid w:val="00E97406"/>
    <w:rsid w:val="00E974EF"/>
    <w:rsid w:val="00E97540"/>
    <w:rsid w:val="00E9764A"/>
    <w:rsid w:val="00E97690"/>
    <w:rsid w:val="00E97896"/>
    <w:rsid w:val="00E978F1"/>
    <w:rsid w:val="00E97996"/>
    <w:rsid w:val="00E97A57"/>
    <w:rsid w:val="00E97C21"/>
    <w:rsid w:val="00E97C4E"/>
    <w:rsid w:val="00E97C54"/>
    <w:rsid w:val="00E97DC5"/>
    <w:rsid w:val="00E97E3C"/>
    <w:rsid w:val="00E97E6E"/>
    <w:rsid w:val="00E97EB3"/>
    <w:rsid w:val="00E97F3A"/>
    <w:rsid w:val="00EA0055"/>
    <w:rsid w:val="00EA011B"/>
    <w:rsid w:val="00EA0144"/>
    <w:rsid w:val="00EA0170"/>
    <w:rsid w:val="00EA01A7"/>
    <w:rsid w:val="00EA01B8"/>
    <w:rsid w:val="00EA0258"/>
    <w:rsid w:val="00EA02AF"/>
    <w:rsid w:val="00EA02BD"/>
    <w:rsid w:val="00EA02E6"/>
    <w:rsid w:val="00EA0361"/>
    <w:rsid w:val="00EA03A7"/>
    <w:rsid w:val="00EA03ED"/>
    <w:rsid w:val="00EA047D"/>
    <w:rsid w:val="00EA04EC"/>
    <w:rsid w:val="00EA0505"/>
    <w:rsid w:val="00EA057F"/>
    <w:rsid w:val="00EA0619"/>
    <w:rsid w:val="00EA072C"/>
    <w:rsid w:val="00EA07DD"/>
    <w:rsid w:val="00EA08FB"/>
    <w:rsid w:val="00EA0995"/>
    <w:rsid w:val="00EA0A73"/>
    <w:rsid w:val="00EA0A8E"/>
    <w:rsid w:val="00EA1050"/>
    <w:rsid w:val="00EA10BF"/>
    <w:rsid w:val="00EA11F2"/>
    <w:rsid w:val="00EA1239"/>
    <w:rsid w:val="00EA1303"/>
    <w:rsid w:val="00EA1690"/>
    <w:rsid w:val="00EA1944"/>
    <w:rsid w:val="00EA19B1"/>
    <w:rsid w:val="00EA1A89"/>
    <w:rsid w:val="00EA1ABC"/>
    <w:rsid w:val="00EA1BEB"/>
    <w:rsid w:val="00EA1E36"/>
    <w:rsid w:val="00EA204C"/>
    <w:rsid w:val="00EA2193"/>
    <w:rsid w:val="00EA219E"/>
    <w:rsid w:val="00EA2322"/>
    <w:rsid w:val="00EA2367"/>
    <w:rsid w:val="00EA2394"/>
    <w:rsid w:val="00EA2527"/>
    <w:rsid w:val="00EA26CC"/>
    <w:rsid w:val="00EA2751"/>
    <w:rsid w:val="00EA277D"/>
    <w:rsid w:val="00EA27BE"/>
    <w:rsid w:val="00EA28DC"/>
    <w:rsid w:val="00EA2912"/>
    <w:rsid w:val="00EA2949"/>
    <w:rsid w:val="00EA2975"/>
    <w:rsid w:val="00EA2B51"/>
    <w:rsid w:val="00EA2C10"/>
    <w:rsid w:val="00EA2C94"/>
    <w:rsid w:val="00EA2DF4"/>
    <w:rsid w:val="00EA2EF7"/>
    <w:rsid w:val="00EA2F01"/>
    <w:rsid w:val="00EA2FE1"/>
    <w:rsid w:val="00EA30A1"/>
    <w:rsid w:val="00EA30CF"/>
    <w:rsid w:val="00EA317D"/>
    <w:rsid w:val="00EA31B6"/>
    <w:rsid w:val="00EA31C8"/>
    <w:rsid w:val="00EA3278"/>
    <w:rsid w:val="00EA33F3"/>
    <w:rsid w:val="00EA340F"/>
    <w:rsid w:val="00EA3435"/>
    <w:rsid w:val="00EA34ED"/>
    <w:rsid w:val="00EA3533"/>
    <w:rsid w:val="00EA3554"/>
    <w:rsid w:val="00EA35BA"/>
    <w:rsid w:val="00EA35E5"/>
    <w:rsid w:val="00EA3812"/>
    <w:rsid w:val="00EA38C0"/>
    <w:rsid w:val="00EA3A54"/>
    <w:rsid w:val="00EA3AA9"/>
    <w:rsid w:val="00EA3ADA"/>
    <w:rsid w:val="00EA3BED"/>
    <w:rsid w:val="00EA3C79"/>
    <w:rsid w:val="00EA3D90"/>
    <w:rsid w:val="00EA3DA0"/>
    <w:rsid w:val="00EA3F05"/>
    <w:rsid w:val="00EA3FA6"/>
    <w:rsid w:val="00EA3FF6"/>
    <w:rsid w:val="00EA4010"/>
    <w:rsid w:val="00EA402B"/>
    <w:rsid w:val="00EA41DB"/>
    <w:rsid w:val="00EA42B3"/>
    <w:rsid w:val="00EA42D2"/>
    <w:rsid w:val="00EA44B2"/>
    <w:rsid w:val="00EA4554"/>
    <w:rsid w:val="00EA4680"/>
    <w:rsid w:val="00EA4782"/>
    <w:rsid w:val="00EA478E"/>
    <w:rsid w:val="00EA47A4"/>
    <w:rsid w:val="00EA488D"/>
    <w:rsid w:val="00EA4949"/>
    <w:rsid w:val="00EA4965"/>
    <w:rsid w:val="00EA4A41"/>
    <w:rsid w:val="00EA4AA7"/>
    <w:rsid w:val="00EA4B31"/>
    <w:rsid w:val="00EA4BAB"/>
    <w:rsid w:val="00EA4CFE"/>
    <w:rsid w:val="00EA4E07"/>
    <w:rsid w:val="00EA4E17"/>
    <w:rsid w:val="00EA5095"/>
    <w:rsid w:val="00EA50A3"/>
    <w:rsid w:val="00EA5144"/>
    <w:rsid w:val="00EA5326"/>
    <w:rsid w:val="00EA533A"/>
    <w:rsid w:val="00EA537D"/>
    <w:rsid w:val="00EA54A2"/>
    <w:rsid w:val="00EA5560"/>
    <w:rsid w:val="00EA5668"/>
    <w:rsid w:val="00EA57D6"/>
    <w:rsid w:val="00EA5837"/>
    <w:rsid w:val="00EA5868"/>
    <w:rsid w:val="00EA5940"/>
    <w:rsid w:val="00EA598A"/>
    <w:rsid w:val="00EA5ACA"/>
    <w:rsid w:val="00EA5ADC"/>
    <w:rsid w:val="00EA5B67"/>
    <w:rsid w:val="00EA5CBE"/>
    <w:rsid w:val="00EA5D0F"/>
    <w:rsid w:val="00EA5E0F"/>
    <w:rsid w:val="00EA5E4C"/>
    <w:rsid w:val="00EA5F45"/>
    <w:rsid w:val="00EA5FF0"/>
    <w:rsid w:val="00EA606F"/>
    <w:rsid w:val="00EA6252"/>
    <w:rsid w:val="00EA635F"/>
    <w:rsid w:val="00EA63F5"/>
    <w:rsid w:val="00EA64B6"/>
    <w:rsid w:val="00EA64C7"/>
    <w:rsid w:val="00EA6546"/>
    <w:rsid w:val="00EA65A3"/>
    <w:rsid w:val="00EA6856"/>
    <w:rsid w:val="00EA6B18"/>
    <w:rsid w:val="00EA6E75"/>
    <w:rsid w:val="00EA7161"/>
    <w:rsid w:val="00EA7229"/>
    <w:rsid w:val="00EA7238"/>
    <w:rsid w:val="00EA72F3"/>
    <w:rsid w:val="00EA7316"/>
    <w:rsid w:val="00EA75D2"/>
    <w:rsid w:val="00EA75EB"/>
    <w:rsid w:val="00EA78D1"/>
    <w:rsid w:val="00EA78E4"/>
    <w:rsid w:val="00EA7954"/>
    <w:rsid w:val="00EA796D"/>
    <w:rsid w:val="00EA7A5B"/>
    <w:rsid w:val="00EA7C21"/>
    <w:rsid w:val="00EA7CAC"/>
    <w:rsid w:val="00EA7ED7"/>
    <w:rsid w:val="00EA7EDA"/>
    <w:rsid w:val="00EA7F84"/>
    <w:rsid w:val="00EB0146"/>
    <w:rsid w:val="00EB031A"/>
    <w:rsid w:val="00EB0346"/>
    <w:rsid w:val="00EB03F0"/>
    <w:rsid w:val="00EB05A2"/>
    <w:rsid w:val="00EB05DC"/>
    <w:rsid w:val="00EB05E3"/>
    <w:rsid w:val="00EB062B"/>
    <w:rsid w:val="00EB0663"/>
    <w:rsid w:val="00EB081B"/>
    <w:rsid w:val="00EB0A26"/>
    <w:rsid w:val="00EB0A67"/>
    <w:rsid w:val="00EB0B9F"/>
    <w:rsid w:val="00EB0D69"/>
    <w:rsid w:val="00EB0E40"/>
    <w:rsid w:val="00EB0F49"/>
    <w:rsid w:val="00EB0FB2"/>
    <w:rsid w:val="00EB1112"/>
    <w:rsid w:val="00EB1360"/>
    <w:rsid w:val="00EB16CE"/>
    <w:rsid w:val="00EB1793"/>
    <w:rsid w:val="00EB1882"/>
    <w:rsid w:val="00EB1B5D"/>
    <w:rsid w:val="00EB1E13"/>
    <w:rsid w:val="00EB1E34"/>
    <w:rsid w:val="00EB1E40"/>
    <w:rsid w:val="00EB1ED5"/>
    <w:rsid w:val="00EB1EF7"/>
    <w:rsid w:val="00EB1FB6"/>
    <w:rsid w:val="00EB205D"/>
    <w:rsid w:val="00EB20DA"/>
    <w:rsid w:val="00EB2144"/>
    <w:rsid w:val="00EB22EA"/>
    <w:rsid w:val="00EB2326"/>
    <w:rsid w:val="00EB2403"/>
    <w:rsid w:val="00EB2427"/>
    <w:rsid w:val="00EB2444"/>
    <w:rsid w:val="00EB2549"/>
    <w:rsid w:val="00EB262A"/>
    <w:rsid w:val="00EB2690"/>
    <w:rsid w:val="00EB2761"/>
    <w:rsid w:val="00EB27D5"/>
    <w:rsid w:val="00EB28C5"/>
    <w:rsid w:val="00EB2B51"/>
    <w:rsid w:val="00EB2B57"/>
    <w:rsid w:val="00EB2EDA"/>
    <w:rsid w:val="00EB2EEE"/>
    <w:rsid w:val="00EB2F34"/>
    <w:rsid w:val="00EB315F"/>
    <w:rsid w:val="00EB3294"/>
    <w:rsid w:val="00EB336A"/>
    <w:rsid w:val="00EB3470"/>
    <w:rsid w:val="00EB3503"/>
    <w:rsid w:val="00EB352E"/>
    <w:rsid w:val="00EB358F"/>
    <w:rsid w:val="00EB35A3"/>
    <w:rsid w:val="00EB35AA"/>
    <w:rsid w:val="00EB3723"/>
    <w:rsid w:val="00EB382A"/>
    <w:rsid w:val="00EB384F"/>
    <w:rsid w:val="00EB3A0F"/>
    <w:rsid w:val="00EB3A36"/>
    <w:rsid w:val="00EB3AA2"/>
    <w:rsid w:val="00EB3CE6"/>
    <w:rsid w:val="00EB3D17"/>
    <w:rsid w:val="00EB3D7B"/>
    <w:rsid w:val="00EB3E16"/>
    <w:rsid w:val="00EB3F22"/>
    <w:rsid w:val="00EB3F23"/>
    <w:rsid w:val="00EB402A"/>
    <w:rsid w:val="00EB40AC"/>
    <w:rsid w:val="00EB40E8"/>
    <w:rsid w:val="00EB42A2"/>
    <w:rsid w:val="00EB42E2"/>
    <w:rsid w:val="00EB4340"/>
    <w:rsid w:val="00EB4358"/>
    <w:rsid w:val="00EB44E8"/>
    <w:rsid w:val="00EB455E"/>
    <w:rsid w:val="00EB45A0"/>
    <w:rsid w:val="00EB45F2"/>
    <w:rsid w:val="00EB45F3"/>
    <w:rsid w:val="00EB4683"/>
    <w:rsid w:val="00EB4765"/>
    <w:rsid w:val="00EB4A0D"/>
    <w:rsid w:val="00EB4AB2"/>
    <w:rsid w:val="00EB4B12"/>
    <w:rsid w:val="00EB4B6B"/>
    <w:rsid w:val="00EB4C29"/>
    <w:rsid w:val="00EB4CBF"/>
    <w:rsid w:val="00EB4D4C"/>
    <w:rsid w:val="00EB4DC0"/>
    <w:rsid w:val="00EB4E0A"/>
    <w:rsid w:val="00EB5012"/>
    <w:rsid w:val="00EB505C"/>
    <w:rsid w:val="00EB5060"/>
    <w:rsid w:val="00EB5129"/>
    <w:rsid w:val="00EB5154"/>
    <w:rsid w:val="00EB522D"/>
    <w:rsid w:val="00EB5269"/>
    <w:rsid w:val="00EB52DF"/>
    <w:rsid w:val="00EB54E8"/>
    <w:rsid w:val="00EB5537"/>
    <w:rsid w:val="00EB5554"/>
    <w:rsid w:val="00EB558C"/>
    <w:rsid w:val="00EB5646"/>
    <w:rsid w:val="00EB5697"/>
    <w:rsid w:val="00EB5700"/>
    <w:rsid w:val="00EB5770"/>
    <w:rsid w:val="00EB5775"/>
    <w:rsid w:val="00EB57D2"/>
    <w:rsid w:val="00EB58AF"/>
    <w:rsid w:val="00EB599C"/>
    <w:rsid w:val="00EB5A0D"/>
    <w:rsid w:val="00EB5C84"/>
    <w:rsid w:val="00EB5DDB"/>
    <w:rsid w:val="00EB5E73"/>
    <w:rsid w:val="00EB5E93"/>
    <w:rsid w:val="00EB5EDC"/>
    <w:rsid w:val="00EB5F01"/>
    <w:rsid w:val="00EB60BF"/>
    <w:rsid w:val="00EB60DA"/>
    <w:rsid w:val="00EB6328"/>
    <w:rsid w:val="00EB6367"/>
    <w:rsid w:val="00EB636C"/>
    <w:rsid w:val="00EB642D"/>
    <w:rsid w:val="00EB649F"/>
    <w:rsid w:val="00EB66B2"/>
    <w:rsid w:val="00EB68F4"/>
    <w:rsid w:val="00EB6A10"/>
    <w:rsid w:val="00EB6A5A"/>
    <w:rsid w:val="00EB6AA7"/>
    <w:rsid w:val="00EB6B11"/>
    <w:rsid w:val="00EB6B59"/>
    <w:rsid w:val="00EB6B6A"/>
    <w:rsid w:val="00EB6BD5"/>
    <w:rsid w:val="00EB6D23"/>
    <w:rsid w:val="00EB6DC5"/>
    <w:rsid w:val="00EB6EC7"/>
    <w:rsid w:val="00EB6EE2"/>
    <w:rsid w:val="00EB6F01"/>
    <w:rsid w:val="00EB6FC1"/>
    <w:rsid w:val="00EB6FD6"/>
    <w:rsid w:val="00EB70AE"/>
    <w:rsid w:val="00EB721B"/>
    <w:rsid w:val="00EB7275"/>
    <w:rsid w:val="00EB72DA"/>
    <w:rsid w:val="00EB7614"/>
    <w:rsid w:val="00EB7763"/>
    <w:rsid w:val="00EB777B"/>
    <w:rsid w:val="00EB7B09"/>
    <w:rsid w:val="00EB7CE4"/>
    <w:rsid w:val="00EB7D32"/>
    <w:rsid w:val="00EB7D6C"/>
    <w:rsid w:val="00EB7E46"/>
    <w:rsid w:val="00EB7E8C"/>
    <w:rsid w:val="00EB7EFA"/>
    <w:rsid w:val="00EB7F67"/>
    <w:rsid w:val="00EC028F"/>
    <w:rsid w:val="00EC029C"/>
    <w:rsid w:val="00EC03D5"/>
    <w:rsid w:val="00EC057C"/>
    <w:rsid w:val="00EC080F"/>
    <w:rsid w:val="00EC086B"/>
    <w:rsid w:val="00EC0884"/>
    <w:rsid w:val="00EC08F0"/>
    <w:rsid w:val="00EC0A43"/>
    <w:rsid w:val="00EC0C3D"/>
    <w:rsid w:val="00EC0C45"/>
    <w:rsid w:val="00EC0C82"/>
    <w:rsid w:val="00EC0E48"/>
    <w:rsid w:val="00EC0E9E"/>
    <w:rsid w:val="00EC103D"/>
    <w:rsid w:val="00EC103E"/>
    <w:rsid w:val="00EC119B"/>
    <w:rsid w:val="00EC11EA"/>
    <w:rsid w:val="00EC1281"/>
    <w:rsid w:val="00EC12C2"/>
    <w:rsid w:val="00EC12ED"/>
    <w:rsid w:val="00EC13C9"/>
    <w:rsid w:val="00EC13DA"/>
    <w:rsid w:val="00EC144E"/>
    <w:rsid w:val="00EC157B"/>
    <w:rsid w:val="00EC1726"/>
    <w:rsid w:val="00EC17DA"/>
    <w:rsid w:val="00EC188A"/>
    <w:rsid w:val="00EC18A7"/>
    <w:rsid w:val="00EC18C6"/>
    <w:rsid w:val="00EC19EC"/>
    <w:rsid w:val="00EC1A0F"/>
    <w:rsid w:val="00EC1B2D"/>
    <w:rsid w:val="00EC1CA8"/>
    <w:rsid w:val="00EC1D27"/>
    <w:rsid w:val="00EC1D76"/>
    <w:rsid w:val="00EC1DE0"/>
    <w:rsid w:val="00EC1FA7"/>
    <w:rsid w:val="00EC2019"/>
    <w:rsid w:val="00EC2096"/>
    <w:rsid w:val="00EC228E"/>
    <w:rsid w:val="00EC2326"/>
    <w:rsid w:val="00EC23DC"/>
    <w:rsid w:val="00EC23F6"/>
    <w:rsid w:val="00EC24F1"/>
    <w:rsid w:val="00EC2745"/>
    <w:rsid w:val="00EC284F"/>
    <w:rsid w:val="00EC29AF"/>
    <w:rsid w:val="00EC2A70"/>
    <w:rsid w:val="00EC2A8B"/>
    <w:rsid w:val="00EC2C82"/>
    <w:rsid w:val="00EC2D53"/>
    <w:rsid w:val="00EC2DB2"/>
    <w:rsid w:val="00EC2DDE"/>
    <w:rsid w:val="00EC2E6F"/>
    <w:rsid w:val="00EC2F74"/>
    <w:rsid w:val="00EC30AF"/>
    <w:rsid w:val="00EC3242"/>
    <w:rsid w:val="00EC32D1"/>
    <w:rsid w:val="00EC33C5"/>
    <w:rsid w:val="00EC3415"/>
    <w:rsid w:val="00EC3426"/>
    <w:rsid w:val="00EC3439"/>
    <w:rsid w:val="00EC35F9"/>
    <w:rsid w:val="00EC3790"/>
    <w:rsid w:val="00EC3823"/>
    <w:rsid w:val="00EC3912"/>
    <w:rsid w:val="00EC3C2D"/>
    <w:rsid w:val="00EC3D5F"/>
    <w:rsid w:val="00EC3D97"/>
    <w:rsid w:val="00EC3DF0"/>
    <w:rsid w:val="00EC3E2D"/>
    <w:rsid w:val="00EC3E89"/>
    <w:rsid w:val="00EC3F2D"/>
    <w:rsid w:val="00EC40C7"/>
    <w:rsid w:val="00EC40F3"/>
    <w:rsid w:val="00EC4373"/>
    <w:rsid w:val="00EC447C"/>
    <w:rsid w:val="00EC4490"/>
    <w:rsid w:val="00EC45BB"/>
    <w:rsid w:val="00EC4724"/>
    <w:rsid w:val="00EC4736"/>
    <w:rsid w:val="00EC492D"/>
    <w:rsid w:val="00EC49FF"/>
    <w:rsid w:val="00EC4A5C"/>
    <w:rsid w:val="00EC4B0D"/>
    <w:rsid w:val="00EC4C58"/>
    <w:rsid w:val="00EC4CCA"/>
    <w:rsid w:val="00EC4D90"/>
    <w:rsid w:val="00EC4DB1"/>
    <w:rsid w:val="00EC4E52"/>
    <w:rsid w:val="00EC4F2D"/>
    <w:rsid w:val="00EC4F4C"/>
    <w:rsid w:val="00EC4FB4"/>
    <w:rsid w:val="00EC508A"/>
    <w:rsid w:val="00EC50C5"/>
    <w:rsid w:val="00EC5128"/>
    <w:rsid w:val="00EC5149"/>
    <w:rsid w:val="00EC5160"/>
    <w:rsid w:val="00EC53FD"/>
    <w:rsid w:val="00EC5492"/>
    <w:rsid w:val="00EC5498"/>
    <w:rsid w:val="00EC5575"/>
    <w:rsid w:val="00EC566B"/>
    <w:rsid w:val="00EC56F0"/>
    <w:rsid w:val="00EC5894"/>
    <w:rsid w:val="00EC5A63"/>
    <w:rsid w:val="00EC5AB4"/>
    <w:rsid w:val="00EC5C54"/>
    <w:rsid w:val="00EC5C7E"/>
    <w:rsid w:val="00EC5C80"/>
    <w:rsid w:val="00EC5C8E"/>
    <w:rsid w:val="00EC5F53"/>
    <w:rsid w:val="00EC6228"/>
    <w:rsid w:val="00EC6242"/>
    <w:rsid w:val="00EC630E"/>
    <w:rsid w:val="00EC6353"/>
    <w:rsid w:val="00EC6404"/>
    <w:rsid w:val="00EC6667"/>
    <w:rsid w:val="00EC66AE"/>
    <w:rsid w:val="00EC66B7"/>
    <w:rsid w:val="00EC6780"/>
    <w:rsid w:val="00EC69A9"/>
    <w:rsid w:val="00EC6A7A"/>
    <w:rsid w:val="00EC6D32"/>
    <w:rsid w:val="00EC6E42"/>
    <w:rsid w:val="00EC6F05"/>
    <w:rsid w:val="00EC6FA1"/>
    <w:rsid w:val="00EC70AE"/>
    <w:rsid w:val="00EC7120"/>
    <w:rsid w:val="00EC71BD"/>
    <w:rsid w:val="00EC71CF"/>
    <w:rsid w:val="00EC71E6"/>
    <w:rsid w:val="00EC725B"/>
    <w:rsid w:val="00EC7279"/>
    <w:rsid w:val="00EC7371"/>
    <w:rsid w:val="00EC73A1"/>
    <w:rsid w:val="00EC748E"/>
    <w:rsid w:val="00EC75B2"/>
    <w:rsid w:val="00EC75D1"/>
    <w:rsid w:val="00EC76B0"/>
    <w:rsid w:val="00EC794A"/>
    <w:rsid w:val="00EC796F"/>
    <w:rsid w:val="00EC7A14"/>
    <w:rsid w:val="00EC7AB7"/>
    <w:rsid w:val="00EC7B0A"/>
    <w:rsid w:val="00EC7C42"/>
    <w:rsid w:val="00EC7C93"/>
    <w:rsid w:val="00EC7C9A"/>
    <w:rsid w:val="00EC7D10"/>
    <w:rsid w:val="00EC7D58"/>
    <w:rsid w:val="00EC7E34"/>
    <w:rsid w:val="00EC7E4B"/>
    <w:rsid w:val="00EC7E8A"/>
    <w:rsid w:val="00EC7EEB"/>
    <w:rsid w:val="00EC7F2B"/>
    <w:rsid w:val="00EC7FC3"/>
    <w:rsid w:val="00ED0018"/>
    <w:rsid w:val="00ED00BB"/>
    <w:rsid w:val="00ED025F"/>
    <w:rsid w:val="00ED038F"/>
    <w:rsid w:val="00ED0432"/>
    <w:rsid w:val="00ED068E"/>
    <w:rsid w:val="00ED0702"/>
    <w:rsid w:val="00ED0721"/>
    <w:rsid w:val="00ED07A9"/>
    <w:rsid w:val="00ED080B"/>
    <w:rsid w:val="00ED081C"/>
    <w:rsid w:val="00ED0868"/>
    <w:rsid w:val="00ED0A29"/>
    <w:rsid w:val="00ED0A77"/>
    <w:rsid w:val="00ED0B0F"/>
    <w:rsid w:val="00ED0B25"/>
    <w:rsid w:val="00ED0B72"/>
    <w:rsid w:val="00ED0BC7"/>
    <w:rsid w:val="00ED0D73"/>
    <w:rsid w:val="00ED0EF0"/>
    <w:rsid w:val="00ED1056"/>
    <w:rsid w:val="00ED1196"/>
    <w:rsid w:val="00ED12A2"/>
    <w:rsid w:val="00ED13DE"/>
    <w:rsid w:val="00ED144A"/>
    <w:rsid w:val="00ED1477"/>
    <w:rsid w:val="00ED15F7"/>
    <w:rsid w:val="00ED165A"/>
    <w:rsid w:val="00ED175C"/>
    <w:rsid w:val="00ED17F2"/>
    <w:rsid w:val="00ED1915"/>
    <w:rsid w:val="00ED1988"/>
    <w:rsid w:val="00ED198E"/>
    <w:rsid w:val="00ED1999"/>
    <w:rsid w:val="00ED1A20"/>
    <w:rsid w:val="00ED1AB9"/>
    <w:rsid w:val="00ED1AD5"/>
    <w:rsid w:val="00ED1BFF"/>
    <w:rsid w:val="00ED1D01"/>
    <w:rsid w:val="00ED1DA9"/>
    <w:rsid w:val="00ED1E5B"/>
    <w:rsid w:val="00ED2143"/>
    <w:rsid w:val="00ED2165"/>
    <w:rsid w:val="00ED2176"/>
    <w:rsid w:val="00ED222D"/>
    <w:rsid w:val="00ED2371"/>
    <w:rsid w:val="00ED2533"/>
    <w:rsid w:val="00ED26D1"/>
    <w:rsid w:val="00ED26EF"/>
    <w:rsid w:val="00ED26FF"/>
    <w:rsid w:val="00ED2A5C"/>
    <w:rsid w:val="00ED2A60"/>
    <w:rsid w:val="00ED2AE8"/>
    <w:rsid w:val="00ED2BA9"/>
    <w:rsid w:val="00ED2D52"/>
    <w:rsid w:val="00ED2DBF"/>
    <w:rsid w:val="00ED2DE4"/>
    <w:rsid w:val="00ED2E2E"/>
    <w:rsid w:val="00ED2F2A"/>
    <w:rsid w:val="00ED3045"/>
    <w:rsid w:val="00ED312D"/>
    <w:rsid w:val="00ED3161"/>
    <w:rsid w:val="00ED326E"/>
    <w:rsid w:val="00ED32A9"/>
    <w:rsid w:val="00ED33D8"/>
    <w:rsid w:val="00ED3414"/>
    <w:rsid w:val="00ED3487"/>
    <w:rsid w:val="00ED348F"/>
    <w:rsid w:val="00ED34BD"/>
    <w:rsid w:val="00ED352F"/>
    <w:rsid w:val="00ED35EA"/>
    <w:rsid w:val="00ED370D"/>
    <w:rsid w:val="00ED3746"/>
    <w:rsid w:val="00ED3804"/>
    <w:rsid w:val="00ED382D"/>
    <w:rsid w:val="00ED388C"/>
    <w:rsid w:val="00ED39F2"/>
    <w:rsid w:val="00ED3DB3"/>
    <w:rsid w:val="00ED3EA2"/>
    <w:rsid w:val="00ED40CA"/>
    <w:rsid w:val="00ED40E0"/>
    <w:rsid w:val="00ED4111"/>
    <w:rsid w:val="00ED4528"/>
    <w:rsid w:val="00ED45AE"/>
    <w:rsid w:val="00ED45D3"/>
    <w:rsid w:val="00ED465D"/>
    <w:rsid w:val="00ED4724"/>
    <w:rsid w:val="00ED483A"/>
    <w:rsid w:val="00ED48C4"/>
    <w:rsid w:val="00ED48C8"/>
    <w:rsid w:val="00ED48DF"/>
    <w:rsid w:val="00ED4A0C"/>
    <w:rsid w:val="00ED4C70"/>
    <w:rsid w:val="00ED4D8E"/>
    <w:rsid w:val="00ED4E3A"/>
    <w:rsid w:val="00ED4E5B"/>
    <w:rsid w:val="00ED4F92"/>
    <w:rsid w:val="00ED5048"/>
    <w:rsid w:val="00ED52A9"/>
    <w:rsid w:val="00ED52FC"/>
    <w:rsid w:val="00ED53A3"/>
    <w:rsid w:val="00ED54C3"/>
    <w:rsid w:val="00ED582F"/>
    <w:rsid w:val="00ED5991"/>
    <w:rsid w:val="00ED5AE1"/>
    <w:rsid w:val="00ED5C09"/>
    <w:rsid w:val="00ED5C50"/>
    <w:rsid w:val="00ED5DD6"/>
    <w:rsid w:val="00ED5E25"/>
    <w:rsid w:val="00ED5ED7"/>
    <w:rsid w:val="00ED5EFA"/>
    <w:rsid w:val="00ED5F0E"/>
    <w:rsid w:val="00ED607E"/>
    <w:rsid w:val="00ED6146"/>
    <w:rsid w:val="00ED61C5"/>
    <w:rsid w:val="00ED6219"/>
    <w:rsid w:val="00ED6247"/>
    <w:rsid w:val="00ED634A"/>
    <w:rsid w:val="00ED63EC"/>
    <w:rsid w:val="00ED6400"/>
    <w:rsid w:val="00ED647B"/>
    <w:rsid w:val="00ED6519"/>
    <w:rsid w:val="00ED664A"/>
    <w:rsid w:val="00ED6850"/>
    <w:rsid w:val="00ED6905"/>
    <w:rsid w:val="00ED6A26"/>
    <w:rsid w:val="00ED6A59"/>
    <w:rsid w:val="00ED6D02"/>
    <w:rsid w:val="00ED6DB3"/>
    <w:rsid w:val="00ED6E36"/>
    <w:rsid w:val="00ED6F56"/>
    <w:rsid w:val="00ED70CB"/>
    <w:rsid w:val="00ED7141"/>
    <w:rsid w:val="00ED715A"/>
    <w:rsid w:val="00ED747A"/>
    <w:rsid w:val="00ED753A"/>
    <w:rsid w:val="00ED7852"/>
    <w:rsid w:val="00ED7894"/>
    <w:rsid w:val="00ED7926"/>
    <w:rsid w:val="00ED796C"/>
    <w:rsid w:val="00ED7A4B"/>
    <w:rsid w:val="00ED7BA3"/>
    <w:rsid w:val="00ED7CA8"/>
    <w:rsid w:val="00ED7CE0"/>
    <w:rsid w:val="00ED7CE2"/>
    <w:rsid w:val="00ED7EE8"/>
    <w:rsid w:val="00ED7FA7"/>
    <w:rsid w:val="00ED7FEF"/>
    <w:rsid w:val="00EE00E3"/>
    <w:rsid w:val="00EE0115"/>
    <w:rsid w:val="00EE0356"/>
    <w:rsid w:val="00EE0419"/>
    <w:rsid w:val="00EE0626"/>
    <w:rsid w:val="00EE078D"/>
    <w:rsid w:val="00EE0885"/>
    <w:rsid w:val="00EE08CB"/>
    <w:rsid w:val="00EE0AB2"/>
    <w:rsid w:val="00EE0AF5"/>
    <w:rsid w:val="00EE0BE2"/>
    <w:rsid w:val="00EE0D2E"/>
    <w:rsid w:val="00EE0E47"/>
    <w:rsid w:val="00EE1015"/>
    <w:rsid w:val="00EE10CE"/>
    <w:rsid w:val="00EE10F4"/>
    <w:rsid w:val="00EE11CE"/>
    <w:rsid w:val="00EE12A7"/>
    <w:rsid w:val="00EE12D9"/>
    <w:rsid w:val="00EE1358"/>
    <w:rsid w:val="00EE1437"/>
    <w:rsid w:val="00EE144E"/>
    <w:rsid w:val="00EE1567"/>
    <w:rsid w:val="00EE1783"/>
    <w:rsid w:val="00EE1A8C"/>
    <w:rsid w:val="00EE1A9E"/>
    <w:rsid w:val="00EE1ABA"/>
    <w:rsid w:val="00EE1D95"/>
    <w:rsid w:val="00EE1F5F"/>
    <w:rsid w:val="00EE1FAE"/>
    <w:rsid w:val="00EE2055"/>
    <w:rsid w:val="00EE20A1"/>
    <w:rsid w:val="00EE21E2"/>
    <w:rsid w:val="00EE2254"/>
    <w:rsid w:val="00EE2477"/>
    <w:rsid w:val="00EE26A9"/>
    <w:rsid w:val="00EE26FE"/>
    <w:rsid w:val="00EE277E"/>
    <w:rsid w:val="00EE2795"/>
    <w:rsid w:val="00EE27A7"/>
    <w:rsid w:val="00EE27C7"/>
    <w:rsid w:val="00EE28AF"/>
    <w:rsid w:val="00EE28C0"/>
    <w:rsid w:val="00EE2A96"/>
    <w:rsid w:val="00EE2BD5"/>
    <w:rsid w:val="00EE2C1A"/>
    <w:rsid w:val="00EE2E0C"/>
    <w:rsid w:val="00EE2E1F"/>
    <w:rsid w:val="00EE2E5B"/>
    <w:rsid w:val="00EE2F4E"/>
    <w:rsid w:val="00EE2FD7"/>
    <w:rsid w:val="00EE30D1"/>
    <w:rsid w:val="00EE315C"/>
    <w:rsid w:val="00EE3194"/>
    <w:rsid w:val="00EE32C3"/>
    <w:rsid w:val="00EE337E"/>
    <w:rsid w:val="00EE3437"/>
    <w:rsid w:val="00EE3511"/>
    <w:rsid w:val="00EE3517"/>
    <w:rsid w:val="00EE3556"/>
    <w:rsid w:val="00EE3578"/>
    <w:rsid w:val="00EE3595"/>
    <w:rsid w:val="00EE35BE"/>
    <w:rsid w:val="00EE364B"/>
    <w:rsid w:val="00EE38CF"/>
    <w:rsid w:val="00EE3955"/>
    <w:rsid w:val="00EE396F"/>
    <w:rsid w:val="00EE3B79"/>
    <w:rsid w:val="00EE3C24"/>
    <w:rsid w:val="00EE3D13"/>
    <w:rsid w:val="00EE3D9D"/>
    <w:rsid w:val="00EE3DAD"/>
    <w:rsid w:val="00EE3E05"/>
    <w:rsid w:val="00EE3E96"/>
    <w:rsid w:val="00EE3F38"/>
    <w:rsid w:val="00EE3FA3"/>
    <w:rsid w:val="00EE4119"/>
    <w:rsid w:val="00EE4470"/>
    <w:rsid w:val="00EE4518"/>
    <w:rsid w:val="00EE4853"/>
    <w:rsid w:val="00EE48F5"/>
    <w:rsid w:val="00EE4966"/>
    <w:rsid w:val="00EE4A85"/>
    <w:rsid w:val="00EE4DEF"/>
    <w:rsid w:val="00EE4E37"/>
    <w:rsid w:val="00EE4E9B"/>
    <w:rsid w:val="00EE4EF0"/>
    <w:rsid w:val="00EE4EF4"/>
    <w:rsid w:val="00EE501B"/>
    <w:rsid w:val="00EE5040"/>
    <w:rsid w:val="00EE5126"/>
    <w:rsid w:val="00EE514C"/>
    <w:rsid w:val="00EE5178"/>
    <w:rsid w:val="00EE5311"/>
    <w:rsid w:val="00EE5414"/>
    <w:rsid w:val="00EE552D"/>
    <w:rsid w:val="00EE561C"/>
    <w:rsid w:val="00EE564C"/>
    <w:rsid w:val="00EE56B3"/>
    <w:rsid w:val="00EE5879"/>
    <w:rsid w:val="00EE593E"/>
    <w:rsid w:val="00EE5B0C"/>
    <w:rsid w:val="00EE5BD9"/>
    <w:rsid w:val="00EE5E22"/>
    <w:rsid w:val="00EE5F1B"/>
    <w:rsid w:val="00EE5FF5"/>
    <w:rsid w:val="00EE6016"/>
    <w:rsid w:val="00EE6173"/>
    <w:rsid w:val="00EE635C"/>
    <w:rsid w:val="00EE63F2"/>
    <w:rsid w:val="00EE6445"/>
    <w:rsid w:val="00EE6458"/>
    <w:rsid w:val="00EE649F"/>
    <w:rsid w:val="00EE65EB"/>
    <w:rsid w:val="00EE66DC"/>
    <w:rsid w:val="00EE69DE"/>
    <w:rsid w:val="00EE6D67"/>
    <w:rsid w:val="00EE6DB3"/>
    <w:rsid w:val="00EE6E4A"/>
    <w:rsid w:val="00EE702C"/>
    <w:rsid w:val="00EE7277"/>
    <w:rsid w:val="00EE7371"/>
    <w:rsid w:val="00EE74A3"/>
    <w:rsid w:val="00EE750A"/>
    <w:rsid w:val="00EE7585"/>
    <w:rsid w:val="00EE75EA"/>
    <w:rsid w:val="00EE7658"/>
    <w:rsid w:val="00EE7780"/>
    <w:rsid w:val="00EE7922"/>
    <w:rsid w:val="00EE792D"/>
    <w:rsid w:val="00EE7967"/>
    <w:rsid w:val="00EE79BA"/>
    <w:rsid w:val="00EE7AAA"/>
    <w:rsid w:val="00EE7B0E"/>
    <w:rsid w:val="00EE7CDF"/>
    <w:rsid w:val="00EE7DA4"/>
    <w:rsid w:val="00EE7F6E"/>
    <w:rsid w:val="00EE7FAC"/>
    <w:rsid w:val="00EF0033"/>
    <w:rsid w:val="00EF007A"/>
    <w:rsid w:val="00EF00E1"/>
    <w:rsid w:val="00EF02CE"/>
    <w:rsid w:val="00EF041C"/>
    <w:rsid w:val="00EF05F4"/>
    <w:rsid w:val="00EF0687"/>
    <w:rsid w:val="00EF06EB"/>
    <w:rsid w:val="00EF0713"/>
    <w:rsid w:val="00EF07AE"/>
    <w:rsid w:val="00EF0866"/>
    <w:rsid w:val="00EF0897"/>
    <w:rsid w:val="00EF08E1"/>
    <w:rsid w:val="00EF0D2D"/>
    <w:rsid w:val="00EF0E95"/>
    <w:rsid w:val="00EF0FB4"/>
    <w:rsid w:val="00EF1003"/>
    <w:rsid w:val="00EF10F8"/>
    <w:rsid w:val="00EF115C"/>
    <w:rsid w:val="00EF11DF"/>
    <w:rsid w:val="00EF123B"/>
    <w:rsid w:val="00EF14C6"/>
    <w:rsid w:val="00EF1849"/>
    <w:rsid w:val="00EF1936"/>
    <w:rsid w:val="00EF1A30"/>
    <w:rsid w:val="00EF1BC8"/>
    <w:rsid w:val="00EF1CBF"/>
    <w:rsid w:val="00EF1D04"/>
    <w:rsid w:val="00EF1DF7"/>
    <w:rsid w:val="00EF1E8C"/>
    <w:rsid w:val="00EF1EF1"/>
    <w:rsid w:val="00EF1FFB"/>
    <w:rsid w:val="00EF2180"/>
    <w:rsid w:val="00EF2313"/>
    <w:rsid w:val="00EF23A9"/>
    <w:rsid w:val="00EF256C"/>
    <w:rsid w:val="00EF2631"/>
    <w:rsid w:val="00EF263E"/>
    <w:rsid w:val="00EF266B"/>
    <w:rsid w:val="00EF2815"/>
    <w:rsid w:val="00EF29C9"/>
    <w:rsid w:val="00EF2A78"/>
    <w:rsid w:val="00EF2A9D"/>
    <w:rsid w:val="00EF2B2C"/>
    <w:rsid w:val="00EF2B41"/>
    <w:rsid w:val="00EF2BDB"/>
    <w:rsid w:val="00EF2E62"/>
    <w:rsid w:val="00EF3110"/>
    <w:rsid w:val="00EF31D5"/>
    <w:rsid w:val="00EF31EA"/>
    <w:rsid w:val="00EF3214"/>
    <w:rsid w:val="00EF3266"/>
    <w:rsid w:val="00EF3349"/>
    <w:rsid w:val="00EF337E"/>
    <w:rsid w:val="00EF3578"/>
    <w:rsid w:val="00EF36E4"/>
    <w:rsid w:val="00EF3737"/>
    <w:rsid w:val="00EF3928"/>
    <w:rsid w:val="00EF3C0E"/>
    <w:rsid w:val="00EF3CC4"/>
    <w:rsid w:val="00EF3D8E"/>
    <w:rsid w:val="00EF3DF1"/>
    <w:rsid w:val="00EF3E4C"/>
    <w:rsid w:val="00EF3E76"/>
    <w:rsid w:val="00EF3E85"/>
    <w:rsid w:val="00EF3EF1"/>
    <w:rsid w:val="00EF4043"/>
    <w:rsid w:val="00EF4108"/>
    <w:rsid w:val="00EF421E"/>
    <w:rsid w:val="00EF4536"/>
    <w:rsid w:val="00EF4566"/>
    <w:rsid w:val="00EF465A"/>
    <w:rsid w:val="00EF476B"/>
    <w:rsid w:val="00EF479B"/>
    <w:rsid w:val="00EF47A2"/>
    <w:rsid w:val="00EF47D1"/>
    <w:rsid w:val="00EF4855"/>
    <w:rsid w:val="00EF4AA1"/>
    <w:rsid w:val="00EF4B91"/>
    <w:rsid w:val="00EF4C42"/>
    <w:rsid w:val="00EF4DD4"/>
    <w:rsid w:val="00EF4EFA"/>
    <w:rsid w:val="00EF5000"/>
    <w:rsid w:val="00EF501B"/>
    <w:rsid w:val="00EF509A"/>
    <w:rsid w:val="00EF5296"/>
    <w:rsid w:val="00EF536D"/>
    <w:rsid w:val="00EF53D3"/>
    <w:rsid w:val="00EF53FC"/>
    <w:rsid w:val="00EF567D"/>
    <w:rsid w:val="00EF58AC"/>
    <w:rsid w:val="00EF598F"/>
    <w:rsid w:val="00EF5A10"/>
    <w:rsid w:val="00EF5A28"/>
    <w:rsid w:val="00EF5A99"/>
    <w:rsid w:val="00EF5B96"/>
    <w:rsid w:val="00EF5D0E"/>
    <w:rsid w:val="00EF5E31"/>
    <w:rsid w:val="00EF5F08"/>
    <w:rsid w:val="00EF619B"/>
    <w:rsid w:val="00EF61F7"/>
    <w:rsid w:val="00EF6295"/>
    <w:rsid w:val="00EF64A2"/>
    <w:rsid w:val="00EF6552"/>
    <w:rsid w:val="00EF664F"/>
    <w:rsid w:val="00EF6722"/>
    <w:rsid w:val="00EF6779"/>
    <w:rsid w:val="00EF677A"/>
    <w:rsid w:val="00EF6802"/>
    <w:rsid w:val="00EF681E"/>
    <w:rsid w:val="00EF6843"/>
    <w:rsid w:val="00EF6884"/>
    <w:rsid w:val="00EF68C2"/>
    <w:rsid w:val="00EF6A69"/>
    <w:rsid w:val="00EF6AB9"/>
    <w:rsid w:val="00EF6AED"/>
    <w:rsid w:val="00EF6C0F"/>
    <w:rsid w:val="00EF6CC2"/>
    <w:rsid w:val="00EF6E85"/>
    <w:rsid w:val="00EF6EB4"/>
    <w:rsid w:val="00EF6ECD"/>
    <w:rsid w:val="00EF6EEC"/>
    <w:rsid w:val="00EF70C1"/>
    <w:rsid w:val="00EF713D"/>
    <w:rsid w:val="00EF713E"/>
    <w:rsid w:val="00EF717B"/>
    <w:rsid w:val="00EF7336"/>
    <w:rsid w:val="00EF73C7"/>
    <w:rsid w:val="00EF73CD"/>
    <w:rsid w:val="00EF7799"/>
    <w:rsid w:val="00EF7867"/>
    <w:rsid w:val="00EF7883"/>
    <w:rsid w:val="00EF79C4"/>
    <w:rsid w:val="00EF7AF8"/>
    <w:rsid w:val="00EF7C15"/>
    <w:rsid w:val="00EF7CCE"/>
    <w:rsid w:val="00EF7DD9"/>
    <w:rsid w:val="00EF7E30"/>
    <w:rsid w:val="00EF7E6E"/>
    <w:rsid w:val="00EF7E95"/>
    <w:rsid w:val="00F00241"/>
    <w:rsid w:val="00F0025A"/>
    <w:rsid w:val="00F002BB"/>
    <w:rsid w:val="00F002FC"/>
    <w:rsid w:val="00F0075A"/>
    <w:rsid w:val="00F00800"/>
    <w:rsid w:val="00F00806"/>
    <w:rsid w:val="00F00879"/>
    <w:rsid w:val="00F0090C"/>
    <w:rsid w:val="00F00973"/>
    <w:rsid w:val="00F009E0"/>
    <w:rsid w:val="00F00A20"/>
    <w:rsid w:val="00F00BF7"/>
    <w:rsid w:val="00F00C75"/>
    <w:rsid w:val="00F00C98"/>
    <w:rsid w:val="00F00CC6"/>
    <w:rsid w:val="00F00DF6"/>
    <w:rsid w:val="00F00E5B"/>
    <w:rsid w:val="00F00F6D"/>
    <w:rsid w:val="00F00F8E"/>
    <w:rsid w:val="00F00FD5"/>
    <w:rsid w:val="00F01045"/>
    <w:rsid w:val="00F01179"/>
    <w:rsid w:val="00F01383"/>
    <w:rsid w:val="00F01522"/>
    <w:rsid w:val="00F015A0"/>
    <w:rsid w:val="00F01612"/>
    <w:rsid w:val="00F01630"/>
    <w:rsid w:val="00F01658"/>
    <w:rsid w:val="00F01699"/>
    <w:rsid w:val="00F0169E"/>
    <w:rsid w:val="00F016E1"/>
    <w:rsid w:val="00F016FC"/>
    <w:rsid w:val="00F017B2"/>
    <w:rsid w:val="00F01979"/>
    <w:rsid w:val="00F019B2"/>
    <w:rsid w:val="00F01B30"/>
    <w:rsid w:val="00F01B8B"/>
    <w:rsid w:val="00F01C59"/>
    <w:rsid w:val="00F01D1C"/>
    <w:rsid w:val="00F01DE3"/>
    <w:rsid w:val="00F01EA9"/>
    <w:rsid w:val="00F01F11"/>
    <w:rsid w:val="00F01F96"/>
    <w:rsid w:val="00F01FFE"/>
    <w:rsid w:val="00F02078"/>
    <w:rsid w:val="00F02085"/>
    <w:rsid w:val="00F021C5"/>
    <w:rsid w:val="00F0227A"/>
    <w:rsid w:val="00F023F5"/>
    <w:rsid w:val="00F02440"/>
    <w:rsid w:val="00F024FE"/>
    <w:rsid w:val="00F02503"/>
    <w:rsid w:val="00F026AB"/>
    <w:rsid w:val="00F0271F"/>
    <w:rsid w:val="00F027C2"/>
    <w:rsid w:val="00F027D2"/>
    <w:rsid w:val="00F0282F"/>
    <w:rsid w:val="00F0283F"/>
    <w:rsid w:val="00F0286A"/>
    <w:rsid w:val="00F0288F"/>
    <w:rsid w:val="00F029A5"/>
    <w:rsid w:val="00F02A3B"/>
    <w:rsid w:val="00F02B06"/>
    <w:rsid w:val="00F02C2B"/>
    <w:rsid w:val="00F02F3A"/>
    <w:rsid w:val="00F02FD5"/>
    <w:rsid w:val="00F031B9"/>
    <w:rsid w:val="00F031CD"/>
    <w:rsid w:val="00F031D6"/>
    <w:rsid w:val="00F0322A"/>
    <w:rsid w:val="00F0331D"/>
    <w:rsid w:val="00F03337"/>
    <w:rsid w:val="00F0336E"/>
    <w:rsid w:val="00F033BE"/>
    <w:rsid w:val="00F033DB"/>
    <w:rsid w:val="00F0342D"/>
    <w:rsid w:val="00F0353B"/>
    <w:rsid w:val="00F036A9"/>
    <w:rsid w:val="00F036FC"/>
    <w:rsid w:val="00F0370B"/>
    <w:rsid w:val="00F03816"/>
    <w:rsid w:val="00F03901"/>
    <w:rsid w:val="00F03925"/>
    <w:rsid w:val="00F03AB5"/>
    <w:rsid w:val="00F03B5B"/>
    <w:rsid w:val="00F03BB0"/>
    <w:rsid w:val="00F03C3F"/>
    <w:rsid w:val="00F03C65"/>
    <w:rsid w:val="00F03C78"/>
    <w:rsid w:val="00F03E8C"/>
    <w:rsid w:val="00F03F0A"/>
    <w:rsid w:val="00F03F2C"/>
    <w:rsid w:val="00F03F78"/>
    <w:rsid w:val="00F040B1"/>
    <w:rsid w:val="00F04146"/>
    <w:rsid w:val="00F041A9"/>
    <w:rsid w:val="00F044F4"/>
    <w:rsid w:val="00F04518"/>
    <w:rsid w:val="00F046F7"/>
    <w:rsid w:val="00F04727"/>
    <w:rsid w:val="00F04821"/>
    <w:rsid w:val="00F0487B"/>
    <w:rsid w:val="00F04883"/>
    <w:rsid w:val="00F048CB"/>
    <w:rsid w:val="00F048E4"/>
    <w:rsid w:val="00F04984"/>
    <w:rsid w:val="00F049C0"/>
    <w:rsid w:val="00F04C87"/>
    <w:rsid w:val="00F04CCB"/>
    <w:rsid w:val="00F04E56"/>
    <w:rsid w:val="00F04F53"/>
    <w:rsid w:val="00F04FA4"/>
    <w:rsid w:val="00F04FD1"/>
    <w:rsid w:val="00F05064"/>
    <w:rsid w:val="00F050A9"/>
    <w:rsid w:val="00F05294"/>
    <w:rsid w:val="00F052AE"/>
    <w:rsid w:val="00F05316"/>
    <w:rsid w:val="00F054B9"/>
    <w:rsid w:val="00F05521"/>
    <w:rsid w:val="00F055D7"/>
    <w:rsid w:val="00F0577C"/>
    <w:rsid w:val="00F057E8"/>
    <w:rsid w:val="00F058A5"/>
    <w:rsid w:val="00F059EB"/>
    <w:rsid w:val="00F05B38"/>
    <w:rsid w:val="00F05D4A"/>
    <w:rsid w:val="00F05D71"/>
    <w:rsid w:val="00F05E39"/>
    <w:rsid w:val="00F05E98"/>
    <w:rsid w:val="00F060AD"/>
    <w:rsid w:val="00F06227"/>
    <w:rsid w:val="00F064C9"/>
    <w:rsid w:val="00F066BC"/>
    <w:rsid w:val="00F066CA"/>
    <w:rsid w:val="00F06750"/>
    <w:rsid w:val="00F067B0"/>
    <w:rsid w:val="00F0696A"/>
    <w:rsid w:val="00F06A4A"/>
    <w:rsid w:val="00F06A62"/>
    <w:rsid w:val="00F06A76"/>
    <w:rsid w:val="00F06DCE"/>
    <w:rsid w:val="00F06EAD"/>
    <w:rsid w:val="00F06FF6"/>
    <w:rsid w:val="00F070A2"/>
    <w:rsid w:val="00F070B9"/>
    <w:rsid w:val="00F072D6"/>
    <w:rsid w:val="00F07345"/>
    <w:rsid w:val="00F0735A"/>
    <w:rsid w:val="00F0737D"/>
    <w:rsid w:val="00F073AA"/>
    <w:rsid w:val="00F073BE"/>
    <w:rsid w:val="00F07493"/>
    <w:rsid w:val="00F075E0"/>
    <w:rsid w:val="00F07608"/>
    <w:rsid w:val="00F076A1"/>
    <w:rsid w:val="00F0776C"/>
    <w:rsid w:val="00F07790"/>
    <w:rsid w:val="00F0779E"/>
    <w:rsid w:val="00F0793D"/>
    <w:rsid w:val="00F07A7C"/>
    <w:rsid w:val="00F07A84"/>
    <w:rsid w:val="00F07CD9"/>
    <w:rsid w:val="00F07D0C"/>
    <w:rsid w:val="00F07D1E"/>
    <w:rsid w:val="00F07E49"/>
    <w:rsid w:val="00F100C6"/>
    <w:rsid w:val="00F1018B"/>
    <w:rsid w:val="00F10202"/>
    <w:rsid w:val="00F10219"/>
    <w:rsid w:val="00F10420"/>
    <w:rsid w:val="00F10429"/>
    <w:rsid w:val="00F10595"/>
    <w:rsid w:val="00F106B5"/>
    <w:rsid w:val="00F106FE"/>
    <w:rsid w:val="00F107A6"/>
    <w:rsid w:val="00F10894"/>
    <w:rsid w:val="00F108BB"/>
    <w:rsid w:val="00F108EB"/>
    <w:rsid w:val="00F10A1D"/>
    <w:rsid w:val="00F10A40"/>
    <w:rsid w:val="00F10B46"/>
    <w:rsid w:val="00F10C70"/>
    <w:rsid w:val="00F10CA4"/>
    <w:rsid w:val="00F10CC4"/>
    <w:rsid w:val="00F10D64"/>
    <w:rsid w:val="00F10D8A"/>
    <w:rsid w:val="00F10EBB"/>
    <w:rsid w:val="00F11225"/>
    <w:rsid w:val="00F11257"/>
    <w:rsid w:val="00F112B5"/>
    <w:rsid w:val="00F11300"/>
    <w:rsid w:val="00F113DB"/>
    <w:rsid w:val="00F117F3"/>
    <w:rsid w:val="00F11871"/>
    <w:rsid w:val="00F11882"/>
    <w:rsid w:val="00F1189D"/>
    <w:rsid w:val="00F11A3E"/>
    <w:rsid w:val="00F11B60"/>
    <w:rsid w:val="00F11BA7"/>
    <w:rsid w:val="00F11C02"/>
    <w:rsid w:val="00F11CB8"/>
    <w:rsid w:val="00F11D18"/>
    <w:rsid w:val="00F11EAF"/>
    <w:rsid w:val="00F11EBB"/>
    <w:rsid w:val="00F12113"/>
    <w:rsid w:val="00F12185"/>
    <w:rsid w:val="00F12198"/>
    <w:rsid w:val="00F12288"/>
    <w:rsid w:val="00F12459"/>
    <w:rsid w:val="00F1250E"/>
    <w:rsid w:val="00F1252D"/>
    <w:rsid w:val="00F127BE"/>
    <w:rsid w:val="00F12932"/>
    <w:rsid w:val="00F12A20"/>
    <w:rsid w:val="00F12A55"/>
    <w:rsid w:val="00F12A7D"/>
    <w:rsid w:val="00F12B75"/>
    <w:rsid w:val="00F12C0E"/>
    <w:rsid w:val="00F12D92"/>
    <w:rsid w:val="00F12ED3"/>
    <w:rsid w:val="00F12EF4"/>
    <w:rsid w:val="00F12F94"/>
    <w:rsid w:val="00F13034"/>
    <w:rsid w:val="00F13204"/>
    <w:rsid w:val="00F133B7"/>
    <w:rsid w:val="00F13570"/>
    <w:rsid w:val="00F13601"/>
    <w:rsid w:val="00F1378B"/>
    <w:rsid w:val="00F13858"/>
    <w:rsid w:val="00F13874"/>
    <w:rsid w:val="00F13973"/>
    <w:rsid w:val="00F13A1D"/>
    <w:rsid w:val="00F13A65"/>
    <w:rsid w:val="00F13B0E"/>
    <w:rsid w:val="00F13B5A"/>
    <w:rsid w:val="00F13B77"/>
    <w:rsid w:val="00F13C6C"/>
    <w:rsid w:val="00F13CC7"/>
    <w:rsid w:val="00F13D09"/>
    <w:rsid w:val="00F13D0C"/>
    <w:rsid w:val="00F13E49"/>
    <w:rsid w:val="00F13EC8"/>
    <w:rsid w:val="00F13F09"/>
    <w:rsid w:val="00F1401D"/>
    <w:rsid w:val="00F143FA"/>
    <w:rsid w:val="00F144FD"/>
    <w:rsid w:val="00F145E2"/>
    <w:rsid w:val="00F14639"/>
    <w:rsid w:val="00F14661"/>
    <w:rsid w:val="00F146B5"/>
    <w:rsid w:val="00F146BD"/>
    <w:rsid w:val="00F14786"/>
    <w:rsid w:val="00F1478E"/>
    <w:rsid w:val="00F149CE"/>
    <w:rsid w:val="00F14A8A"/>
    <w:rsid w:val="00F14A9B"/>
    <w:rsid w:val="00F14B00"/>
    <w:rsid w:val="00F14C2E"/>
    <w:rsid w:val="00F14DF2"/>
    <w:rsid w:val="00F14EFA"/>
    <w:rsid w:val="00F14FD7"/>
    <w:rsid w:val="00F15134"/>
    <w:rsid w:val="00F1540D"/>
    <w:rsid w:val="00F15486"/>
    <w:rsid w:val="00F1548E"/>
    <w:rsid w:val="00F1556C"/>
    <w:rsid w:val="00F15807"/>
    <w:rsid w:val="00F1582B"/>
    <w:rsid w:val="00F15849"/>
    <w:rsid w:val="00F15850"/>
    <w:rsid w:val="00F15A81"/>
    <w:rsid w:val="00F15AAC"/>
    <w:rsid w:val="00F15AEB"/>
    <w:rsid w:val="00F15AF6"/>
    <w:rsid w:val="00F15C27"/>
    <w:rsid w:val="00F15C50"/>
    <w:rsid w:val="00F15D5E"/>
    <w:rsid w:val="00F15D80"/>
    <w:rsid w:val="00F15E7C"/>
    <w:rsid w:val="00F15EE2"/>
    <w:rsid w:val="00F15F51"/>
    <w:rsid w:val="00F15F74"/>
    <w:rsid w:val="00F15F93"/>
    <w:rsid w:val="00F1610B"/>
    <w:rsid w:val="00F1615E"/>
    <w:rsid w:val="00F162EE"/>
    <w:rsid w:val="00F16306"/>
    <w:rsid w:val="00F1635F"/>
    <w:rsid w:val="00F163AD"/>
    <w:rsid w:val="00F163BE"/>
    <w:rsid w:val="00F1642F"/>
    <w:rsid w:val="00F165F0"/>
    <w:rsid w:val="00F16649"/>
    <w:rsid w:val="00F166C4"/>
    <w:rsid w:val="00F16734"/>
    <w:rsid w:val="00F16901"/>
    <w:rsid w:val="00F16AC7"/>
    <w:rsid w:val="00F16B40"/>
    <w:rsid w:val="00F16D05"/>
    <w:rsid w:val="00F16D2E"/>
    <w:rsid w:val="00F16DBD"/>
    <w:rsid w:val="00F16E1D"/>
    <w:rsid w:val="00F16EDC"/>
    <w:rsid w:val="00F1711B"/>
    <w:rsid w:val="00F17164"/>
    <w:rsid w:val="00F1751B"/>
    <w:rsid w:val="00F1755C"/>
    <w:rsid w:val="00F175D9"/>
    <w:rsid w:val="00F175E5"/>
    <w:rsid w:val="00F17798"/>
    <w:rsid w:val="00F179AF"/>
    <w:rsid w:val="00F17B9F"/>
    <w:rsid w:val="00F17C27"/>
    <w:rsid w:val="00F17C72"/>
    <w:rsid w:val="00F17C82"/>
    <w:rsid w:val="00F17C91"/>
    <w:rsid w:val="00F17E3E"/>
    <w:rsid w:val="00F17F38"/>
    <w:rsid w:val="00F200A7"/>
    <w:rsid w:val="00F20299"/>
    <w:rsid w:val="00F203AA"/>
    <w:rsid w:val="00F20488"/>
    <w:rsid w:val="00F20542"/>
    <w:rsid w:val="00F207D6"/>
    <w:rsid w:val="00F20894"/>
    <w:rsid w:val="00F209FC"/>
    <w:rsid w:val="00F20B51"/>
    <w:rsid w:val="00F20B52"/>
    <w:rsid w:val="00F20E91"/>
    <w:rsid w:val="00F20F57"/>
    <w:rsid w:val="00F2111F"/>
    <w:rsid w:val="00F21162"/>
    <w:rsid w:val="00F211D6"/>
    <w:rsid w:val="00F2132C"/>
    <w:rsid w:val="00F21337"/>
    <w:rsid w:val="00F21382"/>
    <w:rsid w:val="00F213EF"/>
    <w:rsid w:val="00F214B9"/>
    <w:rsid w:val="00F218A8"/>
    <w:rsid w:val="00F218CA"/>
    <w:rsid w:val="00F21A1A"/>
    <w:rsid w:val="00F21B2D"/>
    <w:rsid w:val="00F21B96"/>
    <w:rsid w:val="00F21BCF"/>
    <w:rsid w:val="00F21C2B"/>
    <w:rsid w:val="00F21D16"/>
    <w:rsid w:val="00F21EC2"/>
    <w:rsid w:val="00F21F94"/>
    <w:rsid w:val="00F21FD8"/>
    <w:rsid w:val="00F22169"/>
    <w:rsid w:val="00F22210"/>
    <w:rsid w:val="00F2223F"/>
    <w:rsid w:val="00F22272"/>
    <w:rsid w:val="00F2238D"/>
    <w:rsid w:val="00F224F9"/>
    <w:rsid w:val="00F2250E"/>
    <w:rsid w:val="00F2256D"/>
    <w:rsid w:val="00F2280F"/>
    <w:rsid w:val="00F22912"/>
    <w:rsid w:val="00F22955"/>
    <w:rsid w:val="00F229BF"/>
    <w:rsid w:val="00F22AFA"/>
    <w:rsid w:val="00F22CA3"/>
    <w:rsid w:val="00F22CD1"/>
    <w:rsid w:val="00F23074"/>
    <w:rsid w:val="00F23190"/>
    <w:rsid w:val="00F231DB"/>
    <w:rsid w:val="00F23227"/>
    <w:rsid w:val="00F23262"/>
    <w:rsid w:val="00F2327E"/>
    <w:rsid w:val="00F232C3"/>
    <w:rsid w:val="00F232CF"/>
    <w:rsid w:val="00F232E8"/>
    <w:rsid w:val="00F236A2"/>
    <w:rsid w:val="00F236D6"/>
    <w:rsid w:val="00F2373C"/>
    <w:rsid w:val="00F2375E"/>
    <w:rsid w:val="00F237CB"/>
    <w:rsid w:val="00F23A7C"/>
    <w:rsid w:val="00F23A8F"/>
    <w:rsid w:val="00F23ABF"/>
    <w:rsid w:val="00F23B4A"/>
    <w:rsid w:val="00F23BC1"/>
    <w:rsid w:val="00F23C25"/>
    <w:rsid w:val="00F23D45"/>
    <w:rsid w:val="00F23F22"/>
    <w:rsid w:val="00F23FDD"/>
    <w:rsid w:val="00F24059"/>
    <w:rsid w:val="00F240F3"/>
    <w:rsid w:val="00F242CB"/>
    <w:rsid w:val="00F242DA"/>
    <w:rsid w:val="00F24358"/>
    <w:rsid w:val="00F24380"/>
    <w:rsid w:val="00F2454F"/>
    <w:rsid w:val="00F2467A"/>
    <w:rsid w:val="00F24758"/>
    <w:rsid w:val="00F24958"/>
    <w:rsid w:val="00F249A2"/>
    <w:rsid w:val="00F24ADE"/>
    <w:rsid w:val="00F24BBB"/>
    <w:rsid w:val="00F24D6A"/>
    <w:rsid w:val="00F24E40"/>
    <w:rsid w:val="00F24FA4"/>
    <w:rsid w:val="00F24FB7"/>
    <w:rsid w:val="00F2515F"/>
    <w:rsid w:val="00F252B9"/>
    <w:rsid w:val="00F25329"/>
    <w:rsid w:val="00F254BF"/>
    <w:rsid w:val="00F25564"/>
    <w:rsid w:val="00F2580B"/>
    <w:rsid w:val="00F25822"/>
    <w:rsid w:val="00F25868"/>
    <w:rsid w:val="00F25963"/>
    <w:rsid w:val="00F259C2"/>
    <w:rsid w:val="00F25C82"/>
    <w:rsid w:val="00F25CF9"/>
    <w:rsid w:val="00F25D05"/>
    <w:rsid w:val="00F25D1F"/>
    <w:rsid w:val="00F25DE3"/>
    <w:rsid w:val="00F25EB7"/>
    <w:rsid w:val="00F25F84"/>
    <w:rsid w:val="00F25FA3"/>
    <w:rsid w:val="00F2614C"/>
    <w:rsid w:val="00F26176"/>
    <w:rsid w:val="00F2623E"/>
    <w:rsid w:val="00F26263"/>
    <w:rsid w:val="00F267CD"/>
    <w:rsid w:val="00F26858"/>
    <w:rsid w:val="00F26868"/>
    <w:rsid w:val="00F26872"/>
    <w:rsid w:val="00F26899"/>
    <w:rsid w:val="00F26A17"/>
    <w:rsid w:val="00F26A29"/>
    <w:rsid w:val="00F26BDC"/>
    <w:rsid w:val="00F26C6D"/>
    <w:rsid w:val="00F26CC2"/>
    <w:rsid w:val="00F26CDB"/>
    <w:rsid w:val="00F26D15"/>
    <w:rsid w:val="00F26E0E"/>
    <w:rsid w:val="00F27129"/>
    <w:rsid w:val="00F27153"/>
    <w:rsid w:val="00F271F6"/>
    <w:rsid w:val="00F27272"/>
    <w:rsid w:val="00F273D0"/>
    <w:rsid w:val="00F27531"/>
    <w:rsid w:val="00F275A4"/>
    <w:rsid w:val="00F27701"/>
    <w:rsid w:val="00F27774"/>
    <w:rsid w:val="00F2783E"/>
    <w:rsid w:val="00F27937"/>
    <w:rsid w:val="00F27A28"/>
    <w:rsid w:val="00F27EAD"/>
    <w:rsid w:val="00F27F64"/>
    <w:rsid w:val="00F27FF2"/>
    <w:rsid w:val="00F300B7"/>
    <w:rsid w:val="00F3011C"/>
    <w:rsid w:val="00F30224"/>
    <w:rsid w:val="00F30271"/>
    <w:rsid w:val="00F3039A"/>
    <w:rsid w:val="00F30560"/>
    <w:rsid w:val="00F305A0"/>
    <w:rsid w:val="00F30611"/>
    <w:rsid w:val="00F307A6"/>
    <w:rsid w:val="00F307E4"/>
    <w:rsid w:val="00F30864"/>
    <w:rsid w:val="00F3089F"/>
    <w:rsid w:val="00F30A66"/>
    <w:rsid w:val="00F30C1B"/>
    <w:rsid w:val="00F30CD2"/>
    <w:rsid w:val="00F30D6A"/>
    <w:rsid w:val="00F30D70"/>
    <w:rsid w:val="00F30EBC"/>
    <w:rsid w:val="00F30F2D"/>
    <w:rsid w:val="00F30FB6"/>
    <w:rsid w:val="00F30FBF"/>
    <w:rsid w:val="00F3108A"/>
    <w:rsid w:val="00F3108C"/>
    <w:rsid w:val="00F311F6"/>
    <w:rsid w:val="00F31401"/>
    <w:rsid w:val="00F314BD"/>
    <w:rsid w:val="00F314CF"/>
    <w:rsid w:val="00F31520"/>
    <w:rsid w:val="00F315CB"/>
    <w:rsid w:val="00F31709"/>
    <w:rsid w:val="00F317CF"/>
    <w:rsid w:val="00F317DF"/>
    <w:rsid w:val="00F317E5"/>
    <w:rsid w:val="00F31893"/>
    <w:rsid w:val="00F319F9"/>
    <w:rsid w:val="00F31E4D"/>
    <w:rsid w:val="00F31EEC"/>
    <w:rsid w:val="00F31FBA"/>
    <w:rsid w:val="00F32026"/>
    <w:rsid w:val="00F32057"/>
    <w:rsid w:val="00F3214C"/>
    <w:rsid w:val="00F321FE"/>
    <w:rsid w:val="00F3240B"/>
    <w:rsid w:val="00F32447"/>
    <w:rsid w:val="00F324F9"/>
    <w:rsid w:val="00F32577"/>
    <w:rsid w:val="00F3260F"/>
    <w:rsid w:val="00F326B2"/>
    <w:rsid w:val="00F32914"/>
    <w:rsid w:val="00F329A5"/>
    <w:rsid w:val="00F32AB9"/>
    <w:rsid w:val="00F32B00"/>
    <w:rsid w:val="00F32BAB"/>
    <w:rsid w:val="00F32C04"/>
    <w:rsid w:val="00F32C48"/>
    <w:rsid w:val="00F32CCB"/>
    <w:rsid w:val="00F32D8D"/>
    <w:rsid w:val="00F32DF0"/>
    <w:rsid w:val="00F32E32"/>
    <w:rsid w:val="00F32E4A"/>
    <w:rsid w:val="00F32F2B"/>
    <w:rsid w:val="00F32FD0"/>
    <w:rsid w:val="00F33058"/>
    <w:rsid w:val="00F330C2"/>
    <w:rsid w:val="00F33104"/>
    <w:rsid w:val="00F33154"/>
    <w:rsid w:val="00F332C5"/>
    <w:rsid w:val="00F33333"/>
    <w:rsid w:val="00F33423"/>
    <w:rsid w:val="00F334BB"/>
    <w:rsid w:val="00F334CE"/>
    <w:rsid w:val="00F334FD"/>
    <w:rsid w:val="00F33503"/>
    <w:rsid w:val="00F33518"/>
    <w:rsid w:val="00F33591"/>
    <w:rsid w:val="00F3361A"/>
    <w:rsid w:val="00F3362E"/>
    <w:rsid w:val="00F3367B"/>
    <w:rsid w:val="00F3379A"/>
    <w:rsid w:val="00F337ED"/>
    <w:rsid w:val="00F3381D"/>
    <w:rsid w:val="00F33833"/>
    <w:rsid w:val="00F338CA"/>
    <w:rsid w:val="00F33A03"/>
    <w:rsid w:val="00F33A62"/>
    <w:rsid w:val="00F33A72"/>
    <w:rsid w:val="00F33E42"/>
    <w:rsid w:val="00F34067"/>
    <w:rsid w:val="00F34103"/>
    <w:rsid w:val="00F341F4"/>
    <w:rsid w:val="00F34232"/>
    <w:rsid w:val="00F34237"/>
    <w:rsid w:val="00F3427C"/>
    <w:rsid w:val="00F343BA"/>
    <w:rsid w:val="00F343EB"/>
    <w:rsid w:val="00F34410"/>
    <w:rsid w:val="00F3449F"/>
    <w:rsid w:val="00F34670"/>
    <w:rsid w:val="00F34697"/>
    <w:rsid w:val="00F3480C"/>
    <w:rsid w:val="00F3481E"/>
    <w:rsid w:val="00F34936"/>
    <w:rsid w:val="00F349D9"/>
    <w:rsid w:val="00F349E5"/>
    <w:rsid w:val="00F34A24"/>
    <w:rsid w:val="00F34A52"/>
    <w:rsid w:val="00F34B50"/>
    <w:rsid w:val="00F34BA8"/>
    <w:rsid w:val="00F34CB8"/>
    <w:rsid w:val="00F34CCA"/>
    <w:rsid w:val="00F34D49"/>
    <w:rsid w:val="00F34ED6"/>
    <w:rsid w:val="00F34F3D"/>
    <w:rsid w:val="00F350A5"/>
    <w:rsid w:val="00F3510B"/>
    <w:rsid w:val="00F351E7"/>
    <w:rsid w:val="00F351F5"/>
    <w:rsid w:val="00F35693"/>
    <w:rsid w:val="00F356EA"/>
    <w:rsid w:val="00F35744"/>
    <w:rsid w:val="00F3578E"/>
    <w:rsid w:val="00F3586E"/>
    <w:rsid w:val="00F35884"/>
    <w:rsid w:val="00F35928"/>
    <w:rsid w:val="00F35A74"/>
    <w:rsid w:val="00F35A97"/>
    <w:rsid w:val="00F35BAB"/>
    <w:rsid w:val="00F35CAA"/>
    <w:rsid w:val="00F35DB3"/>
    <w:rsid w:val="00F35E0F"/>
    <w:rsid w:val="00F35EBE"/>
    <w:rsid w:val="00F35F6F"/>
    <w:rsid w:val="00F36091"/>
    <w:rsid w:val="00F36103"/>
    <w:rsid w:val="00F36127"/>
    <w:rsid w:val="00F3613B"/>
    <w:rsid w:val="00F361C0"/>
    <w:rsid w:val="00F361F4"/>
    <w:rsid w:val="00F362EC"/>
    <w:rsid w:val="00F3643A"/>
    <w:rsid w:val="00F3644A"/>
    <w:rsid w:val="00F3648A"/>
    <w:rsid w:val="00F36658"/>
    <w:rsid w:val="00F3683D"/>
    <w:rsid w:val="00F36849"/>
    <w:rsid w:val="00F36A80"/>
    <w:rsid w:val="00F36AE4"/>
    <w:rsid w:val="00F36B42"/>
    <w:rsid w:val="00F36E3E"/>
    <w:rsid w:val="00F36EF9"/>
    <w:rsid w:val="00F37140"/>
    <w:rsid w:val="00F3728A"/>
    <w:rsid w:val="00F37402"/>
    <w:rsid w:val="00F376EE"/>
    <w:rsid w:val="00F37809"/>
    <w:rsid w:val="00F3785E"/>
    <w:rsid w:val="00F37888"/>
    <w:rsid w:val="00F37896"/>
    <w:rsid w:val="00F37911"/>
    <w:rsid w:val="00F379A7"/>
    <w:rsid w:val="00F37A58"/>
    <w:rsid w:val="00F37A85"/>
    <w:rsid w:val="00F37BA0"/>
    <w:rsid w:val="00F37D52"/>
    <w:rsid w:val="00F37D7D"/>
    <w:rsid w:val="00F37D8C"/>
    <w:rsid w:val="00F37E6D"/>
    <w:rsid w:val="00F37F61"/>
    <w:rsid w:val="00F401A6"/>
    <w:rsid w:val="00F401CA"/>
    <w:rsid w:val="00F40299"/>
    <w:rsid w:val="00F402C0"/>
    <w:rsid w:val="00F40362"/>
    <w:rsid w:val="00F403C9"/>
    <w:rsid w:val="00F403FD"/>
    <w:rsid w:val="00F404B2"/>
    <w:rsid w:val="00F40533"/>
    <w:rsid w:val="00F40614"/>
    <w:rsid w:val="00F406B7"/>
    <w:rsid w:val="00F40889"/>
    <w:rsid w:val="00F40916"/>
    <w:rsid w:val="00F40994"/>
    <w:rsid w:val="00F409E3"/>
    <w:rsid w:val="00F409E5"/>
    <w:rsid w:val="00F40E56"/>
    <w:rsid w:val="00F40E69"/>
    <w:rsid w:val="00F40ECF"/>
    <w:rsid w:val="00F40F9E"/>
    <w:rsid w:val="00F4106A"/>
    <w:rsid w:val="00F41070"/>
    <w:rsid w:val="00F4110B"/>
    <w:rsid w:val="00F412ED"/>
    <w:rsid w:val="00F41412"/>
    <w:rsid w:val="00F4144C"/>
    <w:rsid w:val="00F4152B"/>
    <w:rsid w:val="00F415F2"/>
    <w:rsid w:val="00F41632"/>
    <w:rsid w:val="00F41641"/>
    <w:rsid w:val="00F416E8"/>
    <w:rsid w:val="00F41801"/>
    <w:rsid w:val="00F41892"/>
    <w:rsid w:val="00F41A06"/>
    <w:rsid w:val="00F41B07"/>
    <w:rsid w:val="00F41C35"/>
    <w:rsid w:val="00F41D18"/>
    <w:rsid w:val="00F41D8B"/>
    <w:rsid w:val="00F41E96"/>
    <w:rsid w:val="00F4208D"/>
    <w:rsid w:val="00F42096"/>
    <w:rsid w:val="00F4219C"/>
    <w:rsid w:val="00F421F0"/>
    <w:rsid w:val="00F42232"/>
    <w:rsid w:val="00F4254D"/>
    <w:rsid w:val="00F4279C"/>
    <w:rsid w:val="00F427CC"/>
    <w:rsid w:val="00F42801"/>
    <w:rsid w:val="00F4295D"/>
    <w:rsid w:val="00F42A40"/>
    <w:rsid w:val="00F42AD6"/>
    <w:rsid w:val="00F42CE0"/>
    <w:rsid w:val="00F42E2C"/>
    <w:rsid w:val="00F42E5C"/>
    <w:rsid w:val="00F42E66"/>
    <w:rsid w:val="00F42E81"/>
    <w:rsid w:val="00F42EC9"/>
    <w:rsid w:val="00F42FA7"/>
    <w:rsid w:val="00F4309C"/>
    <w:rsid w:val="00F4364F"/>
    <w:rsid w:val="00F43680"/>
    <w:rsid w:val="00F438E4"/>
    <w:rsid w:val="00F43946"/>
    <w:rsid w:val="00F43A20"/>
    <w:rsid w:val="00F43A4B"/>
    <w:rsid w:val="00F43AE0"/>
    <w:rsid w:val="00F43AF4"/>
    <w:rsid w:val="00F43B7F"/>
    <w:rsid w:val="00F43CC4"/>
    <w:rsid w:val="00F43D0B"/>
    <w:rsid w:val="00F43F9A"/>
    <w:rsid w:val="00F44050"/>
    <w:rsid w:val="00F4420E"/>
    <w:rsid w:val="00F4436A"/>
    <w:rsid w:val="00F44471"/>
    <w:rsid w:val="00F44628"/>
    <w:rsid w:val="00F4465A"/>
    <w:rsid w:val="00F4470A"/>
    <w:rsid w:val="00F447DA"/>
    <w:rsid w:val="00F4486C"/>
    <w:rsid w:val="00F44891"/>
    <w:rsid w:val="00F44971"/>
    <w:rsid w:val="00F44994"/>
    <w:rsid w:val="00F44C96"/>
    <w:rsid w:val="00F44C9A"/>
    <w:rsid w:val="00F44E7B"/>
    <w:rsid w:val="00F44F47"/>
    <w:rsid w:val="00F44FB6"/>
    <w:rsid w:val="00F450B7"/>
    <w:rsid w:val="00F45112"/>
    <w:rsid w:val="00F4511A"/>
    <w:rsid w:val="00F45416"/>
    <w:rsid w:val="00F455F9"/>
    <w:rsid w:val="00F4576A"/>
    <w:rsid w:val="00F4585A"/>
    <w:rsid w:val="00F45867"/>
    <w:rsid w:val="00F45883"/>
    <w:rsid w:val="00F45A16"/>
    <w:rsid w:val="00F45A8D"/>
    <w:rsid w:val="00F45ABF"/>
    <w:rsid w:val="00F45CC4"/>
    <w:rsid w:val="00F45CDE"/>
    <w:rsid w:val="00F45DB7"/>
    <w:rsid w:val="00F46046"/>
    <w:rsid w:val="00F46289"/>
    <w:rsid w:val="00F462F8"/>
    <w:rsid w:val="00F46314"/>
    <w:rsid w:val="00F46378"/>
    <w:rsid w:val="00F463AE"/>
    <w:rsid w:val="00F463FA"/>
    <w:rsid w:val="00F46481"/>
    <w:rsid w:val="00F46733"/>
    <w:rsid w:val="00F467CF"/>
    <w:rsid w:val="00F46A58"/>
    <w:rsid w:val="00F46A9C"/>
    <w:rsid w:val="00F46B55"/>
    <w:rsid w:val="00F46CFC"/>
    <w:rsid w:val="00F46D52"/>
    <w:rsid w:val="00F46F6F"/>
    <w:rsid w:val="00F46FB3"/>
    <w:rsid w:val="00F4701C"/>
    <w:rsid w:val="00F47029"/>
    <w:rsid w:val="00F47044"/>
    <w:rsid w:val="00F47093"/>
    <w:rsid w:val="00F471C0"/>
    <w:rsid w:val="00F47259"/>
    <w:rsid w:val="00F4732D"/>
    <w:rsid w:val="00F47425"/>
    <w:rsid w:val="00F474A0"/>
    <w:rsid w:val="00F47553"/>
    <w:rsid w:val="00F47577"/>
    <w:rsid w:val="00F476ED"/>
    <w:rsid w:val="00F47740"/>
    <w:rsid w:val="00F47804"/>
    <w:rsid w:val="00F47890"/>
    <w:rsid w:val="00F47A12"/>
    <w:rsid w:val="00F47A50"/>
    <w:rsid w:val="00F47CEE"/>
    <w:rsid w:val="00F47E44"/>
    <w:rsid w:val="00F5002C"/>
    <w:rsid w:val="00F50062"/>
    <w:rsid w:val="00F50067"/>
    <w:rsid w:val="00F5012A"/>
    <w:rsid w:val="00F50145"/>
    <w:rsid w:val="00F5014A"/>
    <w:rsid w:val="00F5050B"/>
    <w:rsid w:val="00F5058C"/>
    <w:rsid w:val="00F505FA"/>
    <w:rsid w:val="00F507D0"/>
    <w:rsid w:val="00F50842"/>
    <w:rsid w:val="00F50933"/>
    <w:rsid w:val="00F50961"/>
    <w:rsid w:val="00F50A00"/>
    <w:rsid w:val="00F50AFA"/>
    <w:rsid w:val="00F50B29"/>
    <w:rsid w:val="00F50B68"/>
    <w:rsid w:val="00F50D32"/>
    <w:rsid w:val="00F50D78"/>
    <w:rsid w:val="00F50F10"/>
    <w:rsid w:val="00F50F1F"/>
    <w:rsid w:val="00F50F3B"/>
    <w:rsid w:val="00F51178"/>
    <w:rsid w:val="00F5118B"/>
    <w:rsid w:val="00F511E5"/>
    <w:rsid w:val="00F513FF"/>
    <w:rsid w:val="00F5156D"/>
    <w:rsid w:val="00F517B9"/>
    <w:rsid w:val="00F518EF"/>
    <w:rsid w:val="00F51933"/>
    <w:rsid w:val="00F5196C"/>
    <w:rsid w:val="00F51BE0"/>
    <w:rsid w:val="00F51C08"/>
    <w:rsid w:val="00F51D1A"/>
    <w:rsid w:val="00F51EB6"/>
    <w:rsid w:val="00F51FE7"/>
    <w:rsid w:val="00F52013"/>
    <w:rsid w:val="00F52087"/>
    <w:rsid w:val="00F5210F"/>
    <w:rsid w:val="00F522DC"/>
    <w:rsid w:val="00F523ED"/>
    <w:rsid w:val="00F52404"/>
    <w:rsid w:val="00F527B5"/>
    <w:rsid w:val="00F5285D"/>
    <w:rsid w:val="00F52982"/>
    <w:rsid w:val="00F529C8"/>
    <w:rsid w:val="00F52AF1"/>
    <w:rsid w:val="00F52B03"/>
    <w:rsid w:val="00F52D43"/>
    <w:rsid w:val="00F52DC5"/>
    <w:rsid w:val="00F52E2B"/>
    <w:rsid w:val="00F52E49"/>
    <w:rsid w:val="00F52F91"/>
    <w:rsid w:val="00F52FB4"/>
    <w:rsid w:val="00F53069"/>
    <w:rsid w:val="00F53465"/>
    <w:rsid w:val="00F5349F"/>
    <w:rsid w:val="00F53563"/>
    <w:rsid w:val="00F53641"/>
    <w:rsid w:val="00F53725"/>
    <w:rsid w:val="00F53BB1"/>
    <w:rsid w:val="00F53D21"/>
    <w:rsid w:val="00F53D4A"/>
    <w:rsid w:val="00F53E5E"/>
    <w:rsid w:val="00F53FAB"/>
    <w:rsid w:val="00F5403E"/>
    <w:rsid w:val="00F5405E"/>
    <w:rsid w:val="00F54137"/>
    <w:rsid w:val="00F54184"/>
    <w:rsid w:val="00F54239"/>
    <w:rsid w:val="00F54456"/>
    <w:rsid w:val="00F5459F"/>
    <w:rsid w:val="00F5467C"/>
    <w:rsid w:val="00F5467E"/>
    <w:rsid w:val="00F5468F"/>
    <w:rsid w:val="00F546D6"/>
    <w:rsid w:val="00F549F6"/>
    <w:rsid w:val="00F54B0D"/>
    <w:rsid w:val="00F54B97"/>
    <w:rsid w:val="00F54C39"/>
    <w:rsid w:val="00F54C58"/>
    <w:rsid w:val="00F54C76"/>
    <w:rsid w:val="00F54C7B"/>
    <w:rsid w:val="00F54E4C"/>
    <w:rsid w:val="00F54E4F"/>
    <w:rsid w:val="00F54E7D"/>
    <w:rsid w:val="00F54ECE"/>
    <w:rsid w:val="00F54F03"/>
    <w:rsid w:val="00F54F5D"/>
    <w:rsid w:val="00F5513F"/>
    <w:rsid w:val="00F5523B"/>
    <w:rsid w:val="00F5531C"/>
    <w:rsid w:val="00F553CB"/>
    <w:rsid w:val="00F55519"/>
    <w:rsid w:val="00F55533"/>
    <w:rsid w:val="00F5553C"/>
    <w:rsid w:val="00F55AAF"/>
    <w:rsid w:val="00F55B99"/>
    <w:rsid w:val="00F55C12"/>
    <w:rsid w:val="00F55CBB"/>
    <w:rsid w:val="00F55DB0"/>
    <w:rsid w:val="00F56012"/>
    <w:rsid w:val="00F5617E"/>
    <w:rsid w:val="00F5618F"/>
    <w:rsid w:val="00F56239"/>
    <w:rsid w:val="00F5633C"/>
    <w:rsid w:val="00F563A5"/>
    <w:rsid w:val="00F56473"/>
    <w:rsid w:val="00F5649E"/>
    <w:rsid w:val="00F56508"/>
    <w:rsid w:val="00F565F9"/>
    <w:rsid w:val="00F56635"/>
    <w:rsid w:val="00F566BC"/>
    <w:rsid w:val="00F56729"/>
    <w:rsid w:val="00F5673D"/>
    <w:rsid w:val="00F5689C"/>
    <w:rsid w:val="00F56A02"/>
    <w:rsid w:val="00F56A5D"/>
    <w:rsid w:val="00F56C2A"/>
    <w:rsid w:val="00F56C52"/>
    <w:rsid w:val="00F56C57"/>
    <w:rsid w:val="00F56C59"/>
    <w:rsid w:val="00F56D45"/>
    <w:rsid w:val="00F56DD4"/>
    <w:rsid w:val="00F56E2D"/>
    <w:rsid w:val="00F56E45"/>
    <w:rsid w:val="00F56E67"/>
    <w:rsid w:val="00F56E95"/>
    <w:rsid w:val="00F56ED8"/>
    <w:rsid w:val="00F56EF8"/>
    <w:rsid w:val="00F5713C"/>
    <w:rsid w:val="00F57144"/>
    <w:rsid w:val="00F57232"/>
    <w:rsid w:val="00F57443"/>
    <w:rsid w:val="00F575C1"/>
    <w:rsid w:val="00F57625"/>
    <w:rsid w:val="00F57885"/>
    <w:rsid w:val="00F5799D"/>
    <w:rsid w:val="00F579E8"/>
    <w:rsid w:val="00F579FF"/>
    <w:rsid w:val="00F57A18"/>
    <w:rsid w:val="00F57B55"/>
    <w:rsid w:val="00F57F62"/>
    <w:rsid w:val="00F600B1"/>
    <w:rsid w:val="00F600B4"/>
    <w:rsid w:val="00F600D8"/>
    <w:rsid w:val="00F600E2"/>
    <w:rsid w:val="00F601A5"/>
    <w:rsid w:val="00F6039F"/>
    <w:rsid w:val="00F604D7"/>
    <w:rsid w:val="00F60566"/>
    <w:rsid w:val="00F606A2"/>
    <w:rsid w:val="00F60AB2"/>
    <w:rsid w:val="00F60BA0"/>
    <w:rsid w:val="00F60F6B"/>
    <w:rsid w:val="00F61024"/>
    <w:rsid w:val="00F610E2"/>
    <w:rsid w:val="00F61109"/>
    <w:rsid w:val="00F61122"/>
    <w:rsid w:val="00F613C8"/>
    <w:rsid w:val="00F614F2"/>
    <w:rsid w:val="00F6159E"/>
    <w:rsid w:val="00F617B3"/>
    <w:rsid w:val="00F618A1"/>
    <w:rsid w:val="00F6192E"/>
    <w:rsid w:val="00F61A3B"/>
    <w:rsid w:val="00F61AF7"/>
    <w:rsid w:val="00F61B02"/>
    <w:rsid w:val="00F61B44"/>
    <w:rsid w:val="00F61B6C"/>
    <w:rsid w:val="00F61B7D"/>
    <w:rsid w:val="00F61B81"/>
    <w:rsid w:val="00F61CEB"/>
    <w:rsid w:val="00F61CF9"/>
    <w:rsid w:val="00F61E6E"/>
    <w:rsid w:val="00F61EE3"/>
    <w:rsid w:val="00F62010"/>
    <w:rsid w:val="00F62030"/>
    <w:rsid w:val="00F620D6"/>
    <w:rsid w:val="00F6210E"/>
    <w:rsid w:val="00F62312"/>
    <w:rsid w:val="00F6252B"/>
    <w:rsid w:val="00F62591"/>
    <w:rsid w:val="00F62748"/>
    <w:rsid w:val="00F62756"/>
    <w:rsid w:val="00F6286A"/>
    <w:rsid w:val="00F62961"/>
    <w:rsid w:val="00F62A69"/>
    <w:rsid w:val="00F62BC4"/>
    <w:rsid w:val="00F62C0E"/>
    <w:rsid w:val="00F62D49"/>
    <w:rsid w:val="00F62F2F"/>
    <w:rsid w:val="00F632BE"/>
    <w:rsid w:val="00F632F9"/>
    <w:rsid w:val="00F6341E"/>
    <w:rsid w:val="00F63448"/>
    <w:rsid w:val="00F63550"/>
    <w:rsid w:val="00F63552"/>
    <w:rsid w:val="00F63586"/>
    <w:rsid w:val="00F635E5"/>
    <w:rsid w:val="00F636CC"/>
    <w:rsid w:val="00F6381B"/>
    <w:rsid w:val="00F639FD"/>
    <w:rsid w:val="00F63AB8"/>
    <w:rsid w:val="00F63B5C"/>
    <w:rsid w:val="00F63BEC"/>
    <w:rsid w:val="00F63C11"/>
    <w:rsid w:val="00F6409C"/>
    <w:rsid w:val="00F640DA"/>
    <w:rsid w:val="00F642A9"/>
    <w:rsid w:val="00F6435A"/>
    <w:rsid w:val="00F64567"/>
    <w:rsid w:val="00F647CA"/>
    <w:rsid w:val="00F64821"/>
    <w:rsid w:val="00F6490C"/>
    <w:rsid w:val="00F64B6F"/>
    <w:rsid w:val="00F64C48"/>
    <w:rsid w:val="00F650CE"/>
    <w:rsid w:val="00F650E0"/>
    <w:rsid w:val="00F652B1"/>
    <w:rsid w:val="00F652CE"/>
    <w:rsid w:val="00F65350"/>
    <w:rsid w:val="00F6561A"/>
    <w:rsid w:val="00F6567B"/>
    <w:rsid w:val="00F656DD"/>
    <w:rsid w:val="00F657CF"/>
    <w:rsid w:val="00F658BB"/>
    <w:rsid w:val="00F658F5"/>
    <w:rsid w:val="00F65911"/>
    <w:rsid w:val="00F659A0"/>
    <w:rsid w:val="00F65CC2"/>
    <w:rsid w:val="00F65E0B"/>
    <w:rsid w:val="00F65EEC"/>
    <w:rsid w:val="00F660A3"/>
    <w:rsid w:val="00F662EF"/>
    <w:rsid w:val="00F6651C"/>
    <w:rsid w:val="00F6669E"/>
    <w:rsid w:val="00F666C6"/>
    <w:rsid w:val="00F66705"/>
    <w:rsid w:val="00F66812"/>
    <w:rsid w:val="00F66842"/>
    <w:rsid w:val="00F669D8"/>
    <w:rsid w:val="00F66A38"/>
    <w:rsid w:val="00F66A39"/>
    <w:rsid w:val="00F66A66"/>
    <w:rsid w:val="00F66CCD"/>
    <w:rsid w:val="00F66CFB"/>
    <w:rsid w:val="00F66D08"/>
    <w:rsid w:val="00F67042"/>
    <w:rsid w:val="00F67105"/>
    <w:rsid w:val="00F67264"/>
    <w:rsid w:val="00F6730F"/>
    <w:rsid w:val="00F67424"/>
    <w:rsid w:val="00F674FC"/>
    <w:rsid w:val="00F67586"/>
    <w:rsid w:val="00F675D1"/>
    <w:rsid w:val="00F67711"/>
    <w:rsid w:val="00F6778F"/>
    <w:rsid w:val="00F6786A"/>
    <w:rsid w:val="00F67A16"/>
    <w:rsid w:val="00F67B76"/>
    <w:rsid w:val="00F67C09"/>
    <w:rsid w:val="00F67DFB"/>
    <w:rsid w:val="00F67E4B"/>
    <w:rsid w:val="00F67E6F"/>
    <w:rsid w:val="00F67F91"/>
    <w:rsid w:val="00F67FC3"/>
    <w:rsid w:val="00F700AB"/>
    <w:rsid w:val="00F701F0"/>
    <w:rsid w:val="00F703EA"/>
    <w:rsid w:val="00F704E9"/>
    <w:rsid w:val="00F704F4"/>
    <w:rsid w:val="00F7051F"/>
    <w:rsid w:val="00F70672"/>
    <w:rsid w:val="00F70806"/>
    <w:rsid w:val="00F70819"/>
    <w:rsid w:val="00F7088E"/>
    <w:rsid w:val="00F70893"/>
    <w:rsid w:val="00F70AA4"/>
    <w:rsid w:val="00F70D19"/>
    <w:rsid w:val="00F70DAA"/>
    <w:rsid w:val="00F70E06"/>
    <w:rsid w:val="00F70ECA"/>
    <w:rsid w:val="00F7103D"/>
    <w:rsid w:val="00F710AC"/>
    <w:rsid w:val="00F713A2"/>
    <w:rsid w:val="00F713BB"/>
    <w:rsid w:val="00F71615"/>
    <w:rsid w:val="00F718AE"/>
    <w:rsid w:val="00F718C5"/>
    <w:rsid w:val="00F71904"/>
    <w:rsid w:val="00F71CFF"/>
    <w:rsid w:val="00F71D0D"/>
    <w:rsid w:val="00F71D2C"/>
    <w:rsid w:val="00F71D9C"/>
    <w:rsid w:val="00F71FCD"/>
    <w:rsid w:val="00F720FB"/>
    <w:rsid w:val="00F72365"/>
    <w:rsid w:val="00F724BB"/>
    <w:rsid w:val="00F72517"/>
    <w:rsid w:val="00F7253C"/>
    <w:rsid w:val="00F7276F"/>
    <w:rsid w:val="00F727F3"/>
    <w:rsid w:val="00F72952"/>
    <w:rsid w:val="00F72A03"/>
    <w:rsid w:val="00F72AE3"/>
    <w:rsid w:val="00F72CA5"/>
    <w:rsid w:val="00F72CF6"/>
    <w:rsid w:val="00F72D10"/>
    <w:rsid w:val="00F72D49"/>
    <w:rsid w:val="00F730D2"/>
    <w:rsid w:val="00F7311E"/>
    <w:rsid w:val="00F73121"/>
    <w:rsid w:val="00F731BB"/>
    <w:rsid w:val="00F731F2"/>
    <w:rsid w:val="00F73207"/>
    <w:rsid w:val="00F73657"/>
    <w:rsid w:val="00F737A3"/>
    <w:rsid w:val="00F737D0"/>
    <w:rsid w:val="00F7387E"/>
    <w:rsid w:val="00F73898"/>
    <w:rsid w:val="00F73923"/>
    <w:rsid w:val="00F73B6A"/>
    <w:rsid w:val="00F73C4D"/>
    <w:rsid w:val="00F73DC6"/>
    <w:rsid w:val="00F73E2E"/>
    <w:rsid w:val="00F74186"/>
    <w:rsid w:val="00F7427C"/>
    <w:rsid w:val="00F7434B"/>
    <w:rsid w:val="00F74748"/>
    <w:rsid w:val="00F74761"/>
    <w:rsid w:val="00F74791"/>
    <w:rsid w:val="00F7479E"/>
    <w:rsid w:val="00F74898"/>
    <w:rsid w:val="00F749DA"/>
    <w:rsid w:val="00F74C49"/>
    <w:rsid w:val="00F74D08"/>
    <w:rsid w:val="00F74DB6"/>
    <w:rsid w:val="00F74DF2"/>
    <w:rsid w:val="00F74F4B"/>
    <w:rsid w:val="00F74F54"/>
    <w:rsid w:val="00F750A9"/>
    <w:rsid w:val="00F7511C"/>
    <w:rsid w:val="00F751DB"/>
    <w:rsid w:val="00F75208"/>
    <w:rsid w:val="00F752DC"/>
    <w:rsid w:val="00F75314"/>
    <w:rsid w:val="00F75376"/>
    <w:rsid w:val="00F75532"/>
    <w:rsid w:val="00F755C2"/>
    <w:rsid w:val="00F75626"/>
    <w:rsid w:val="00F75796"/>
    <w:rsid w:val="00F75847"/>
    <w:rsid w:val="00F758E9"/>
    <w:rsid w:val="00F758FF"/>
    <w:rsid w:val="00F75956"/>
    <w:rsid w:val="00F75A4D"/>
    <w:rsid w:val="00F75B97"/>
    <w:rsid w:val="00F75BAF"/>
    <w:rsid w:val="00F76010"/>
    <w:rsid w:val="00F76130"/>
    <w:rsid w:val="00F7618B"/>
    <w:rsid w:val="00F762B4"/>
    <w:rsid w:val="00F762BC"/>
    <w:rsid w:val="00F76346"/>
    <w:rsid w:val="00F7638A"/>
    <w:rsid w:val="00F763DA"/>
    <w:rsid w:val="00F76409"/>
    <w:rsid w:val="00F7642B"/>
    <w:rsid w:val="00F76504"/>
    <w:rsid w:val="00F76588"/>
    <w:rsid w:val="00F765CE"/>
    <w:rsid w:val="00F76752"/>
    <w:rsid w:val="00F7678C"/>
    <w:rsid w:val="00F767F4"/>
    <w:rsid w:val="00F7689B"/>
    <w:rsid w:val="00F768B9"/>
    <w:rsid w:val="00F7693D"/>
    <w:rsid w:val="00F76985"/>
    <w:rsid w:val="00F76A34"/>
    <w:rsid w:val="00F76B07"/>
    <w:rsid w:val="00F76B36"/>
    <w:rsid w:val="00F76BB3"/>
    <w:rsid w:val="00F76C46"/>
    <w:rsid w:val="00F76E6D"/>
    <w:rsid w:val="00F76EB6"/>
    <w:rsid w:val="00F76EDF"/>
    <w:rsid w:val="00F77159"/>
    <w:rsid w:val="00F771EC"/>
    <w:rsid w:val="00F77360"/>
    <w:rsid w:val="00F774BC"/>
    <w:rsid w:val="00F774BE"/>
    <w:rsid w:val="00F77505"/>
    <w:rsid w:val="00F77584"/>
    <w:rsid w:val="00F776C0"/>
    <w:rsid w:val="00F77795"/>
    <w:rsid w:val="00F777E0"/>
    <w:rsid w:val="00F777FA"/>
    <w:rsid w:val="00F7788A"/>
    <w:rsid w:val="00F77B97"/>
    <w:rsid w:val="00F77E1F"/>
    <w:rsid w:val="00F77E74"/>
    <w:rsid w:val="00F77E85"/>
    <w:rsid w:val="00F77F13"/>
    <w:rsid w:val="00F77F69"/>
    <w:rsid w:val="00F77F89"/>
    <w:rsid w:val="00F800D5"/>
    <w:rsid w:val="00F802D1"/>
    <w:rsid w:val="00F80439"/>
    <w:rsid w:val="00F80481"/>
    <w:rsid w:val="00F805A3"/>
    <w:rsid w:val="00F8064B"/>
    <w:rsid w:val="00F8067B"/>
    <w:rsid w:val="00F80691"/>
    <w:rsid w:val="00F806DA"/>
    <w:rsid w:val="00F807BC"/>
    <w:rsid w:val="00F80902"/>
    <w:rsid w:val="00F80AD2"/>
    <w:rsid w:val="00F80B6B"/>
    <w:rsid w:val="00F80BC9"/>
    <w:rsid w:val="00F80C05"/>
    <w:rsid w:val="00F80CCE"/>
    <w:rsid w:val="00F80D6F"/>
    <w:rsid w:val="00F80EBD"/>
    <w:rsid w:val="00F80EEC"/>
    <w:rsid w:val="00F80FAC"/>
    <w:rsid w:val="00F80FD7"/>
    <w:rsid w:val="00F81025"/>
    <w:rsid w:val="00F810E0"/>
    <w:rsid w:val="00F8156E"/>
    <w:rsid w:val="00F81591"/>
    <w:rsid w:val="00F81960"/>
    <w:rsid w:val="00F81B0B"/>
    <w:rsid w:val="00F81B8C"/>
    <w:rsid w:val="00F81D98"/>
    <w:rsid w:val="00F81EE0"/>
    <w:rsid w:val="00F82148"/>
    <w:rsid w:val="00F82154"/>
    <w:rsid w:val="00F8216A"/>
    <w:rsid w:val="00F8229E"/>
    <w:rsid w:val="00F822D4"/>
    <w:rsid w:val="00F822E7"/>
    <w:rsid w:val="00F8230A"/>
    <w:rsid w:val="00F82373"/>
    <w:rsid w:val="00F82405"/>
    <w:rsid w:val="00F82434"/>
    <w:rsid w:val="00F8244A"/>
    <w:rsid w:val="00F82642"/>
    <w:rsid w:val="00F8268F"/>
    <w:rsid w:val="00F827BD"/>
    <w:rsid w:val="00F82845"/>
    <w:rsid w:val="00F8287C"/>
    <w:rsid w:val="00F8298E"/>
    <w:rsid w:val="00F82A2D"/>
    <w:rsid w:val="00F82A71"/>
    <w:rsid w:val="00F82B1C"/>
    <w:rsid w:val="00F82B3F"/>
    <w:rsid w:val="00F82B66"/>
    <w:rsid w:val="00F82C4E"/>
    <w:rsid w:val="00F82E42"/>
    <w:rsid w:val="00F83067"/>
    <w:rsid w:val="00F83175"/>
    <w:rsid w:val="00F831B8"/>
    <w:rsid w:val="00F831F7"/>
    <w:rsid w:val="00F832BA"/>
    <w:rsid w:val="00F832CC"/>
    <w:rsid w:val="00F833FA"/>
    <w:rsid w:val="00F83421"/>
    <w:rsid w:val="00F834B9"/>
    <w:rsid w:val="00F83642"/>
    <w:rsid w:val="00F836DA"/>
    <w:rsid w:val="00F83831"/>
    <w:rsid w:val="00F8385A"/>
    <w:rsid w:val="00F838D4"/>
    <w:rsid w:val="00F838D9"/>
    <w:rsid w:val="00F83941"/>
    <w:rsid w:val="00F83A78"/>
    <w:rsid w:val="00F83AE6"/>
    <w:rsid w:val="00F83BAB"/>
    <w:rsid w:val="00F83D04"/>
    <w:rsid w:val="00F84073"/>
    <w:rsid w:val="00F841AA"/>
    <w:rsid w:val="00F84212"/>
    <w:rsid w:val="00F84217"/>
    <w:rsid w:val="00F84238"/>
    <w:rsid w:val="00F8426A"/>
    <w:rsid w:val="00F8428F"/>
    <w:rsid w:val="00F8434D"/>
    <w:rsid w:val="00F843E8"/>
    <w:rsid w:val="00F844FF"/>
    <w:rsid w:val="00F8458A"/>
    <w:rsid w:val="00F84757"/>
    <w:rsid w:val="00F8485E"/>
    <w:rsid w:val="00F849B9"/>
    <w:rsid w:val="00F849C1"/>
    <w:rsid w:val="00F84B33"/>
    <w:rsid w:val="00F84BCF"/>
    <w:rsid w:val="00F84C2E"/>
    <w:rsid w:val="00F84C34"/>
    <w:rsid w:val="00F84DF3"/>
    <w:rsid w:val="00F84EF2"/>
    <w:rsid w:val="00F85074"/>
    <w:rsid w:val="00F850F9"/>
    <w:rsid w:val="00F85200"/>
    <w:rsid w:val="00F852CB"/>
    <w:rsid w:val="00F85323"/>
    <w:rsid w:val="00F85405"/>
    <w:rsid w:val="00F85420"/>
    <w:rsid w:val="00F855B5"/>
    <w:rsid w:val="00F855D7"/>
    <w:rsid w:val="00F856EA"/>
    <w:rsid w:val="00F858DB"/>
    <w:rsid w:val="00F85918"/>
    <w:rsid w:val="00F85935"/>
    <w:rsid w:val="00F85949"/>
    <w:rsid w:val="00F85A21"/>
    <w:rsid w:val="00F85AF9"/>
    <w:rsid w:val="00F85B36"/>
    <w:rsid w:val="00F85BCC"/>
    <w:rsid w:val="00F85D19"/>
    <w:rsid w:val="00F85D5D"/>
    <w:rsid w:val="00F85DCB"/>
    <w:rsid w:val="00F85E5D"/>
    <w:rsid w:val="00F85E76"/>
    <w:rsid w:val="00F85E7B"/>
    <w:rsid w:val="00F85F1D"/>
    <w:rsid w:val="00F8604A"/>
    <w:rsid w:val="00F86070"/>
    <w:rsid w:val="00F86110"/>
    <w:rsid w:val="00F86188"/>
    <w:rsid w:val="00F861D7"/>
    <w:rsid w:val="00F861FA"/>
    <w:rsid w:val="00F86502"/>
    <w:rsid w:val="00F865CE"/>
    <w:rsid w:val="00F865DF"/>
    <w:rsid w:val="00F86656"/>
    <w:rsid w:val="00F8667D"/>
    <w:rsid w:val="00F866C4"/>
    <w:rsid w:val="00F86808"/>
    <w:rsid w:val="00F86A65"/>
    <w:rsid w:val="00F86AC3"/>
    <w:rsid w:val="00F86B01"/>
    <w:rsid w:val="00F86E25"/>
    <w:rsid w:val="00F86E89"/>
    <w:rsid w:val="00F86F2B"/>
    <w:rsid w:val="00F86F42"/>
    <w:rsid w:val="00F86F90"/>
    <w:rsid w:val="00F87218"/>
    <w:rsid w:val="00F8725D"/>
    <w:rsid w:val="00F8739C"/>
    <w:rsid w:val="00F87671"/>
    <w:rsid w:val="00F8778B"/>
    <w:rsid w:val="00F878A3"/>
    <w:rsid w:val="00F87AE6"/>
    <w:rsid w:val="00F87D06"/>
    <w:rsid w:val="00F87D63"/>
    <w:rsid w:val="00F87E23"/>
    <w:rsid w:val="00F87E43"/>
    <w:rsid w:val="00F87EB7"/>
    <w:rsid w:val="00F87F52"/>
    <w:rsid w:val="00F90036"/>
    <w:rsid w:val="00F9042B"/>
    <w:rsid w:val="00F90462"/>
    <w:rsid w:val="00F90479"/>
    <w:rsid w:val="00F90592"/>
    <w:rsid w:val="00F9072E"/>
    <w:rsid w:val="00F909C7"/>
    <w:rsid w:val="00F90A4B"/>
    <w:rsid w:val="00F90ACB"/>
    <w:rsid w:val="00F90D67"/>
    <w:rsid w:val="00F91126"/>
    <w:rsid w:val="00F91145"/>
    <w:rsid w:val="00F911B3"/>
    <w:rsid w:val="00F9125D"/>
    <w:rsid w:val="00F9126C"/>
    <w:rsid w:val="00F91418"/>
    <w:rsid w:val="00F91560"/>
    <w:rsid w:val="00F917B0"/>
    <w:rsid w:val="00F917E3"/>
    <w:rsid w:val="00F917EC"/>
    <w:rsid w:val="00F91809"/>
    <w:rsid w:val="00F9185C"/>
    <w:rsid w:val="00F9191C"/>
    <w:rsid w:val="00F91997"/>
    <w:rsid w:val="00F919FC"/>
    <w:rsid w:val="00F91B1D"/>
    <w:rsid w:val="00F91C87"/>
    <w:rsid w:val="00F91F6F"/>
    <w:rsid w:val="00F91FD3"/>
    <w:rsid w:val="00F92062"/>
    <w:rsid w:val="00F920DE"/>
    <w:rsid w:val="00F92301"/>
    <w:rsid w:val="00F92336"/>
    <w:rsid w:val="00F92368"/>
    <w:rsid w:val="00F9257F"/>
    <w:rsid w:val="00F92662"/>
    <w:rsid w:val="00F926A8"/>
    <w:rsid w:val="00F92827"/>
    <w:rsid w:val="00F9283F"/>
    <w:rsid w:val="00F9287F"/>
    <w:rsid w:val="00F92922"/>
    <w:rsid w:val="00F929E8"/>
    <w:rsid w:val="00F92AD6"/>
    <w:rsid w:val="00F92B0A"/>
    <w:rsid w:val="00F92BDD"/>
    <w:rsid w:val="00F92C16"/>
    <w:rsid w:val="00F92C24"/>
    <w:rsid w:val="00F92C63"/>
    <w:rsid w:val="00F92C6C"/>
    <w:rsid w:val="00F92E34"/>
    <w:rsid w:val="00F92F11"/>
    <w:rsid w:val="00F93047"/>
    <w:rsid w:val="00F93072"/>
    <w:rsid w:val="00F930B4"/>
    <w:rsid w:val="00F93107"/>
    <w:rsid w:val="00F932C6"/>
    <w:rsid w:val="00F936B3"/>
    <w:rsid w:val="00F937BD"/>
    <w:rsid w:val="00F9386C"/>
    <w:rsid w:val="00F9395F"/>
    <w:rsid w:val="00F93AA8"/>
    <w:rsid w:val="00F93CEC"/>
    <w:rsid w:val="00F93EF7"/>
    <w:rsid w:val="00F93FEF"/>
    <w:rsid w:val="00F94034"/>
    <w:rsid w:val="00F94262"/>
    <w:rsid w:val="00F943AF"/>
    <w:rsid w:val="00F94470"/>
    <w:rsid w:val="00F94495"/>
    <w:rsid w:val="00F944BB"/>
    <w:rsid w:val="00F945D0"/>
    <w:rsid w:val="00F945ED"/>
    <w:rsid w:val="00F94A61"/>
    <w:rsid w:val="00F94B6C"/>
    <w:rsid w:val="00F94BA5"/>
    <w:rsid w:val="00F94C09"/>
    <w:rsid w:val="00F94C4A"/>
    <w:rsid w:val="00F94C7D"/>
    <w:rsid w:val="00F94CCA"/>
    <w:rsid w:val="00F951B4"/>
    <w:rsid w:val="00F951BC"/>
    <w:rsid w:val="00F9530A"/>
    <w:rsid w:val="00F95336"/>
    <w:rsid w:val="00F954A8"/>
    <w:rsid w:val="00F954B1"/>
    <w:rsid w:val="00F954CB"/>
    <w:rsid w:val="00F95537"/>
    <w:rsid w:val="00F95606"/>
    <w:rsid w:val="00F957AC"/>
    <w:rsid w:val="00F95820"/>
    <w:rsid w:val="00F9584C"/>
    <w:rsid w:val="00F95AA8"/>
    <w:rsid w:val="00F95AC8"/>
    <w:rsid w:val="00F95C1C"/>
    <w:rsid w:val="00F95DD5"/>
    <w:rsid w:val="00F95E62"/>
    <w:rsid w:val="00F95F50"/>
    <w:rsid w:val="00F9600B"/>
    <w:rsid w:val="00F96061"/>
    <w:rsid w:val="00F960E8"/>
    <w:rsid w:val="00F9617A"/>
    <w:rsid w:val="00F96379"/>
    <w:rsid w:val="00F963E5"/>
    <w:rsid w:val="00F9667C"/>
    <w:rsid w:val="00F96796"/>
    <w:rsid w:val="00F96882"/>
    <w:rsid w:val="00F96923"/>
    <w:rsid w:val="00F96A60"/>
    <w:rsid w:val="00F96B8B"/>
    <w:rsid w:val="00F96BE5"/>
    <w:rsid w:val="00F96CA4"/>
    <w:rsid w:val="00F96D97"/>
    <w:rsid w:val="00F96E4B"/>
    <w:rsid w:val="00F96F31"/>
    <w:rsid w:val="00F97086"/>
    <w:rsid w:val="00F970A7"/>
    <w:rsid w:val="00F970B4"/>
    <w:rsid w:val="00F971C2"/>
    <w:rsid w:val="00F971D5"/>
    <w:rsid w:val="00F9732B"/>
    <w:rsid w:val="00F97337"/>
    <w:rsid w:val="00F97382"/>
    <w:rsid w:val="00F973CE"/>
    <w:rsid w:val="00F97908"/>
    <w:rsid w:val="00F97A24"/>
    <w:rsid w:val="00F97A56"/>
    <w:rsid w:val="00F97AEC"/>
    <w:rsid w:val="00F97B06"/>
    <w:rsid w:val="00F97B3A"/>
    <w:rsid w:val="00F97B74"/>
    <w:rsid w:val="00F97C9F"/>
    <w:rsid w:val="00F97D5F"/>
    <w:rsid w:val="00F97FAD"/>
    <w:rsid w:val="00FA0250"/>
    <w:rsid w:val="00FA025D"/>
    <w:rsid w:val="00FA032C"/>
    <w:rsid w:val="00FA03A0"/>
    <w:rsid w:val="00FA0420"/>
    <w:rsid w:val="00FA06C1"/>
    <w:rsid w:val="00FA078A"/>
    <w:rsid w:val="00FA08B0"/>
    <w:rsid w:val="00FA08BD"/>
    <w:rsid w:val="00FA0956"/>
    <w:rsid w:val="00FA0962"/>
    <w:rsid w:val="00FA0989"/>
    <w:rsid w:val="00FA0A18"/>
    <w:rsid w:val="00FA0A3F"/>
    <w:rsid w:val="00FA0B91"/>
    <w:rsid w:val="00FA0C9D"/>
    <w:rsid w:val="00FA0F15"/>
    <w:rsid w:val="00FA1052"/>
    <w:rsid w:val="00FA10AF"/>
    <w:rsid w:val="00FA1216"/>
    <w:rsid w:val="00FA1228"/>
    <w:rsid w:val="00FA1234"/>
    <w:rsid w:val="00FA1433"/>
    <w:rsid w:val="00FA1664"/>
    <w:rsid w:val="00FA169F"/>
    <w:rsid w:val="00FA17C8"/>
    <w:rsid w:val="00FA1A52"/>
    <w:rsid w:val="00FA20D0"/>
    <w:rsid w:val="00FA21CC"/>
    <w:rsid w:val="00FA21F7"/>
    <w:rsid w:val="00FA22DE"/>
    <w:rsid w:val="00FA2363"/>
    <w:rsid w:val="00FA23C6"/>
    <w:rsid w:val="00FA2454"/>
    <w:rsid w:val="00FA2466"/>
    <w:rsid w:val="00FA2529"/>
    <w:rsid w:val="00FA2546"/>
    <w:rsid w:val="00FA2640"/>
    <w:rsid w:val="00FA2670"/>
    <w:rsid w:val="00FA29AC"/>
    <w:rsid w:val="00FA2A4D"/>
    <w:rsid w:val="00FA2ABA"/>
    <w:rsid w:val="00FA2AD7"/>
    <w:rsid w:val="00FA2AF0"/>
    <w:rsid w:val="00FA2AF5"/>
    <w:rsid w:val="00FA2B90"/>
    <w:rsid w:val="00FA2C21"/>
    <w:rsid w:val="00FA2FE1"/>
    <w:rsid w:val="00FA3352"/>
    <w:rsid w:val="00FA341C"/>
    <w:rsid w:val="00FA3505"/>
    <w:rsid w:val="00FA35CE"/>
    <w:rsid w:val="00FA3634"/>
    <w:rsid w:val="00FA3787"/>
    <w:rsid w:val="00FA37AF"/>
    <w:rsid w:val="00FA38E8"/>
    <w:rsid w:val="00FA3B54"/>
    <w:rsid w:val="00FA3BAD"/>
    <w:rsid w:val="00FA3C40"/>
    <w:rsid w:val="00FA3DC7"/>
    <w:rsid w:val="00FA3E47"/>
    <w:rsid w:val="00FA3FF5"/>
    <w:rsid w:val="00FA4085"/>
    <w:rsid w:val="00FA4193"/>
    <w:rsid w:val="00FA4195"/>
    <w:rsid w:val="00FA41FE"/>
    <w:rsid w:val="00FA4284"/>
    <w:rsid w:val="00FA4475"/>
    <w:rsid w:val="00FA450C"/>
    <w:rsid w:val="00FA45E8"/>
    <w:rsid w:val="00FA46DC"/>
    <w:rsid w:val="00FA4704"/>
    <w:rsid w:val="00FA4753"/>
    <w:rsid w:val="00FA4796"/>
    <w:rsid w:val="00FA47D2"/>
    <w:rsid w:val="00FA4815"/>
    <w:rsid w:val="00FA4932"/>
    <w:rsid w:val="00FA4971"/>
    <w:rsid w:val="00FA49BF"/>
    <w:rsid w:val="00FA49D0"/>
    <w:rsid w:val="00FA49F8"/>
    <w:rsid w:val="00FA4A9B"/>
    <w:rsid w:val="00FA4DCD"/>
    <w:rsid w:val="00FA4E4A"/>
    <w:rsid w:val="00FA4E7C"/>
    <w:rsid w:val="00FA4E9E"/>
    <w:rsid w:val="00FA4EED"/>
    <w:rsid w:val="00FA509E"/>
    <w:rsid w:val="00FA5155"/>
    <w:rsid w:val="00FA518A"/>
    <w:rsid w:val="00FA51DC"/>
    <w:rsid w:val="00FA5304"/>
    <w:rsid w:val="00FA5390"/>
    <w:rsid w:val="00FA5434"/>
    <w:rsid w:val="00FA547E"/>
    <w:rsid w:val="00FA55BD"/>
    <w:rsid w:val="00FA57C7"/>
    <w:rsid w:val="00FA57DB"/>
    <w:rsid w:val="00FA5822"/>
    <w:rsid w:val="00FA58B8"/>
    <w:rsid w:val="00FA5B07"/>
    <w:rsid w:val="00FA5C9F"/>
    <w:rsid w:val="00FA5CF3"/>
    <w:rsid w:val="00FA5D31"/>
    <w:rsid w:val="00FA5D81"/>
    <w:rsid w:val="00FA5DBA"/>
    <w:rsid w:val="00FA5DE7"/>
    <w:rsid w:val="00FA5E14"/>
    <w:rsid w:val="00FA5F48"/>
    <w:rsid w:val="00FA617C"/>
    <w:rsid w:val="00FA6210"/>
    <w:rsid w:val="00FA62B9"/>
    <w:rsid w:val="00FA62BA"/>
    <w:rsid w:val="00FA6362"/>
    <w:rsid w:val="00FA6465"/>
    <w:rsid w:val="00FA6472"/>
    <w:rsid w:val="00FA6548"/>
    <w:rsid w:val="00FA65C0"/>
    <w:rsid w:val="00FA65E4"/>
    <w:rsid w:val="00FA67B4"/>
    <w:rsid w:val="00FA6837"/>
    <w:rsid w:val="00FA69DA"/>
    <w:rsid w:val="00FA6C86"/>
    <w:rsid w:val="00FA6C8B"/>
    <w:rsid w:val="00FA6CE5"/>
    <w:rsid w:val="00FA6D3D"/>
    <w:rsid w:val="00FA6EF7"/>
    <w:rsid w:val="00FA6F4F"/>
    <w:rsid w:val="00FA6F8F"/>
    <w:rsid w:val="00FA6FD0"/>
    <w:rsid w:val="00FA7117"/>
    <w:rsid w:val="00FA71EE"/>
    <w:rsid w:val="00FA7231"/>
    <w:rsid w:val="00FA730F"/>
    <w:rsid w:val="00FA748B"/>
    <w:rsid w:val="00FA7497"/>
    <w:rsid w:val="00FA75A4"/>
    <w:rsid w:val="00FA78E6"/>
    <w:rsid w:val="00FA7A9B"/>
    <w:rsid w:val="00FA7C00"/>
    <w:rsid w:val="00FA7CD8"/>
    <w:rsid w:val="00FA7D1A"/>
    <w:rsid w:val="00FA7E5C"/>
    <w:rsid w:val="00FA7F61"/>
    <w:rsid w:val="00FA7FD2"/>
    <w:rsid w:val="00FB01A1"/>
    <w:rsid w:val="00FB0211"/>
    <w:rsid w:val="00FB02D5"/>
    <w:rsid w:val="00FB0309"/>
    <w:rsid w:val="00FB0346"/>
    <w:rsid w:val="00FB03BF"/>
    <w:rsid w:val="00FB03C8"/>
    <w:rsid w:val="00FB0409"/>
    <w:rsid w:val="00FB0437"/>
    <w:rsid w:val="00FB0554"/>
    <w:rsid w:val="00FB065E"/>
    <w:rsid w:val="00FB0755"/>
    <w:rsid w:val="00FB08B9"/>
    <w:rsid w:val="00FB08D3"/>
    <w:rsid w:val="00FB098D"/>
    <w:rsid w:val="00FB09E0"/>
    <w:rsid w:val="00FB0AAD"/>
    <w:rsid w:val="00FB0AF2"/>
    <w:rsid w:val="00FB0B17"/>
    <w:rsid w:val="00FB0BEE"/>
    <w:rsid w:val="00FB0C23"/>
    <w:rsid w:val="00FB0EDF"/>
    <w:rsid w:val="00FB0F2B"/>
    <w:rsid w:val="00FB0F3F"/>
    <w:rsid w:val="00FB0F6E"/>
    <w:rsid w:val="00FB119F"/>
    <w:rsid w:val="00FB1293"/>
    <w:rsid w:val="00FB12CE"/>
    <w:rsid w:val="00FB135E"/>
    <w:rsid w:val="00FB141C"/>
    <w:rsid w:val="00FB1633"/>
    <w:rsid w:val="00FB169E"/>
    <w:rsid w:val="00FB1904"/>
    <w:rsid w:val="00FB1A8A"/>
    <w:rsid w:val="00FB1AAF"/>
    <w:rsid w:val="00FB1AE5"/>
    <w:rsid w:val="00FB1BC0"/>
    <w:rsid w:val="00FB1E26"/>
    <w:rsid w:val="00FB20E1"/>
    <w:rsid w:val="00FB2186"/>
    <w:rsid w:val="00FB21CE"/>
    <w:rsid w:val="00FB21D3"/>
    <w:rsid w:val="00FB2221"/>
    <w:rsid w:val="00FB24CD"/>
    <w:rsid w:val="00FB2679"/>
    <w:rsid w:val="00FB2691"/>
    <w:rsid w:val="00FB2745"/>
    <w:rsid w:val="00FB2933"/>
    <w:rsid w:val="00FB2A8A"/>
    <w:rsid w:val="00FB2BC2"/>
    <w:rsid w:val="00FB2C60"/>
    <w:rsid w:val="00FB2C83"/>
    <w:rsid w:val="00FB2DCB"/>
    <w:rsid w:val="00FB2EA1"/>
    <w:rsid w:val="00FB3036"/>
    <w:rsid w:val="00FB308C"/>
    <w:rsid w:val="00FB3090"/>
    <w:rsid w:val="00FB3093"/>
    <w:rsid w:val="00FB31C4"/>
    <w:rsid w:val="00FB31EC"/>
    <w:rsid w:val="00FB32F2"/>
    <w:rsid w:val="00FB3504"/>
    <w:rsid w:val="00FB3560"/>
    <w:rsid w:val="00FB3572"/>
    <w:rsid w:val="00FB36A6"/>
    <w:rsid w:val="00FB378F"/>
    <w:rsid w:val="00FB3809"/>
    <w:rsid w:val="00FB3851"/>
    <w:rsid w:val="00FB385E"/>
    <w:rsid w:val="00FB3995"/>
    <w:rsid w:val="00FB39FF"/>
    <w:rsid w:val="00FB3A7C"/>
    <w:rsid w:val="00FB3C56"/>
    <w:rsid w:val="00FB3DC7"/>
    <w:rsid w:val="00FB3DD6"/>
    <w:rsid w:val="00FB3E60"/>
    <w:rsid w:val="00FB3F79"/>
    <w:rsid w:val="00FB40F4"/>
    <w:rsid w:val="00FB4186"/>
    <w:rsid w:val="00FB41A4"/>
    <w:rsid w:val="00FB41A5"/>
    <w:rsid w:val="00FB42C9"/>
    <w:rsid w:val="00FB4365"/>
    <w:rsid w:val="00FB440C"/>
    <w:rsid w:val="00FB447B"/>
    <w:rsid w:val="00FB4555"/>
    <w:rsid w:val="00FB4600"/>
    <w:rsid w:val="00FB46EF"/>
    <w:rsid w:val="00FB4714"/>
    <w:rsid w:val="00FB47DF"/>
    <w:rsid w:val="00FB4838"/>
    <w:rsid w:val="00FB488A"/>
    <w:rsid w:val="00FB48F7"/>
    <w:rsid w:val="00FB4920"/>
    <w:rsid w:val="00FB4A10"/>
    <w:rsid w:val="00FB4AFE"/>
    <w:rsid w:val="00FB4B12"/>
    <w:rsid w:val="00FB512D"/>
    <w:rsid w:val="00FB5135"/>
    <w:rsid w:val="00FB5630"/>
    <w:rsid w:val="00FB5662"/>
    <w:rsid w:val="00FB5701"/>
    <w:rsid w:val="00FB58BD"/>
    <w:rsid w:val="00FB5A24"/>
    <w:rsid w:val="00FB5AC9"/>
    <w:rsid w:val="00FB5AE7"/>
    <w:rsid w:val="00FB5C00"/>
    <w:rsid w:val="00FB5DC6"/>
    <w:rsid w:val="00FB5FFE"/>
    <w:rsid w:val="00FB6119"/>
    <w:rsid w:val="00FB6250"/>
    <w:rsid w:val="00FB6307"/>
    <w:rsid w:val="00FB6329"/>
    <w:rsid w:val="00FB676E"/>
    <w:rsid w:val="00FB6BA7"/>
    <w:rsid w:val="00FB6C50"/>
    <w:rsid w:val="00FB6D2F"/>
    <w:rsid w:val="00FB6E07"/>
    <w:rsid w:val="00FB6F4E"/>
    <w:rsid w:val="00FB6FB4"/>
    <w:rsid w:val="00FB700A"/>
    <w:rsid w:val="00FB7039"/>
    <w:rsid w:val="00FB70BE"/>
    <w:rsid w:val="00FB713C"/>
    <w:rsid w:val="00FB71C9"/>
    <w:rsid w:val="00FB71FC"/>
    <w:rsid w:val="00FB721C"/>
    <w:rsid w:val="00FB734C"/>
    <w:rsid w:val="00FB736C"/>
    <w:rsid w:val="00FB7401"/>
    <w:rsid w:val="00FB7450"/>
    <w:rsid w:val="00FB7459"/>
    <w:rsid w:val="00FB745C"/>
    <w:rsid w:val="00FB763E"/>
    <w:rsid w:val="00FB783A"/>
    <w:rsid w:val="00FB7986"/>
    <w:rsid w:val="00FB7AF5"/>
    <w:rsid w:val="00FB7B72"/>
    <w:rsid w:val="00FB7BDF"/>
    <w:rsid w:val="00FB7DFA"/>
    <w:rsid w:val="00FB7E7A"/>
    <w:rsid w:val="00FB7EA6"/>
    <w:rsid w:val="00FC00C7"/>
    <w:rsid w:val="00FC00EB"/>
    <w:rsid w:val="00FC0122"/>
    <w:rsid w:val="00FC022D"/>
    <w:rsid w:val="00FC05A7"/>
    <w:rsid w:val="00FC062B"/>
    <w:rsid w:val="00FC06B1"/>
    <w:rsid w:val="00FC06CB"/>
    <w:rsid w:val="00FC076B"/>
    <w:rsid w:val="00FC091E"/>
    <w:rsid w:val="00FC094D"/>
    <w:rsid w:val="00FC0995"/>
    <w:rsid w:val="00FC09F7"/>
    <w:rsid w:val="00FC0A3F"/>
    <w:rsid w:val="00FC0A51"/>
    <w:rsid w:val="00FC0B42"/>
    <w:rsid w:val="00FC0C0D"/>
    <w:rsid w:val="00FC0CB2"/>
    <w:rsid w:val="00FC0CC5"/>
    <w:rsid w:val="00FC0D83"/>
    <w:rsid w:val="00FC0E31"/>
    <w:rsid w:val="00FC0E4E"/>
    <w:rsid w:val="00FC0E55"/>
    <w:rsid w:val="00FC107D"/>
    <w:rsid w:val="00FC11C8"/>
    <w:rsid w:val="00FC11CE"/>
    <w:rsid w:val="00FC120E"/>
    <w:rsid w:val="00FC12CC"/>
    <w:rsid w:val="00FC12F0"/>
    <w:rsid w:val="00FC141E"/>
    <w:rsid w:val="00FC14A5"/>
    <w:rsid w:val="00FC168E"/>
    <w:rsid w:val="00FC16C5"/>
    <w:rsid w:val="00FC1B0E"/>
    <w:rsid w:val="00FC1B9B"/>
    <w:rsid w:val="00FC1DA8"/>
    <w:rsid w:val="00FC1E01"/>
    <w:rsid w:val="00FC1F9D"/>
    <w:rsid w:val="00FC1FDF"/>
    <w:rsid w:val="00FC2085"/>
    <w:rsid w:val="00FC209B"/>
    <w:rsid w:val="00FC231D"/>
    <w:rsid w:val="00FC2341"/>
    <w:rsid w:val="00FC2445"/>
    <w:rsid w:val="00FC252F"/>
    <w:rsid w:val="00FC25E9"/>
    <w:rsid w:val="00FC266C"/>
    <w:rsid w:val="00FC268D"/>
    <w:rsid w:val="00FC2914"/>
    <w:rsid w:val="00FC2AB0"/>
    <w:rsid w:val="00FC2BDD"/>
    <w:rsid w:val="00FC2C30"/>
    <w:rsid w:val="00FC2C80"/>
    <w:rsid w:val="00FC2D32"/>
    <w:rsid w:val="00FC2D8E"/>
    <w:rsid w:val="00FC2DD5"/>
    <w:rsid w:val="00FC2E8D"/>
    <w:rsid w:val="00FC2F77"/>
    <w:rsid w:val="00FC2FFD"/>
    <w:rsid w:val="00FC317D"/>
    <w:rsid w:val="00FC33B3"/>
    <w:rsid w:val="00FC3475"/>
    <w:rsid w:val="00FC3884"/>
    <w:rsid w:val="00FC38D5"/>
    <w:rsid w:val="00FC38EA"/>
    <w:rsid w:val="00FC397D"/>
    <w:rsid w:val="00FC3AC7"/>
    <w:rsid w:val="00FC3BD2"/>
    <w:rsid w:val="00FC3C37"/>
    <w:rsid w:val="00FC3C84"/>
    <w:rsid w:val="00FC3C86"/>
    <w:rsid w:val="00FC3ED9"/>
    <w:rsid w:val="00FC404C"/>
    <w:rsid w:val="00FC4057"/>
    <w:rsid w:val="00FC41BE"/>
    <w:rsid w:val="00FC41E6"/>
    <w:rsid w:val="00FC439C"/>
    <w:rsid w:val="00FC43E6"/>
    <w:rsid w:val="00FC45F1"/>
    <w:rsid w:val="00FC4603"/>
    <w:rsid w:val="00FC463E"/>
    <w:rsid w:val="00FC4768"/>
    <w:rsid w:val="00FC49A9"/>
    <w:rsid w:val="00FC49CE"/>
    <w:rsid w:val="00FC4B83"/>
    <w:rsid w:val="00FC4BB8"/>
    <w:rsid w:val="00FC4ED7"/>
    <w:rsid w:val="00FC4FFF"/>
    <w:rsid w:val="00FC502C"/>
    <w:rsid w:val="00FC507E"/>
    <w:rsid w:val="00FC5125"/>
    <w:rsid w:val="00FC527F"/>
    <w:rsid w:val="00FC5596"/>
    <w:rsid w:val="00FC5759"/>
    <w:rsid w:val="00FC5891"/>
    <w:rsid w:val="00FC5A07"/>
    <w:rsid w:val="00FC5BF6"/>
    <w:rsid w:val="00FC5CFB"/>
    <w:rsid w:val="00FC5D4C"/>
    <w:rsid w:val="00FC5EA2"/>
    <w:rsid w:val="00FC60B4"/>
    <w:rsid w:val="00FC6157"/>
    <w:rsid w:val="00FC619C"/>
    <w:rsid w:val="00FC62F8"/>
    <w:rsid w:val="00FC638C"/>
    <w:rsid w:val="00FC63EB"/>
    <w:rsid w:val="00FC6409"/>
    <w:rsid w:val="00FC6476"/>
    <w:rsid w:val="00FC65F4"/>
    <w:rsid w:val="00FC661D"/>
    <w:rsid w:val="00FC67F3"/>
    <w:rsid w:val="00FC6883"/>
    <w:rsid w:val="00FC688E"/>
    <w:rsid w:val="00FC688F"/>
    <w:rsid w:val="00FC6904"/>
    <w:rsid w:val="00FC6936"/>
    <w:rsid w:val="00FC6BA6"/>
    <w:rsid w:val="00FC6C49"/>
    <w:rsid w:val="00FC6CB3"/>
    <w:rsid w:val="00FC6D7B"/>
    <w:rsid w:val="00FC6E01"/>
    <w:rsid w:val="00FC703D"/>
    <w:rsid w:val="00FC705E"/>
    <w:rsid w:val="00FC726B"/>
    <w:rsid w:val="00FC72CB"/>
    <w:rsid w:val="00FC7402"/>
    <w:rsid w:val="00FC75CF"/>
    <w:rsid w:val="00FC7833"/>
    <w:rsid w:val="00FC78EE"/>
    <w:rsid w:val="00FC798D"/>
    <w:rsid w:val="00FC7AB2"/>
    <w:rsid w:val="00FC7AEE"/>
    <w:rsid w:val="00FC7C0C"/>
    <w:rsid w:val="00FC7C5D"/>
    <w:rsid w:val="00FC7D6C"/>
    <w:rsid w:val="00FC7D7B"/>
    <w:rsid w:val="00FC7D95"/>
    <w:rsid w:val="00FC7EA8"/>
    <w:rsid w:val="00FC7F23"/>
    <w:rsid w:val="00FC7F2B"/>
    <w:rsid w:val="00FC7F54"/>
    <w:rsid w:val="00FC7F55"/>
    <w:rsid w:val="00FD003A"/>
    <w:rsid w:val="00FD0063"/>
    <w:rsid w:val="00FD0086"/>
    <w:rsid w:val="00FD01B7"/>
    <w:rsid w:val="00FD0675"/>
    <w:rsid w:val="00FD06D5"/>
    <w:rsid w:val="00FD073E"/>
    <w:rsid w:val="00FD07CD"/>
    <w:rsid w:val="00FD0854"/>
    <w:rsid w:val="00FD0908"/>
    <w:rsid w:val="00FD09A2"/>
    <w:rsid w:val="00FD09CE"/>
    <w:rsid w:val="00FD09FD"/>
    <w:rsid w:val="00FD0AB1"/>
    <w:rsid w:val="00FD0C27"/>
    <w:rsid w:val="00FD101C"/>
    <w:rsid w:val="00FD10CC"/>
    <w:rsid w:val="00FD12B7"/>
    <w:rsid w:val="00FD1331"/>
    <w:rsid w:val="00FD13CB"/>
    <w:rsid w:val="00FD1544"/>
    <w:rsid w:val="00FD15DB"/>
    <w:rsid w:val="00FD1619"/>
    <w:rsid w:val="00FD174D"/>
    <w:rsid w:val="00FD18DD"/>
    <w:rsid w:val="00FD197A"/>
    <w:rsid w:val="00FD197B"/>
    <w:rsid w:val="00FD19EB"/>
    <w:rsid w:val="00FD1A13"/>
    <w:rsid w:val="00FD1A5D"/>
    <w:rsid w:val="00FD1AE0"/>
    <w:rsid w:val="00FD1C3C"/>
    <w:rsid w:val="00FD1C85"/>
    <w:rsid w:val="00FD1D1E"/>
    <w:rsid w:val="00FD1F7C"/>
    <w:rsid w:val="00FD2020"/>
    <w:rsid w:val="00FD235E"/>
    <w:rsid w:val="00FD276A"/>
    <w:rsid w:val="00FD2836"/>
    <w:rsid w:val="00FD2863"/>
    <w:rsid w:val="00FD2A8B"/>
    <w:rsid w:val="00FD2AA9"/>
    <w:rsid w:val="00FD2B19"/>
    <w:rsid w:val="00FD2C9E"/>
    <w:rsid w:val="00FD2D8B"/>
    <w:rsid w:val="00FD2D9F"/>
    <w:rsid w:val="00FD2E12"/>
    <w:rsid w:val="00FD2F73"/>
    <w:rsid w:val="00FD2FC2"/>
    <w:rsid w:val="00FD3113"/>
    <w:rsid w:val="00FD3178"/>
    <w:rsid w:val="00FD3188"/>
    <w:rsid w:val="00FD3383"/>
    <w:rsid w:val="00FD3668"/>
    <w:rsid w:val="00FD3841"/>
    <w:rsid w:val="00FD39A5"/>
    <w:rsid w:val="00FD3B00"/>
    <w:rsid w:val="00FD3C8B"/>
    <w:rsid w:val="00FD3E02"/>
    <w:rsid w:val="00FD3E42"/>
    <w:rsid w:val="00FD3E6C"/>
    <w:rsid w:val="00FD3FDB"/>
    <w:rsid w:val="00FD4013"/>
    <w:rsid w:val="00FD40CF"/>
    <w:rsid w:val="00FD419B"/>
    <w:rsid w:val="00FD4313"/>
    <w:rsid w:val="00FD43C7"/>
    <w:rsid w:val="00FD4442"/>
    <w:rsid w:val="00FD45A0"/>
    <w:rsid w:val="00FD46C5"/>
    <w:rsid w:val="00FD48E3"/>
    <w:rsid w:val="00FD48EE"/>
    <w:rsid w:val="00FD4994"/>
    <w:rsid w:val="00FD49F4"/>
    <w:rsid w:val="00FD4A5B"/>
    <w:rsid w:val="00FD4A84"/>
    <w:rsid w:val="00FD4B1C"/>
    <w:rsid w:val="00FD4B89"/>
    <w:rsid w:val="00FD4CFA"/>
    <w:rsid w:val="00FD4D04"/>
    <w:rsid w:val="00FD4E63"/>
    <w:rsid w:val="00FD4E87"/>
    <w:rsid w:val="00FD506C"/>
    <w:rsid w:val="00FD50A2"/>
    <w:rsid w:val="00FD5201"/>
    <w:rsid w:val="00FD5251"/>
    <w:rsid w:val="00FD52E8"/>
    <w:rsid w:val="00FD5652"/>
    <w:rsid w:val="00FD5848"/>
    <w:rsid w:val="00FD5958"/>
    <w:rsid w:val="00FD5995"/>
    <w:rsid w:val="00FD5A03"/>
    <w:rsid w:val="00FD5B80"/>
    <w:rsid w:val="00FD5B95"/>
    <w:rsid w:val="00FD5C96"/>
    <w:rsid w:val="00FD5D27"/>
    <w:rsid w:val="00FD5D35"/>
    <w:rsid w:val="00FD5EE2"/>
    <w:rsid w:val="00FD5F36"/>
    <w:rsid w:val="00FD5F3C"/>
    <w:rsid w:val="00FD60BB"/>
    <w:rsid w:val="00FD61CA"/>
    <w:rsid w:val="00FD620A"/>
    <w:rsid w:val="00FD624A"/>
    <w:rsid w:val="00FD65C0"/>
    <w:rsid w:val="00FD6907"/>
    <w:rsid w:val="00FD6985"/>
    <w:rsid w:val="00FD6BBD"/>
    <w:rsid w:val="00FD6C53"/>
    <w:rsid w:val="00FD6CC9"/>
    <w:rsid w:val="00FD6CCC"/>
    <w:rsid w:val="00FD6CE2"/>
    <w:rsid w:val="00FD6E59"/>
    <w:rsid w:val="00FD6E86"/>
    <w:rsid w:val="00FD6F00"/>
    <w:rsid w:val="00FD704F"/>
    <w:rsid w:val="00FD705D"/>
    <w:rsid w:val="00FD70F6"/>
    <w:rsid w:val="00FD7159"/>
    <w:rsid w:val="00FD7254"/>
    <w:rsid w:val="00FD7369"/>
    <w:rsid w:val="00FD7388"/>
    <w:rsid w:val="00FD73AB"/>
    <w:rsid w:val="00FD74F6"/>
    <w:rsid w:val="00FD7502"/>
    <w:rsid w:val="00FD75B8"/>
    <w:rsid w:val="00FD76D8"/>
    <w:rsid w:val="00FD7748"/>
    <w:rsid w:val="00FD79D4"/>
    <w:rsid w:val="00FD79F2"/>
    <w:rsid w:val="00FD7AAC"/>
    <w:rsid w:val="00FD7ACF"/>
    <w:rsid w:val="00FD7B58"/>
    <w:rsid w:val="00FD7BFA"/>
    <w:rsid w:val="00FD7C03"/>
    <w:rsid w:val="00FD7C74"/>
    <w:rsid w:val="00FD7D41"/>
    <w:rsid w:val="00FD7D9C"/>
    <w:rsid w:val="00FD7F89"/>
    <w:rsid w:val="00FE0085"/>
    <w:rsid w:val="00FE0115"/>
    <w:rsid w:val="00FE017E"/>
    <w:rsid w:val="00FE0302"/>
    <w:rsid w:val="00FE0307"/>
    <w:rsid w:val="00FE0378"/>
    <w:rsid w:val="00FE0490"/>
    <w:rsid w:val="00FE04AA"/>
    <w:rsid w:val="00FE0568"/>
    <w:rsid w:val="00FE05F9"/>
    <w:rsid w:val="00FE06BC"/>
    <w:rsid w:val="00FE07A2"/>
    <w:rsid w:val="00FE0817"/>
    <w:rsid w:val="00FE0825"/>
    <w:rsid w:val="00FE0A0B"/>
    <w:rsid w:val="00FE0A63"/>
    <w:rsid w:val="00FE0E56"/>
    <w:rsid w:val="00FE0FFF"/>
    <w:rsid w:val="00FE106B"/>
    <w:rsid w:val="00FE1330"/>
    <w:rsid w:val="00FE138F"/>
    <w:rsid w:val="00FE13FF"/>
    <w:rsid w:val="00FE148D"/>
    <w:rsid w:val="00FE14CC"/>
    <w:rsid w:val="00FE153A"/>
    <w:rsid w:val="00FE157D"/>
    <w:rsid w:val="00FE16BB"/>
    <w:rsid w:val="00FE16E7"/>
    <w:rsid w:val="00FE170A"/>
    <w:rsid w:val="00FE172D"/>
    <w:rsid w:val="00FE1780"/>
    <w:rsid w:val="00FE19D2"/>
    <w:rsid w:val="00FE19ED"/>
    <w:rsid w:val="00FE1CA1"/>
    <w:rsid w:val="00FE1D2A"/>
    <w:rsid w:val="00FE1D80"/>
    <w:rsid w:val="00FE1E25"/>
    <w:rsid w:val="00FE1E97"/>
    <w:rsid w:val="00FE207A"/>
    <w:rsid w:val="00FE20B1"/>
    <w:rsid w:val="00FE20F7"/>
    <w:rsid w:val="00FE21AD"/>
    <w:rsid w:val="00FE22AB"/>
    <w:rsid w:val="00FE243D"/>
    <w:rsid w:val="00FE25C5"/>
    <w:rsid w:val="00FE26E4"/>
    <w:rsid w:val="00FE26F8"/>
    <w:rsid w:val="00FE2960"/>
    <w:rsid w:val="00FE298D"/>
    <w:rsid w:val="00FE29E6"/>
    <w:rsid w:val="00FE2AD9"/>
    <w:rsid w:val="00FE2BEC"/>
    <w:rsid w:val="00FE2D2F"/>
    <w:rsid w:val="00FE2ECC"/>
    <w:rsid w:val="00FE2F93"/>
    <w:rsid w:val="00FE2FD1"/>
    <w:rsid w:val="00FE3120"/>
    <w:rsid w:val="00FE312A"/>
    <w:rsid w:val="00FE31EA"/>
    <w:rsid w:val="00FE340A"/>
    <w:rsid w:val="00FE343B"/>
    <w:rsid w:val="00FE351E"/>
    <w:rsid w:val="00FE368A"/>
    <w:rsid w:val="00FE3765"/>
    <w:rsid w:val="00FE3886"/>
    <w:rsid w:val="00FE397D"/>
    <w:rsid w:val="00FE399C"/>
    <w:rsid w:val="00FE3C12"/>
    <w:rsid w:val="00FE3C57"/>
    <w:rsid w:val="00FE3D7B"/>
    <w:rsid w:val="00FE4098"/>
    <w:rsid w:val="00FE42A3"/>
    <w:rsid w:val="00FE42E0"/>
    <w:rsid w:val="00FE430F"/>
    <w:rsid w:val="00FE43BE"/>
    <w:rsid w:val="00FE4422"/>
    <w:rsid w:val="00FE4570"/>
    <w:rsid w:val="00FE45F5"/>
    <w:rsid w:val="00FE46C8"/>
    <w:rsid w:val="00FE4749"/>
    <w:rsid w:val="00FE4772"/>
    <w:rsid w:val="00FE482A"/>
    <w:rsid w:val="00FE4B6C"/>
    <w:rsid w:val="00FE4C33"/>
    <w:rsid w:val="00FE4D92"/>
    <w:rsid w:val="00FE4E63"/>
    <w:rsid w:val="00FE4E70"/>
    <w:rsid w:val="00FE5054"/>
    <w:rsid w:val="00FE5055"/>
    <w:rsid w:val="00FE51F3"/>
    <w:rsid w:val="00FE5374"/>
    <w:rsid w:val="00FE5377"/>
    <w:rsid w:val="00FE5395"/>
    <w:rsid w:val="00FE53AF"/>
    <w:rsid w:val="00FE53D0"/>
    <w:rsid w:val="00FE55B8"/>
    <w:rsid w:val="00FE5638"/>
    <w:rsid w:val="00FE56AE"/>
    <w:rsid w:val="00FE5A68"/>
    <w:rsid w:val="00FE5AF8"/>
    <w:rsid w:val="00FE5BB3"/>
    <w:rsid w:val="00FE5D0D"/>
    <w:rsid w:val="00FE5DE5"/>
    <w:rsid w:val="00FE5ED4"/>
    <w:rsid w:val="00FE6146"/>
    <w:rsid w:val="00FE624A"/>
    <w:rsid w:val="00FE6265"/>
    <w:rsid w:val="00FE63B9"/>
    <w:rsid w:val="00FE64DA"/>
    <w:rsid w:val="00FE6785"/>
    <w:rsid w:val="00FE6A29"/>
    <w:rsid w:val="00FE6AD2"/>
    <w:rsid w:val="00FE6B86"/>
    <w:rsid w:val="00FE6B8E"/>
    <w:rsid w:val="00FE6BBB"/>
    <w:rsid w:val="00FE6BED"/>
    <w:rsid w:val="00FE6E0A"/>
    <w:rsid w:val="00FE6ECA"/>
    <w:rsid w:val="00FE7052"/>
    <w:rsid w:val="00FE7061"/>
    <w:rsid w:val="00FE7114"/>
    <w:rsid w:val="00FE7312"/>
    <w:rsid w:val="00FE737D"/>
    <w:rsid w:val="00FE770A"/>
    <w:rsid w:val="00FE785A"/>
    <w:rsid w:val="00FE7876"/>
    <w:rsid w:val="00FE7A3F"/>
    <w:rsid w:val="00FE7AD5"/>
    <w:rsid w:val="00FE7F0A"/>
    <w:rsid w:val="00FF00B5"/>
    <w:rsid w:val="00FF0166"/>
    <w:rsid w:val="00FF0266"/>
    <w:rsid w:val="00FF028A"/>
    <w:rsid w:val="00FF03D0"/>
    <w:rsid w:val="00FF045B"/>
    <w:rsid w:val="00FF04BA"/>
    <w:rsid w:val="00FF0677"/>
    <w:rsid w:val="00FF0860"/>
    <w:rsid w:val="00FF0987"/>
    <w:rsid w:val="00FF09A2"/>
    <w:rsid w:val="00FF09CC"/>
    <w:rsid w:val="00FF0A15"/>
    <w:rsid w:val="00FF0AD4"/>
    <w:rsid w:val="00FF0B41"/>
    <w:rsid w:val="00FF0BEF"/>
    <w:rsid w:val="00FF0D67"/>
    <w:rsid w:val="00FF0DB7"/>
    <w:rsid w:val="00FF0E49"/>
    <w:rsid w:val="00FF0EC2"/>
    <w:rsid w:val="00FF0F80"/>
    <w:rsid w:val="00FF0FA3"/>
    <w:rsid w:val="00FF102B"/>
    <w:rsid w:val="00FF105B"/>
    <w:rsid w:val="00FF119A"/>
    <w:rsid w:val="00FF11E4"/>
    <w:rsid w:val="00FF1233"/>
    <w:rsid w:val="00FF12FF"/>
    <w:rsid w:val="00FF1309"/>
    <w:rsid w:val="00FF131B"/>
    <w:rsid w:val="00FF15D4"/>
    <w:rsid w:val="00FF15E5"/>
    <w:rsid w:val="00FF1899"/>
    <w:rsid w:val="00FF19E9"/>
    <w:rsid w:val="00FF1B04"/>
    <w:rsid w:val="00FF1B10"/>
    <w:rsid w:val="00FF2053"/>
    <w:rsid w:val="00FF21BD"/>
    <w:rsid w:val="00FF2246"/>
    <w:rsid w:val="00FF236F"/>
    <w:rsid w:val="00FF2427"/>
    <w:rsid w:val="00FF2433"/>
    <w:rsid w:val="00FF2563"/>
    <w:rsid w:val="00FF2668"/>
    <w:rsid w:val="00FF294A"/>
    <w:rsid w:val="00FF29D0"/>
    <w:rsid w:val="00FF2A50"/>
    <w:rsid w:val="00FF2B15"/>
    <w:rsid w:val="00FF2D57"/>
    <w:rsid w:val="00FF2DC1"/>
    <w:rsid w:val="00FF2DE4"/>
    <w:rsid w:val="00FF2EF6"/>
    <w:rsid w:val="00FF2FCB"/>
    <w:rsid w:val="00FF3160"/>
    <w:rsid w:val="00FF31B0"/>
    <w:rsid w:val="00FF3258"/>
    <w:rsid w:val="00FF32F2"/>
    <w:rsid w:val="00FF33DA"/>
    <w:rsid w:val="00FF33F7"/>
    <w:rsid w:val="00FF3482"/>
    <w:rsid w:val="00FF3640"/>
    <w:rsid w:val="00FF37C2"/>
    <w:rsid w:val="00FF3924"/>
    <w:rsid w:val="00FF3937"/>
    <w:rsid w:val="00FF39BF"/>
    <w:rsid w:val="00FF3B18"/>
    <w:rsid w:val="00FF3C67"/>
    <w:rsid w:val="00FF3CDD"/>
    <w:rsid w:val="00FF3E38"/>
    <w:rsid w:val="00FF3E91"/>
    <w:rsid w:val="00FF4035"/>
    <w:rsid w:val="00FF41D3"/>
    <w:rsid w:val="00FF445E"/>
    <w:rsid w:val="00FF4463"/>
    <w:rsid w:val="00FF45B6"/>
    <w:rsid w:val="00FF45D0"/>
    <w:rsid w:val="00FF460C"/>
    <w:rsid w:val="00FF4796"/>
    <w:rsid w:val="00FF4B3F"/>
    <w:rsid w:val="00FF4CAE"/>
    <w:rsid w:val="00FF4E35"/>
    <w:rsid w:val="00FF4F08"/>
    <w:rsid w:val="00FF5013"/>
    <w:rsid w:val="00FF5081"/>
    <w:rsid w:val="00FF51DC"/>
    <w:rsid w:val="00FF51DE"/>
    <w:rsid w:val="00FF5206"/>
    <w:rsid w:val="00FF5224"/>
    <w:rsid w:val="00FF5277"/>
    <w:rsid w:val="00FF5543"/>
    <w:rsid w:val="00FF55D3"/>
    <w:rsid w:val="00FF5648"/>
    <w:rsid w:val="00FF5718"/>
    <w:rsid w:val="00FF5780"/>
    <w:rsid w:val="00FF5924"/>
    <w:rsid w:val="00FF5A46"/>
    <w:rsid w:val="00FF5ABC"/>
    <w:rsid w:val="00FF5D84"/>
    <w:rsid w:val="00FF5E16"/>
    <w:rsid w:val="00FF5F1D"/>
    <w:rsid w:val="00FF5F34"/>
    <w:rsid w:val="00FF60C2"/>
    <w:rsid w:val="00FF60F8"/>
    <w:rsid w:val="00FF62C6"/>
    <w:rsid w:val="00FF6349"/>
    <w:rsid w:val="00FF6486"/>
    <w:rsid w:val="00FF64B6"/>
    <w:rsid w:val="00FF662B"/>
    <w:rsid w:val="00FF6663"/>
    <w:rsid w:val="00FF668F"/>
    <w:rsid w:val="00FF6789"/>
    <w:rsid w:val="00FF67D8"/>
    <w:rsid w:val="00FF67FC"/>
    <w:rsid w:val="00FF683B"/>
    <w:rsid w:val="00FF6A2F"/>
    <w:rsid w:val="00FF6B5B"/>
    <w:rsid w:val="00FF6B7F"/>
    <w:rsid w:val="00FF6CF7"/>
    <w:rsid w:val="00FF6E9A"/>
    <w:rsid w:val="00FF7038"/>
    <w:rsid w:val="00FF70AD"/>
    <w:rsid w:val="00FF70DA"/>
    <w:rsid w:val="00FF711D"/>
    <w:rsid w:val="00FF71BB"/>
    <w:rsid w:val="00FF7228"/>
    <w:rsid w:val="00FF74A7"/>
    <w:rsid w:val="00FF74DE"/>
    <w:rsid w:val="00FF771E"/>
    <w:rsid w:val="00FF7731"/>
    <w:rsid w:val="00FF77E1"/>
    <w:rsid w:val="00FF799F"/>
    <w:rsid w:val="00FF7B7B"/>
    <w:rsid w:val="017B3236"/>
    <w:rsid w:val="01E0A0BA"/>
    <w:rsid w:val="0256353E"/>
    <w:rsid w:val="0286507D"/>
    <w:rsid w:val="0298E9FF"/>
    <w:rsid w:val="0348DF38"/>
    <w:rsid w:val="03AC094F"/>
    <w:rsid w:val="040A3092"/>
    <w:rsid w:val="0433CB6E"/>
    <w:rsid w:val="04C503EA"/>
    <w:rsid w:val="05AFCC98"/>
    <w:rsid w:val="05BE75C6"/>
    <w:rsid w:val="05E6664D"/>
    <w:rsid w:val="061BAC7E"/>
    <w:rsid w:val="066147B1"/>
    <w:rsid w:val="06BCC50B"/>
    <w:rsid w:val="07A2136F"/>
    <w:rsid w:val="08BB10CB"/>
    <w:rsid w:val="08C5D032"/>
    <w:rsid w:val="08E1F5FF"/>
    <w:rsid w:val="0972D817"/>
    <w:rsid w:val="09D8C70C"/>
    <w:rsid w:val="0AD49DC9"/>
    <w:rsid w:val="0B163E77"/>
    <w:rsid w:val="0B5A4DD1"/>
    <w:rsid w:val="0B62364A"/>
    <w:rsid w:val="0B9767F1"/>
    <w:rsid w:val="0C34C55D"/>
    <w:rsid w:val="0C5CEA94"/>
    <w:rsid w:val="0C7EB7C7"/>
    <w:rsid w:val="0CC77615"/>
    <w:rsid w:val="0D5CF30C"/>
    <w:rsid w:val="0D82CED9"/>
    <w:rsid w:val="0DE8233F"/>
    <w:rsid w:val="0E202FEF"/>
    <w:rsid w:val="0FEC7530"/>
    <w:rsid w:val="0FF3148B"/>
    <w:rsid w:val="0FF4C047"/>
    <w:rsid w:val="0FF90E7C"/>
    <w:rsid w:val="105FB443"/>
    <w:rsid w:val="10716AE9"/>
    <w:rsid w:val="11B0E740"/>
    <w:rsid w:val="12438659"/>
    <w:rsid w:val="1294A74A"/>
    <w:rsid w:val="12A1A3A6"/>
    <w:rsid w:val="130C2081"/>
    <w:rsid w:val="1360FDB8"/>
    <w:rsid w:val="139AA1C7"/>
    <w:rsid w:val="14331B20"/>
    <w:rsid w:val="14B606D4"/>
    <w:rsid w:val="1527856B"/>
    <w:rsid w:val="156B940B"/>
    <w:rsid w:val="15B552E1"/>
    <w:rsid w:val="162BB860"/>
    <w:rsid w:val="1716F0BB"/>
    <w:rsid w:val="173C73EF"/>
    <w:rsid w:val="177271A9"/>
    <w:rsid w:val="178B69E0"/>
    <w:rsid w:val="17B35DFC"/>
    <w:rsid w:val="17DB6139"/>
    <w:rsid w:val="17DED24B"/>
    <w:rsid w:val="17F50370"/>
    <w:rsid w:val="18418F5A"/>
    <w:rsid w:val="1859F558"/>
    <w:rsid w:val="18752877"/>
    <w:rsid w:val="189C470A"/>
    <w:rsid w:val="18F43497"/>
    <w:rsid w:val="18FA6540"/>
    <w:rsid w:val="195B4077"/>
    <w:rsid w:val="195BB229"/>
    <w:rsid w:val="19ABD39B"/>
    <w:rsid w:val="19BD09DA"/>
    <w:rsid w:val="1A09FB64"/>
    <w:rsid w:val="1A6FC303"/>
    <w:rsid w:val="1B080216"/>
    <w:rsid w:val="1B91AFEB"/>
    <w:rsid w:val="1C60BC11"/>
    <w:rsid w:val="1C626E98"/>
    <w:rsid w:val="1C630CB2"/>
    <w:rsid w:val="1CB3F496"/>
    <w:rsid w:val="1D40D4D5"/>
    <w:rsid w:val="1D63CA7D"/>
    <w:rsid w:val="1DA9F9BC"/>
    <w:rsid w:val="1E0C8016"/>
    <w:rsid w:val="1E515220"/>
    <w:rsid w:val="1EFF440D"/>
    <w:rsid w:val="1F3FAD58"/>
    <w:rsid w:val="1F8FF601"/>
    <w:rsid w:val="1FEE053E"/>
    <w:rsid w:val="201AE7E0"/>
    <w:rsid w:val="20358A34"/>
    <w:rsid w:val="209E8024"/>
    <w:rsid w:val="21565A72"/>
    <w:rsid w:val="217099C4"/>
    <w:rsid w:val="21C644AC"/>
    <w:rsid w:val="2221125B"/>
    <w:rsid w:val="2257B749"/>
    <w:rsid w:val="2373ED83"/>
    <w:rsid w:val="23C725C7"/>
    <w:rsid w:val="241CD1A7"/>
    <w:rsid w:val="243C61DA"/>
    <w:rsid w:val="2466FCA6"/>
    <w:rsid w:val="251CE46D"/>
    <w:rsid w:val="25AFAC43"/>
    <w:rsid w:val="25EE2B67"/>
    <w:rsid w:val="2625C7A7"/>
    <w:rsid w:val="2674CEB6"/>
    <w:rsid w:val="284252C0"/>
    <w:rsid w:val="288062CD"/>
    <w:rsid w:val="288B74BE"/>
    <w:rsid w:val="28D506D9"/>
    <w:rsid w:val="2B067B82"/>
    <w:rsid w:val="2B5046F1"/>
    <w:rsid w:val="2BFD3294"/>
    <w:rsid w:val="2C2A1309"/>
    <w:rsid w:val="2C73B28F"/>
    <w:rsid w:val="2CF7D09F"/>
    <w:rsid w:val="2D02E3F9"/>
    <w:rsid w:val="2D858B53"/>
    <w:rsid w:val="2DB81D80"/>
    <w:rsid w:val="2E426C10"/>
    <w:rsid w:val="2E980BF2"/>
    <w:rsid w:val="2F7E16C0"/>
    <w:rsid w:val="2F925CFC"/>
    <w:rsid w:val="30346743"/>
    <w:rsid w:val="303CB532"/>
    <w:rsid w:val="3063C42D"/>
    <w:rsid w:val="308CABF0"/>
    <w:rsid w:val="319B3060"/>
    <w:rsid w:val="31E7C858"/>
    <w:rsid w:val="326FC0FF"/>
    <w:rsid w:val="33B84410"/>
    <w:rsid w:val="343605ED"/>
    <w:rsid w:val="345FB0CA"/>
    <w:rsid w:val="34BDF9CE"/>
    <w:rsid w:val="351B0DFF"/>
    <w:rsid w:val="35816838"/>
    <w:rsid w:val="36515DAE"/>
    <w:rsid w:val="3740EAB6"/>
    <w:rsid w:val="378060C2"/>
    <w:rsid w:val="37A1101D"/>
    <w:rsid w:val="38545BC5"/>
    <w:rsid w:val="388253BC"/>
    <w:rsid w:val="38EE27C4"/>
    <w:rsid w:val="390E68D4"/>
    <w:rsid w:val="392A1914"/>
    <w:rsid w:val="39301E66"/>
    <w:rsid w:val="395CE945"/>
    <w:rsid w:val="39BD7A4B"/>
    <w:rsid w:val="3A0B71C3"/>
    <w:rsid w:val="3A61AD0B"/>
    <w:rsid w:val="3AB43FA5"/>
    <w:rsid w:val="3AF562AB"/>
    <w:rsid w:val="3B6722F5"/>
    <w:rsid w:val="3BD0C705"/>
    <w:rsid w:val="3BD5421D"/>
    <w:rsid w:val="3CA0645D"/>
    <w:rsid w:val="3D5A3B85"/>
    <w:rsid w:val="3D827348"/>
    <w:rsid w:val="3DEF8825"/>
    <w:rsid w:val="3EE39E12"/>
    <w:rsid w:val="3F2CAE91"/>
    <w:rsid w:val="3F5AF32C"/>
    <w:rsid w:val="3F71F492"/>
    <w:rsid w:val="3F99BE2D"/>
    <w:rsid w:val="3FF7250F"/>
    <w:rsid w:val="401C4B92"/>
    <w:rsid w:val="405E09C6"/>
    <w:rsid w:val="412AA589"/>
    <w:rsid w:val="41489CFE"/>
    <w:rsid w:val="41E418E6"/>
    <w:rsid w:val="432D8BFF"/>
    <w:rsid w:val="43BCB0D6"/>
    <w:rsid w:val="441B85E4"/>
    <w:rsid w:val="443F5B87"/>
    <w:rsid w:val="4442E701"/>
    <w:rsid w:val="44755949"/>
    <w:rsid w:val="448A0083"/>
    <w:rsid w:val="44F7FC07"/>
    <w:rsid w:val="457E639D"/>
    <w:rsid w:val="45A541B9"/>
    <w:rsid w:val="45FEA405"/>
    <w:rsid w:val="4852EEAC"/>
    <w:rsid w:val="490092BC"/>
    <w:rsid w:val="49332FBB"/>
    <w:rsid w:val="49E5126A"/>
    <w:rsid w:val="49F94B6E"/>
    <w:rsid w:val="4ABBCB07"/>
    <w:rsid w:val="4AC96852"/>
    <w:rsid w:val="4B8F03EA"/>
    <w:rsid w:val="4CE8636D"/>
    <w:rsid w:val="4D59608F"/>
    <w:rsid w:val="4DA3AB45"/>
    <w:rsid w:val="4DB64356"/>
    <w:rsid w:val="4DEE4D73"/>
    <w:rsid w:val="4E53D1CC"/>
    <w:rsid w:val="4F137D95"/>
    <w:rsid w:val="50609364"/>
    <w:rsid w:val="509D00E8"/>
    <w:rsid w:val="513A6082"/>
    <w:rsid w:val="51BFDAF6"/>
    <w:rsid w:val="521A52EE"/>
    <w:rsid w:val="524ABDFE"/>
    <w:rsid w:val="529C571F"/>
    <w:rsid w:val="5332FA0C"/>
    <w:rsid w:val="5337DE32"/>
    <w:rsid w:val="53CB5E6B"/>
    <w:rsid w:val="53FD5465"/>
    <w:rsid w:val="54107927"/>
    <w:rsid w:val="54374F6A"/>
    <w:rsid w:val="54A56AB9"/>
    <w:rsid w:val="54B48CD9"/>
    <w:rsid w:val="54C46954"/>
    <w:rsid w:val="553D3F0C"/>
    <w:rsid w:val="560BDEEC"/>
    <w:rsid w:val="56BA2095"/>
    <w:rsid w:val="56FFF469"/>
    <w:rsid w:val="574E3DFF"/>
    <w:rsid w:val="575C794B"/>
    <w:rsid w:val="57608EB2"/>
    <w:rsid w:val="57610877"/>
    <w:rsid w:val="57E3AE26"/>
    <w:rsid w:val="57F2F172"/>
    <w:rsid w:val="57FC3205"/>
    <w:rsid w:val="582BFDD9"/>
    <w:rsid w:val="58891109"/>
    <w:rsid w:val="588A3813"/>
    <w:rsid w:val="58AC2B5A"/>
    <w:rsid w:val="58CDCEC4"/>
    <w:rsid w:val="598753CF"/>
    <w:rsid w:val="5A0A6F80"/>
    <w:rsid w:val="5B4D2375"/>
    <w:rsid w:val="5B573407"/>
    <w:rsid w:val="5BAE498D"/>
    <w:rsid w:val="5BCF2030"/>
    <w:rsid w:val="5C129061"/>
    <w:rsid w:val="5C1A934C"/>
    <w:rsid w:val="5C345F65"/>
    <w:rsid w:val="5C9BE4B3"/>
    <w:rsid w:val="5CDBD303"/>
    <w:rsid w:val="5D1AFF98"/>
    <w:rsid w:val="5D26095D"/>
    <w:rsid w:val="5D7C85DE"/>
    <w:rsid w:val="5DD30478"/>
    <w:rsid w:val="5DEEFB9E"/>
    <w:rsid w:val="5DF09CE5"/>
    <w:rsid w:val="5E003053"/>
    <w:rsid w:val="5E9201BC"/>
    <w:rsid w:val="5F7742FB"/>
    <w:rsid w:val="5FA7A00D"/>
    <w:rsid w:val="5FB2E559"/>
    <w:rsid w:val="602EBAE5"/>
    <w:rsid w:val="6047AD6A"/>
    <w:rsid w:val="609BDC6E"/>
    <w:rsid w:val="628A032D"/>
    <w:rsid w:val="62DCFB76"/>
    <w:rsid w:val="62F93CBE"/>
    <w:rsid w:val="637707D3"/>
    <w:rsid w:val="640946B3"/>
    <w:rsid w:val="64315B19"/>
    <w:rsid w:val="6482FE87"/>
    <w:rsid w:val="64973F1C"/>
    <w:rsid w:val="64A88248"/>
    <w:rsid w:val="651B7868"/>
    <w:rsid w:val="653D5F0A"/>
    <w:rsid w:val="65412335"/>
    <w:rsid w:val="6642E52F"/>
    <w:rsid w:val="667B8510"/>
    <w:rsid w:val="6793B065"/>
    <w:rsid w:val="682B5852"/>
    <w:rsid w:val="68D0AC59"/>
    <w:rsid w:val="68E9046C"/>
    <w:rsid w:val="69017422"/>
    <w:rsid w:val="693058EA"/>
    <w:rsid w:val="69F84EF2"/>
    <w:rsid w:val="6A176DEE"/>
    <w:rsid w:val="6A350DBF"/>
    <w:rsid w:val="6AA399AB"/>
    <w:rsid w:val="6AA5BADE"/>
    <w:rsid w:val="6AB027F2"/>
    <w:rsid w:val="6B311AD0"/>
    <w:rsid w:val="6B7DD98B"/>
    <w:rsid w:val="6C07CAC1"/>
    <w:rsid w:val="6CFE9414"/>
    <w:rsid w:val="6D00962E"/>
    <w:rsid w:val="6D3C0798"/>
    <w:rsid w:val="6D55B9E8"/>
    <w:rsid w:val="6D7AD5EA"/>
    <w:rsid w:val="6DC4BE03"/>
    <w:rsid w:val="6DE3E538"/>
    <w:rsid w:val="6EFAFAA8"/>
    <w:rsid w:val="7046CF81"/>
    <w:rsid w:val="7058629B"/>
    <w:rsid w:val="70617E8B"/>
    <w:rsid w:val="71C31EBA"/>
    <w:rsid w:val="72A17C69"/>
    <w:rsid w:val="72AC38BC"/>
    <w:rsid w:val="734E6C78"/>
    <w:rsid w:val="7356B7B6"/>
    <w:rsid w:val="73DE4A76"/>
    <w:rsid w:val="74A15562"/>
    <w:rsid w:val="74BAEFA2"/>
    <w:rsid w:val="753AB711"/>
    <w:rsid w:val="758D9ABE"/>
    <w:rsid w:val="75CF8569"/>
    <w:rsid w:val="75E07CBD"/>
    <w:rsid w:val="760F406D"/>
    <w:rsid w:val="762C818A"/>
    <w:rsid w:val="7689BDEF"/>
    <w:rsid w:val="76C4C1A7"/>
    <w:rsid w:val="76D7096B"/>
    <w:rsid w:val="76DF767A"/>
    <w:rsid w:val="76F14B6C"/>
    <w:rsid w:val="7761D21F"/>
    <w:rsid w:val="77A70266"/>
    <w:rsid w:val="77DADF95"/>
    <w:rsid w:val="780679AC"/>
    <w:rsid w:val="784E5DBD"/>
    <w:rsid w:val="7917FCE2"/>
    <w:rsid w:val="7922B684"/>
    <w:rsid w:val="7A17786B"/>
    <w:rsid w:val="7AB5EDB3"/>
    <w:rsid w:val="7ACC69F6"/>
    <w:rsid w:val="7AFE5E19"/>
    <w:rsid w:val="7B1AC426"/>
    <w:rsid w:val="7BAEBE8C"/>
    <w:rsid w:val="7C303F1E"/>
    <w:rsid w:val="7D920FB7"/>
    <w:rsid w:val="7DC4BA9F"/>
    <w:rsid w:val="7EED3117"/>
    <w:rsid w:val="7F128915"/>
    <w:rsid w:val="7F3A1E26"/>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91974B7"/>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imes New Roman"/>
        <w:sz w:val="22"/>
        <w:szCs w:val="22"/>
        <w:lang w:val="en-AU" w:eastAsia="en-US" w:bidi="ar-SA"/>
      </w:rPr>
    </w:rPrDefault>
    <w:pPrDefault>
      <w:pPr>
        <w:spacing w:before="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94" w:unhideWhenUsed="1"/>
    <w:lsdException w:name="toc 4" w:semiHidden="1" w:uiPriority="96" w:unhideWhenUsed="1"/>
    <w:lsdException w:name="toc 5" w:semiHidden="1" w:uiPriority="96" w:unhideWhenUsed="1"/>
    <w:lsdException w:name="toc 6" w:semiHidden="1" w:uiPriority="96" w:unhideWhenUsed="1"/>
    <w:lsdException w:name="toc 7" w:semiHidden="1" w:uiPriority="96" w:unhideWhenUsed="1"/>
    <w:lsdException w:name="toc 8" w:semiHidden="1" w:uiPriority="96"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9" w:unhideWhenUsed="1" w:qFormat="1"/>
    <w:lsdException w:name="List Number" w:semiHidden="1" w:uiPriority="19" w:unhideWhenUsed="1" w:qFormat="1"/>
    <w:lsdException w:name="List 2" w:semiHidden="1" w:uiPriority="29" w:unhideWhenUsed="1"/>
    <w:lsdException w:name="List 3" w:semiHidden="1" w:uiPriority="29" w:unhideWhenUsed="1"/>
    <w:lsdException w:name="List 4" w:semiHidden="1" w:uiPriority="29" w:unhideWhenUsed="1"/>
    <w:lsdException w:name="List 5" w:semiHidden="1" w:uiPriority="29" w:unhideWhenUsed="1"/>
    <w:lsdException w:name="List Bullet 2" w:semiHidden="1" w:uiPriority="19" w:unhideWhenUsed="1"/>
    <w:lsdException w:name="List Bullet 3" w:semiHidden="1" w:uiPriority="19" w:unhideWhenUsed="1"/>
    <w:lsdException w:name="List Bullet 4" w:semiHidden="1" w:uiPriority="19" w:unhideWhenUsed="1"/>
    <w:lsdException w:name="List Bullet 5" w:semiHidden="1" w:uiPriority="19" w:unhideWhenUsed="1"/>
    <w:lsdException w:name="List Number 2" w:semiHidden="1" w:uiPriority="19" w:unhideWhenUsed="1"/>
    <w:lsdException w:name="List Number 3" w:semiHidden="1" w:uiPriority="19" w:unhideWhenUsed="1"/>
    <w:lsdException w:name="List Number 4" w:semiHidden="1" w:uiPriority="19" w:unhideWhenUsed="1"/>
    <w:lsdException w:name="List Number 5" w:semiHidden="1" w:uiPriority="19"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4" w:unhideWhenUsed="1"/>
    <w:lsdException w:name="Body Text Indent" w:semiHidden="1" w:unhideWhenUsed="1"/>
    <w:lsdException w:name="List Continue" w:semiHidden="1" w:uiPriority="26" w:unhideWhenUsed="1" w:qFormat="1"/>
    <w:lsdException w:name="List Continue 2" w:semiHidden="1" w:uiPriority="26" w:unhideWhenUsed="1"/>
    <w:lsdException w:name="List Continue 3" w:semiHidden="1" w:uiPriority="26" w:unhideWhenUsed="1"/>
    <w:lsdException w:name="List Continue 4" w:semiHidden="1" w:uiPriority="26" w:unhideWhenUsed="1"/>
    <w:lsdException w:name="List Continue 5" w:semiHidden="1" w:uiPriority="26"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425B"/>
    <w:pPr>
      <w:keepLines/>
    </w:pPr>
    <w:rPr>
      <w:rFonts w:cstheme="minorBidi"/>
    </w:rPr>
  </w:style>
  <w:style w:type="paragraph" w:styleId="Heading1">
    <w:name w:val="heading 1"/>
    <w:next w:val="Normal"/>
    <w:link w:val="Heading1Char"/>
    <w:uiPriority w:val="9"/>
    <w:qFormat/>
    <w:rsid w:val="00D04746"/>
    <w:pPr>
      <w:keepNext/>
      <w:keepLines/>
      <w:spacing w:before="360"/>
      <w:outlineLvl w:val="0"/>
    </w:pPr>
    <w:rPr>
      <w:rFonts w:asciiTheme="majorHAnsi" w:eastAsiaTheme="majorEastAsia" w:hAnsiTheme="majorHAnsi" w:cstheme="majorBidi"/>
      <w:b/>
      <w:caps/>
      <w:sz w:val="27"/>
      <w:szCs w:val="32"/>
    </w:rPr>
  </w:style>
  <w:style w:type="paragraph" w:styleId="Heading2">
    <w:name w:val="heading 2"/>
    <w:next w:val="Normal"/>
    <w:link w:val="Heading2Char"/>
    <w:uiPriority w:val="9"/>
    <w:qFormat/>
    <w:rsid w:val="00FA0989"/>
    <w:pPr>
      <w:keepNext/>
      <w:keepLines/>
      <w:spacing w:before="240"/>
      <w:outlineLvl w:val="1"/>
    </w:pPr>
    <w:rPr>
      <w:rFonts w:asciiTheme="majorHAnsi" w:eastAsiaTheme="majorEastAsia" w:hAnsiTheme="majorHAnsi" w:cstheme="majorBidi"/>
      <w:b/>
      <w:sz w:val="27"/>
      <w:szCs w:val="26"/>
    </w:rPr>
  </w:style>
  <w:style w:type="paragraph" w:styleId="Heading3">
    <w:name w:val="heading 3"/>
    <w:next w:val="Normal"/>
    <w:link w:val="Heading3Char"/>
    <w:uiPriority w:val="9"/>
    <w:qFormat/>
    <w:rsid w:val="00D04746"/>
    <w:pPr>
      <w:keepNext/>
      <w:keepLines/>
      <w:tabs>
        <w:tab w:val="right" w:pos="7711"/>
      </w:tabs>
      <w:spacing w:before="240" w:after="60"/>
      <w:outlineLvl w:val="2"/>
    </w:pPr>
    <w:rPr>
      <w:rFonts w:asciiTheme="majorHAnsi" w:eastAsiaTheme="majorEastAsia" w:hAnsiTheme="majorHAnsi" w:cstheme="majorBidi"/>
      <w:b/>
      <w:sz w:val="23"/>
      <w:szCs w:val="24"/>
    </w:rPr>
  </w:style>
  <w:style w:type="paragraph" w:styleId="Heading4">
    <w:name w:val="heading 4"/>
    <w:next w:val="Normal"/>
    <w:link w:val="Heading4Char"/>
    <w:uiPriority w:val="9"/>
    <w:qFormat/>
    <w:rsid w:val="00D04746"/>
    <w:pPr>
      <w:keepNext/>
      <w:keepLines/>
      <w:spacing w:before="180" w:after="60"/>
      <w:outlineLvl w:val="3"/>
    </w:pPr>
    <w:rPr>
      <w:rFonts w:asciiTheme="majorHAnsi" w:eastAsiaTheme="majorEastAsia" w:hAnsiTheme="majorHAnsi" w:cstheme="majorBidi"/>
      <w:i/>
      <w:iCs/>
      <w:szCs w:val="24"/>
    </w:rPr>
  </w:style>
  <w:style w:type="paragraph" w:styleId="Heading5">
    <w:name w:val="heading 5"/>
    <w:basedOn w:val="Normal"/>
    <w:next w:val="Normal"/>
    <w:link w:val="Heading5Char"/>
    <w:uiPriority w:val="9"/>
    <w:semiHidden/>
    <w:qFormat/>
    <w:rsid w:val="00AC62A3"/>
    <w:pPr>
      <w:keepNext/>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qFormat/>
    <w:rsid w:val="00AC62A3"/>
    <w:pPr>
      <w:keepNext/>
      <w:numPr>
        <w:ilvl w:val="5"/>
        <w:numId w:val="1"/>
      </w:numPr>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qFormat/>
    <w:rsid w:val="00AC62A3"/>
    <w:pPr>
      <w:keepNext/>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qFormat/>
    <w:rsid w:val="00AC62A3"/>
    <w:pPr>
      <w:keepNext/>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qFormat/>
    <w:rsid w:val="00AC62A3"/>
    <w:pPr>
      <w:keepNext/>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C3DD4"/>
    <w:rPr>
      <w:rFonts w:asciiTheme="majorHAnsi" w:eastAsiaTheme="majorEastAsia" w:hAnsiTheme="majorHAnsi" w:cstheme="majorBidi"/>
      <w:b/>
      <w:caps/>
      <w:sz w:val="27"/>
      <w:szCs w:val="32"/>
    </w:rPr>
  </w:style>
  <w:style w:type="character" w:customStyle="1" w:styleId="Heading2Char">
    <w:name w:val="Heading 2 Char"/>
    <w:basedOn w:val="DefaultParagraphFont"/>
    <w:link w:val="Heading2"/>
    <w:uiPriority w:val="9"/>
    <w:rsid w:val="00882B17"/>
    <w:rPr>
      <w:rFonts w:asciiTheme="majorHAnsi" w:eastAsiaTheme="majorEastAsia" w:hAnsiTheme="majorHAnsi" w:cstheme="majorBidi"/>
      <w:b/>
      <w:sz w:val="27"/>
      <w:szCs w:val="26"/>
    </w:rPr>
  </w:style>
  <w:style w:type="character" w:customStyle="1" w:styleId="Heading3Char">
    <w:name w:val="Heading 3 Char"/>
    <w:basedOn w:val="DefaultParagraphFont"/>
    <w:link w:val="Heading3"/>
    <w:uiPriority w:val="9"/>
    <w:rsid w:val="009639D6"/>
    <w:rPr>
      <w:rFonts w:asciiTheme="majorHAnsi" w:eastAsiaTheme="majorEastAsia" w:hAnsiTheme="majorHAnsi" w:cstheme="majorBidi"/>
      <w:b/>
      <w:sz w:val="23"/>
      <w:szCs w:val="24"/>
    </w:rPr>
  </w:style>
  <w:style w:type="character" w:customStyle="1" w:styleId="Heading4Char">
    <w:name w:val="Heading 4 Char"/>
    <w:basedOn w:val="DefaultParagraphFont"/>
    <w:link w:val="Heading4"/>
    <w:uiPriority w:val="9"/>
    <w:rsid w:val="005D398B"/>
    <w:rPr>
      <w:rFonts w:asciiTheme="majorHAnsi" w:eastAsiaTheme="majorEastAsia" w:hAnsiTheme="majorHAnsi" w:cstheme="majorBidi"/>
      <w:i/>
      <w:iCs/>
      <w:szCs w:val="24"/>
    </w:rPr>
  </w:style>
  <w:style w:type="character" w:customStyle="1" w:styleId="Heading5Char">
    <w:name w:val="Heading 5 Char"/>
    <w:basedOn w:val="DefaultParagraphFont"/>
    <w:link w:val="Heading5"/>
    <w:uiPriority w:val="9"/>
    <w:semiHidden/>
    <w:rsid w:val="00AF425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F425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F425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F425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F425B"/>
    <w:rPr>
      <w:rFonts w:eastAsiaTheme="majorEastAsia" w:cstheme="majorBidi"/>
      <w:color w:val="272727" w:themeColor="text1" w:themeTint="D8"/>
    </w:rPr>
  </w:style>
  <w:style w:type="paragraph" w:styleId="Title">
    <w:name w:val="Title"/>
    <w:basedOn w:val="Normal"/>
    <w:next w:val="Normal"/>
    <w:link w:val="TitleChar"/>
    <w:uiPriority w:val="10"/>
    <w:qFormat/>
    <w:rsid w:val="00AE1DA0"/>
    <w:pPr>
      <w:pageBreakBefore/>
      <w:pBdr>
        <w:bottom w:val="single" w:sz="12" w:space="1" w:color="auto"/>
      </w:pBdr>
      <w:spacing w:before="1440" w:after="360"/>
      <w:contextualSpacing/>
      <w:jc w:val="center"/>
    </w:pPr>
    <w:rPr>
      <w:rFonts w:asciiTheme="majorHAnsi" w:eastAsiaTheme="majorEastAsia" w:hAnsiTheme="majorHAnsi" w:cstheme="majorBidi"/>
      <w:b/>
      <w:spacing w:val="-10"/>
      <w:kern w:val="28"/>
      <w:sz w:val="52"/>
      <w:szCs w:val="56"/>
    </w:rPr>
  </w:style>
  <w:style w:type="character" w:customStyle="1" w:styleId="TitleChar">
    <w:name w:val="Title Char"/>
    <w:basedOn w:val="DefaultParagraphFont"/>
    <w:link w:val="Title"/>
    <w:uiPriority w:val="10"/>
    <w:rsid w:val="009C3E77"/>
    <w:rPr>
      <w:rFonts w:asciiTheme="majorHAnsi" w:eastAsiaTheme="majorEastAsia" w:hAnsiTheme="majorHAnsi" w:cstheme="majorBidi"/>
      <w:b/>
      <w:spacing w:val="-10"/>
      <w:kern w:val="28"/>
      <w:sz w:val="52"/>
      <w:szCs w:val="56"/>
    </w:rPr>
  </w:style>
  <w:style w:type="table" w:customStyle="1" w:styleId="DTFTableText">
    <w:name w:val="DTF Table [Text]"/>
    <w:basedOn w:val="TableNormal"/>
    <w:uiPriority w:val="99"/>
    <w:rsid w:val="00D04746"/>
    <w:pPr>
      <w:spacing w:before="60" w:after="60"/>
    </w:pPr>
    <w:rPr>
      <w:rFonts w:asciiTheme="majorHAnsi" w:hAnsiTheme="majorHAnsi" w:cstheme="minorBidi"/>
      <w:sz w:val="19"/>
    </w:rPr>
    <w:tblPr>
      <w:tblStyleRowBandSize w:val="1"/>
      <w:tblStyleColBandSize w:val="1"/>
      <w:tblBorders>
        <w:bottom w:val="single" w:sz="6" w:space="0" w:color="auto"/>
      </w:tblBorders>
      <w:tblCellMar>
        <w:left w:w="57" w:type="dxa"/>
        <w:right w:w="57" w:type="dxa"/>
      </w:tblCellMar>
    </w:tblPr>
    <w:tblStylePr w:type="firstRow">
      <w:pPr>
        <w:jc w:val="left"/>
      </w:pPr>
      <w:rPr>
        <w:i/>
      </w:rPr>
      <w:tblPr/>
      <w:tcPr>
        <w:tcBorders>
          <w:top w:val="nil"/>
          <w:left w:val="nil"/>
          <w:bottom w:val="nil"/>
          <w:right w:val="nil"/>
          <w:insideH w:val="nil"/>
          <w:insideV w:val="nil"/>
          <w:tl2br w:val="nil"/>
          <w:tr2bl w:val="nil"/>
        </w:tcBorders>
        <w:shd w:val="clear" w:color="auto" w:fill="000000" w:themeFill="text1"/>
        <w:vAlign w:val="bottom"/>
      </w:tcPr>
    </w:tblStylePr>
    <w:tblStylePr w:type="lastRow">
      <w:rPr>
        <w:b/>
      </w:rPr>
      <w:tblPr/>
      <w:tcPr>
        <w:tcBorders>
          <w:top w:val="single" w:sz="6" w:space="0" w:color="auto"/>
          <w:left w:val="nil"/>
          <w:bottom w:val="single" w:sz="6" w:space="0" w:color="auto"/>
          <w:right w:val="nil"/>
          <w:insideH w:val="nil"/>
          <w:insideV w:val="nil"/>
          <w:tl2br w:val="nil"/>
          <w:tr2bl w:val="nil"/>
        </w:tcBorders>
      </w:tcPr>
    </w:tblStylePr>
    <w:tblStylePr w:type="firstCol">
      <w:rPr>
        <w:b/>
      </w:rPr>
    </w:tblStylePr>
    <w:tblStylePr w:type="lastCol">
      <w:rPr>
        <w:b/>
      </w:rPr>
    </w:tblStylePr>
    <w:tblStylePr w:type="band2Vert">
      <w:tblPr/>
      <w:tcPr>
        <w:tcBorders>
          <w:top w:val="nil"/>
          <w:left w:val="single" w:sz="6" w:space="0" w:color="auto"/>
          <w:bottom w:val="single" w:sz="6" w:space="0" w:color="auto"/>
          <w:right w:val="single" w:sz="6" w:space="0" w:color="auto"/>
          <w:insideH w:val="nil"/>
          <w:insideV w:val="nil"/>
          <w:tl2br w:val="nil"/>
          <w:tr2bl w:val="nil"/>
        </w:tcBorders>
      </w:tcPr>
    </w:tblStylePr>
    <w:tblStylePr w:type="band1Horz">
      <w:tblPr/>
      <w:tcPr>
        <w:tcBorders>
          <w:top w:val="nil"/>
          <w:left w:val="nil"/>
          <w:bottom w:val="single" w:sz="6" w:space="0" w:color="auto"/>
          <w:right w:val="nil"/>
          <w:insideH w:val="nil"/>
          <w:insideV w:val="nil"/>
          <w:tl2br w:val="nil"/>
          <w:tr2bl w:val="nil"/>
        </w:tcBorders>
      </w:tcPr>
    </w:tblStylePr>
    <w:tblStylePr w:type="band2Horz">
      <w:tblPr/>
      <w:tcPr>
        <w:tcBorders>
          <w:top w:val="nil"/>
          <w:left w:val="nil"/>
          <w:bottom w:val="single" w:sz="6" w:space="0" w:color="auto"/>
          <w:right w:val="nil"/>
          <w:insideH w:val="nil"/>
          <w:insideV w:val="nil"/>
          <w:tl2br w:val="nil"/>
          <w:tr2bl w:val="nil"/>
        </w:tcBorders>
      </w:tcPr>
    </w:tblStylePr>
  </w:style>
  <w:style w:type="paragraph" w:styleId="Header">
    <w:name w:val="header"/>
    <w:basedOn w:val="Normal"/>
    <w:link w:val="HeaderChar"/>
    <w:uiPriority w:val="99"/>
    <w:unhideWhenUsed/>
    <w:rsid w:val="00D04746"/>
    <w:pPr>
      <w:tabs>
        <w:tab w:val="center" w:pos="4513"/>
        <w:tab w:val="right" w:pos="9026"/>
      </w:tabs>
      <w:spacing w:after="180"/>
    </w:pPr>
    <w:rPr>
      <w:rFonts w:asciiTheme="majorHAnsi" w:hAnsiTheme="majorHAnsi"/>
      <w:b/>
      <w:caps/>
      <w:color w:val="53565A"/>
    </w:rPr>
  </w:style>
  <w:style w:type="character" w:customStyle="1" w:styleId="HeaderChar">
    <w:name w:val="Header Char"/>
    <w:basedOn w:val="DefaultParagraphFont"/>
    <w:link w:val="Header"/>
    <w:uiPriority w:val="99"/>
    <w:rsid w:val="00716810"/>
    <w:rPr>
      <w:rFonts w:asciiTheme="majorHAnsi" w:hAnsiTheme="majorHAnsi" w:cstheme="minorBidi"/>
      <w:b/>
      <w:caps/>
      <w:color w:val="53565A"/>
    </w:rPr>
  </w:style>
  <w:style w:type="paragraph" w:styleId="Footer">
    <w:name w:val="footer"/>
    <w:basedOn w:val="Normal"/>
    <w:link w:val="FooterChar"/>
    <w:uiPriority w:val="99"/>
    <w:rsid w:val="00D04746"/>
    <w:pPr>
      <w:pBdr>
        <w:top w:val="single" w:sz="6" w:space="1" w:color="auto"/>
      </w:pBdr>
      <w:tabs>
        <w:tab w:val="center" w:pos="4820"/>
        <w:tab w:val="right" w:pos="9639"/>
      </w:tabs>
    </w:pPr>
    <w:rPr>
      <w:rFonts w:asciiTheme="majorHAnsi" w:hAnsiTheme="majorHAnsi"/>
      <w:sz w:val="18"/>
    </w:rPr>
  </w:style>
  <w:style w:type="character" w:customStyle="1" w:styleId="FooterChar">
    <w:name w:val="Footer Char"/>
    <w:basedOn w:val="DefaultParagraphFont"/>
    <w:link w:val="Footer"/>
    <w:uiPriority w:val="99"/>
    <w:rsid w:val="003E00A3"/>
    <w:rPr>
      <w:rFonts w:asciiTheme="majorHAnsi" w:hAnsiTheme="majorHAnsi" w:cstheme="minorBidi"/>
      <w:sz w:val="18"/>
    </w:rPr>
  </w:style>
  <w:style w:type="paragraph" w:customStyle="1" w:styleId="Note">
    <w:name w:val="Note"/>
    <w:basedOn w:val="Normal"/>
    <w:link w:val="NoteChar"/>
    <w:uiPriority w:val="31"/>
    <w:qFormat/>
    <w:rsid w:val="00D04746"/>
    <w:pPr>
      <w:tabs>
        <w:tab w:val="left" w:pos="284"/>
      </w:tabs>
      <w:spacing w:before="60"/>
      <w:ind w:left="284" w:hanging="284"/>
      <w:contextualSpacing/>
    </w:pPr>
    <w:rPr>
      <w:rFonts w:asciiTheme="majorHAnsi" w:hAnsiTheme="majorHAnsi"/>
      <w:i/>
      <w:sz w:val="14"/>
    </w:rPr>
  </w:style>
  <w:style w:type="table" w:styleId="TableGrid">
    <w:name w:val="Table Grid"/>
    <w:basedOn w:val="TableNormal"/>
    <w:uiPriority w:val="59"/>
    <w:rsid w:val="00A133C0"/>
    <w:pPr>
      <w:spacing w:befor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TFTable">
    <w:name w:val="DTF Table"/>
    <w:basedOn w:val="TableNormal"/>
    <w:uiPriority w:val="99"/>
    <w:rsid w:val="00144A3A"/>
    <w:pPr>
      <w:spacing w:before="20" w:after="20"/>
      <w:jc w:val="right"/>
    </w:pPr>
    <w:rPr>
      <w:rFonts w:asciiTheme="majorHAnsi" w:eastAsia="MS Mincho" w:hAnsiTheme="majorHAnsi" w:cstheme="minorBidi"/>
      <w:sz w:val="17"/>
    </w:rPr>
    <w:tblPr>
      <w:tblStyleRowBandSize w:val="1"/>
      <w:tblStyleColBandSize w:val="1"/>
      <w:tblBorders>
        <w:bottom w:val="single" w:sz="12" w:space="0" w:color="auto"/>
      </w:tblBorders>
      <w:tblCellMar>
        <w:left w:w="57" w:type="dxa"/>
        <w:right w:w="57" w:type="dxa"/>
      </w:tblCellMar>
    </w:tblPr>
    <w:trPr>
      <w:cantSplit/>
    </w:trPr>
    <w:tblStylePr w:type="firstRow">
      <w:pPr>
        <w:keepNext/>
        <w:wordWrap/>
      </w:pPr>
      <w:rPr>
        <w:i/>
      </w:rPr>
      <w:tblPr/>
      <w:trPr>
        <w:cantSplit w:val="0"/>
      </w:trPr>
      <w:tcPr>
        <w:shd w:val="clear" w:color="auto" w:fill="000000" w:themeFill="text1"/>
        <w:vAlign w:val="bottom"/>
      </w:tcPr>
    </w:tblStylePr>
    <w:tblStylePr w:type="lastRow">
      <w:rPr>
        <w:b/>
      </w:rPr>
      <w:tblPr/>
      <w:tcPr>
        <w:tcBorders>
          <w:top w:val="single" w:sz="6" w:space="0" w:color="000000" w:themeColor="text1"/>
          <w:left w:val="nil"/>
          <w:bottom w:val="single" w:sz="12" w:space="0" w:color="000000" w:themeColor="text1"/>
          <w:right w:val="nil"/>
          <w:insideH w:val="nil"/>
          <w:insideV w:val="nil"/>
          <w:tl2br w:val="nil"/>
          <w:tr2bl w:val="nil"/>
        </w:tcBorders>
      </w:tcPr>
    </w:tblStylePr>
    <w:tblStylePr w:type="firstCol">
      <w:pPr>
        <w:wordWrap/>
        <w:spacing w:line="240" w:lineRule="auto"/>
        <w:ind w:leftChars="0" w:left="170" w:rightChars="0" w:right="0" w:firstLineChars="0" w:hanging="170"/>
        <w:jc w:val="left"/>
      </w:pPr>
    </w:tblStylePr>
    <w:tblStylePr w:type="lastCol">
      <w:rPr>
        <w:b/>
      </w:rPr>
      <w:tblPr/>
      <w:tcPr>
        <w:shd w:val="clear" w:color="auto" w:fill="F2F2F2" w:themeFill="background1" w:themeFillShade="F2"/>
      </w:tcPr>
    </w:tblStylePr>
    <w:tblStylePr w:type="band1Vert">
      <w:tblPr/>
      <w:tcPr>
        <w:shd w:val="clear" w:color="auto" w:fill="E8E8E8" w:themeFill="background2"/>
      </w:tcPr>
    </w:tblStylePr>
    <w:tblStylePr w:type="band1Horz">
      <w:tblPr/>
      <w:tcPr>
        <w:shd w:val="clear" w:color="auto" w:fill="E8E8E8" w:themeFill="background2"/>
      </w:tcPr>
    </w:tblStylePr>
    <w:tblStylePr w:type="band2Horz">
      <w:tblPr/>
      <w:tcPr>
        <w:shd w:val="clear" w:color="auto" w:fill="FFFFFF" w:themeFill="background1"/>
      </w:tcPr>
    </w:tblStylePr>
  </w:style>
  <w:style w:type="paragraph" w:customStyle="1" w:styleId="Source">
    <w:name w:val="Source"/>
    <w:basedOn w:val="Note"/>
    <w:link w:val="SourceChar"/>
    <w:uiPriority w:val="30"/>
    <w:qFormat/>
    <w:rsid w:val="00D04746"/>
    <w:pPr>
      <w:tabs>
        <w:tab w:val="clear" w:pos="284"/>
      </w:tabs>
      <w:spacing w:after="60"/>
      <w:ind w:left="0" w:firstLine="0"/>
    </w:pPr>
  </w:style>
  <w:style w:type="paragraph" w:customStyle="1" w:styleId="ChapterTitle">
    <w:name w:val="Chapter Title"/>
    <w:next w:val="Normal"/>
    <w:uiPriority w:val="89"/>
    <w:qFormat/>
    <w:rsid w:val="00F85420"/>
    <w:pPr>
      <w:pageBreakBefore/>
      <w:pBdr>
        <w:bottom w:val="single" w:sz="12" w:space="1" w:color="auto"/>
      </w:pBdr>
      <w:spacing w:before="1200" w:after="360"/>
      <w:outlineLvl w:val="0"/>
    </w:pPr>
    <w:rPr>
      <w:rFonts w:asciiTheme="majorHAnsi" w:hAnsiTheme="majorHAnsi"/>
      <w:b/>
      <w:caps/>
      <w:sz w:val="36"/>
    </w:rPr>
  </w:style>
  <w:style w:type="paragraph" w:styleId="FootnoteText">
    <w:name w:val="footnote text"/>
    <w:basedOn w:val="Normal"/>
    <w:link w:val="FootnoteTextChar"/>
    <w:uiPriority w:val="99"/>
    <w:qFormat/>
    <w:rsid w:val="00D04746"/>
    <w:pPr>
      <w:spacing w:before="40"/>
    </w:pPr>
    <w:rPr>
      <w:rFonts w:eastAsiaTheme="minorEastAsia"/>
      <w:sz w:val="20"/>
      <w:lang w:val="en-US" w:eastAsia="ja-JP"/>
    </w:rPr>
  </w:style>
  <w:style w:type="character" w:customStyle="1" w:styleId="FootnoteTextChar">
    <w:name w:val="Footnote Text Char"/>
    <w:basedOn w:val="DefaultParagraphFont"/>
    <w:link w:val="FootnoteText"/>
    <w:uiPriority w:val="99"/>
    <w:rsid w:val="008809C5"/>
    <w:rPr>
      <w:rFonts w:eastAsiaTheme="minorEastAsia" w:cstheme="minorBidi"/>
      <w:sz w:val="20"/>
      <w:lang w:val="en-US" w:eastAsia="ja-JP"/>
    </w:rPr>
  </w:style>
  <w:style w:type="character" w:styleId="FootnoteReference">
    <w:name w:val="footnote reference"/>
    <w:basedOn w:val="DefaultParagraphFont"/>
    <w:uiPriority w:val="99"/>
    <w:unhideWhenUsed/>
    <w:rsid w:val="008809C5"/>
    <w:rPr>
      <w:vertAlign w:val="superscript"/>
    </w:rPr>
  </w:style>
  <w:style w:type="paragraph" w:styleId="TOC1">
    <w:name w:val="toc 1"/>
    <w:basedOn w:val="Normal"/>
    <w:next w:val="Normal"/>
    <w:uiPriority w:val="39"/>
    <w:unhideWhenUsed/>
    <w:rsid w:val="00D04746"/>
    <w:pPr>
      <w:keepNext/>
      <w:tabs>
        <w:tab w:val="right" w:leader="dot" w:pos="9639"/>
      </w:tabs>
    </w:pPr>
    <w:rPr>
      <w:rFonts w:asciiTheme="majorHAnsi" w:hAnsiTheme="majorHAnsi"/>
      <w:b/>
    </w:rPr>
  </w:style>
  <w:style w:type="paragraph" w:styleId="TOC2">
    <w:name w:val="toc 2"/>
    <w:basedOn w:val="TOC1"/>
    <w:uiPriority w:val="39"/>
    <w:unhideWhenUsed/>
    <w:rsid w:val="00C87FDE"/>
    <w:pPr>
      <w:spacing w:before="80"/>
      <w:ind w:left="576" w:hanging="288"/>
    </w:pPr>
    <w:rPr>
      <w:b w:val="0"/>
    </w:rPr>
  </w:style>
  <w:style w:type="character" w:styleId="Hyperlink">
    <w:name w:val="Hyperlink"/>
    <w:uiPriority w:val="99"/>
    <w:rsid w:val="00D04746"/>
    <w:rPr>
      <w:color w:val="0000FF"/>
      <w:u w:val="single"/>
    </w:rPr>
  </w:style>
  <w:style w:type="paragraph" w:styleId="Revision">
    <w:name w:val="Revision"/>
    <w:hidden/>
    <w:uiPriority w:val="99"/>
    <w:semiHidden/>
    <w:rsid w:val="00CB7EDE"/>
    <w:pPr>
      <w:spacing w:before="0"/>
    </w:pPr>
  </w:style>
  <w:style w:type="character" w:styleId="CommentReference">
    <w:name w:val="annotation reference"/>
    <w:basedOn w:val="DefaultParagraphFont"/>
    <w:uiPriority w:val="99"/>
    <w:semiHidden/>
    <w:unhideWhenUsed/>
    <w:rsid w:val="006B1402"/>
    <w:rPr>
      <w:sz w:val="16"/>
      <w:szCs w:val="16"/>
    </w:rPr>
  </w:style>
  <w:style w:type="paragraph" w:styleId="CommentText">
    <w:name w:val="annotation text"/>
    <w:basedOn w:val="Normal"/>
    <w:link w:val="CommentTextChar"/>
    <w:uiPriority w:val="99"/>
    <w:unhideWhenUsed/>
    <w:rsid w:val="006B1402"/>
    <w:rPr>
      <w:sz w:val="20"/>
      <w:szCs w:val="20"/>
    </w:rPr>
  </w:style>
  <w:style w:type="character" w:customStyle="1" w:styleId="CommentTextChar">
    <w:name w:val="Comment Text Char"/>
    <w:basedOn w:val="DefaultParagraphFont"/>
    <w:link w:val="CommentText"/>
    <w:uiPriority w:val="99"/>
    <w:rsid w:val="006B1402"/>
    <w:rPr>
      <w:sz w:val="20"/>
      <w:szCs w:val="20"/>
    </w:rPr>
  </w:style>
  <w:style w:type="paragraph" w:styleId="CommentSubject">
    <w:name w:val="annotation subject"/>
    <w:basedOn w:val="Normal"/>
    <w:next w:val="Normal"/>
    <w:link w:val="CommentSubjectChar"/>
    <w:uiPriority w:val="99"/>
    <w:semiHidden/>
    <w:unhideWhenUsed/>
    <w:rsid w:val="00D04746"/>
    <w:rPr>
      <w:b/>
      <w:bCs/>
    </w:rPr>
  </w:style>
  <w:style w:type="character" w:customStyle="1" w:styleId="CommentSubjectChar">
    <w:name w:val="Comment Subject Char"/>
    <w:basedOn w:val="CommentTextChar"/>
    <w:link w:val="CommentSubject"/>
    <w:uiPriority w:val="99"/>
    <w:semiHidden/>
    <w:rsid w:val="006B1402"/>
    <w:rPr>
      <w:rFonts w:cstheme="minorBidi"/>
      <w:b/>
      <w:bCs/>
      <w:sz w:val="20"/>
      <w:szCs w:val="20"/>
    </w:rPr>
  </w:style>
  <w:style w:type="character" w:styleId="UnresolvedMention">
    <w:name w:val="Unresolved Mention"/>
    <w:basedOn w:val="DefaultParagraphFont"/>
    <w:uiPriority w:val="99"/>
    <w:unhideWhenUsed/>
    <w:rsid w:val="006B1402"/>
    <w:rPr>
      <w:color w:val="605E5C"/>
      <w:shd w:val="clear" w:color="auto" w:fill="E1DFDD"/>
    </w:rPr>
  </w:style>
  <w:style w:type="character" w:styleId="Mention">
    <w:name w:val="Mention"/>
    <w:basedOn w:val="DefaultParagraphFont"/>
    <w:uiPriority w:val="99"/>
    <w:rsid w:val="00E821C9"/>
    <w:rPr>
      <w:color w:val="2B579A"/>
      <w:shd w:val="clear" w:color="auto" w:fill="E1DFDD"/>
    </w:rPr>
  </w:style>
  <w:style w:type="table" w:customStyle="1" w:styleId="DTFTableNumeric">
    <w:name w:val="DTF Table [Numeric]"/>
    <w:basedOn w:val="TableNormal"/>
    <w:uiPriority w:val="99"/>
    <w:rsid w:val="00A87D50"/>
    <w:pPr>
      <w:spacing w:before="20" w:after="20"/>
      <w:jc w:val="right"/>
    </w:pPr>
    <w:rPr>
      <w:rFonts w:asciiTheme="majorHAnsi" w:hAnsiTheme="majorHAnsi" w:cstheme="minorBidi"/>
      <w:sz w:val="17"/>
    </w:rPr>
    <w:tblPr>
      <w:tblBorders>
        <w:bottom w:val="single" w:sz="12" w:space="0" w:color="auto"/>
      </w:tblBorders>
      <w:tblCellMar>
        <w:left w:w="57" w:type="dxa"/>
        <w:right w:w="57" w:type="dxa"/>
      </w:tblCellMar>
    </w:tblPr>
    <w:tblStylePr w:type="firstRow">
      <w:rPr>
        <w:i/>
      </w:rPr>
      <w:tblPr/>
      <w:tcPr>
        <w:tcBorders>
          <w:top w:val="nil"/>
          <w:left w:val="nil"/>
          <w:bottom w:val="nil"/>
          <w:right w:val="nil"/>
          <w:insideH w:val="nil"/>
          <w:insideV w:val="nil"/>
          <w:tl2br w:val="nil"/>
          <w:tr2bl w:val="nil"/>
        </w:tcBorders>
        <w:shd w:val="clear" w:color="auto" w:fill="000000" w:themeFill="text1"/>
        <w:vAlign w:val="bottom"/>
      </w:tcPr>
    </w:tblStylePr>
    <w:tblStylePr w:type="lastRow">
      <w:rPr>
        <w:b/>
      </w:rPr>
      <w:tblPr/>
      <w:tcPr>
        <w:tcBorders>
          <w:top w:val="single" w:sz="4" w:space="0" w:color="auto"/>
          <w:bottom w:val="single" w:sz="12" w:space="0" w:color="auto"/>
        </w:tcBorders>
      </w:tcPr>
    </w:tblStylePr>
    <w:tblStylePr w:type="firstCol">
      <w:pPr>
        <w:wordWrap/>
        <w:ind w:leftChars="0" w:left="170" w:firstLineChars="0" w:hanging="170"/>
        <w:jc w:val="left"/>
      </w:pPr>
    </w:tblStylePr>
  </w:style>
  <w:style w:type="character" w:customStyle="1" w:styleId="NoteChar">
    <w:name w:val="Note Char"/>
    <w:basedOn w:val="DefaultParagraphFont"/>
    <w:link w:val="Note"/>
    <w:uiPriority w:val="31"/>
    <w:rsid w:val="00A92031"/>
    <w:rPr>
      <w:rFonts w:asciiTheme="majorHAnsi" w:hAnsiTheme="majorHAnsi" w:cstheme="minorBidi"/>
      <w:i/>
      <w:sz w:val="14"/>
    </w:rPr>
  </w:style>
  <w:style w:type="character" w:customStyle="1" w:styleId="SourceChar">
    <w:name w:val="Source Char"/>
    <w:link w:val="Source"/>
    <w:uiPriority w:val="30"/>
    <w:locked/>
    <w:rsid w:val="00A92031"/>
    <w:rPr>
      <w:rFonts w:asciiTheme="majorHAnsi" w:hAnsiTheme="majorHAnsi" w:cstheme="minorBidi"/>
      <w:i/>
      <w:sz w:val="14"/>
    </w:rPr>
  </w:style>
  <w:style w:type="paragraph" w:customStyle="1" w:styleId="HiddenID">
    <w:name w:val="Hidden ID"/>
    <w:basedOn w:val="Normal"/>
    <w:link w:val="HiddenIDChar"/>
    <w:qFormat/>
    <w:rsid w:val="00A92031"/>
    <w:rPr>
      <w:vanish/>
      <w:color w:val="FF0000"/>
    </w:rPr>
  </w:style>
  <w:style w:type="character" w:customStyle="1" w:styleId="HiddenIDChar">
    <w:name w:val="Hidden ID Char"/>
    <w:basedOn w:val="DefaultParagraphFont"/>
    <w:link w:val="HiddenID"/>
    <w:rsid w:val="00A92031"/>
    <w:rPr>
      <w:vanish/>
      <w:color w:val="FF0000"/>
    </w:rPr>
  </w:style>
  <w:style w:type="paragraph" w:customStyle="1" w:styleId="AggregateCode">
    <w:name w:val="Aggregate Code"/>
    <w:basedOn w:val="Normal"/>
    <w:link w:val="AggregateCodeChar"/>
    <w:qFormat/>
    <w:rsid w:val="00A92031"/>
    <w:pPr>
      <w:spacing w:before="180" w:after="60" w:line="264" w:lineRule="auto"/>
    </w:pPr>
    <w:rPr>
      <w:vanish/>
      <w:color w:val="FF0000"/>
      <w:spacing w:val="2"/>
      <w:sz w:val="24"/>
      <w:szCs w:val="20"/>
    </w:rPr>
  </w:style>
  <w:style w:type="character" w:customStyle="1" w:styleId="AggregateCodeChar">
    <w:name w:val="Aggregate Code Char"/>
    <w:basedOn w:val="DefaultParagraphFont"/>
    <w:link w:val="AggregateCode"/>
    <w:rsid w:val="00A92031"/>
    <w:rPr>
      <w:rFonts w:cstheme="minorBidi"/>
      <w:vanish/>
      <w:color w:val="FF0000"/>
      <w:spacing w:val="2"/>
      <w:sz w:val="24"/>
      <w:szCs w:val="20"/>
    </w:rPr>
  </w:style>
  <w:style w:type="paragraph" w:customStyle="1" w:styleId="ShadedBoxText">
    <w:name w:val="Shaded Box Text"/>
    <w:basedOn w:val="Normal"/>
    <w:uiPriority w:val="36"/>
    <w:qFormat/>
    <w:rsid w:val="00D04746"/>
    <w:pPr>
      <w:pBdr>
        <w:top w:val="single" w:sz="6" w:space="3" w:color="auto"/>
        <w:left w:val="single" w:sz="6" w:space="4" w:color="auto"/>
        <w:bottom w:val="single" w:sz="6" w:space="3" w:color="auto"/>
        <w:right w:val="single" w:sz="6" w:space="4" w:color="auto"/>
      </w:pBdr>
      <w:shd w:val="clear" w:color="auto" w:fill="F2F2F2" w:themeFill="background1" w:themeFillShade="F2"/>
    </w:pPr>
  </w:style>
  <w:style w:type="paragraph" w:styleId="NormalWeb">
    <w:name w:val="Normal (Web)"/>
    <w:basedOn w:val="Normal"/>
    <w:uiPriority w:val="99"/>
    <w:semiHidden/>
    <w:unhideWhenUsed/>
    <w:rsid w:val="008C6078"/>
    <w:rPr>
      <w:rFonts w:ascii="Times New Roman" w:hAnsi="Times New Roman"/>
      <w:sz w:val="24"/>
      <w:szCs w:val="24"/>
    </w:rPr>
  </w:style>
  <w:style w:type="paragraph" w:customStyle="1" w:styleId="ChapterHeading">
    <w:name w:val="Chapter Heading"/>
    <w:basedOn w:val="Normal"/>
    <w:uiPriority w:val="99"/>
    <w:qFormat/>
    <w:rsid w:val="00E47D5E"/>
    <w:pPr>
      <w:keepNext/>
      <w:pBdr>
        <w:bottom w:val="single" w:sz="12" w:space="1" w:color="auto"/>
      </w:pBdr>
      <w:spacing w:before="1440" w:after="360"/>
      <w:outlineLvl w:val="0"/>
    </w:pPr>
    <w:rPr>
      <w:rFonts w:asciiTheme="majorHAnsi" w:hAnsiTheme="majorHAnsi"/>
      <w:b/>
      <w:caps/>
      <w:sz w:val="36"/>
    </w:rPr>
  </w:style>
  <w:style w:type="paragraph" w:customStyle="1" w:styleId="ControlledEntitiesDepartment">
    <w:name w:val="Controlled Entities Department"/>
    <w:basedOn w:val="Normal"/>
    <w:next w:val="Normal"/>
    <w:uiPriority w:val="97"/>
    <w:qFormat/>
    <w:rsid w:val="00E47D5E"/>
    <w:pPr>
      <w:shd w:val="clear" w:color="auto" w:fill="D9D9D9" w:themeFill="background1" w:themeFillShade="D9"/>
      <w:spacing w:before="40" w:after="20"/>
      <w:ind w:left="170" w:hanging="170"/>
    </w:pPr>
    <w:rPr>
      <w:rFonts w:asciiTheme="majorHAnsi" w:hAnsiTheme="majorHAnsi"/>
      <w:b/>
      <w:bCs/>
      <w:sz w:val="18"/>
    </w:rPr>
  </w:style>
  <w:style w:type="paragraph" w:styleId="Date">
    <w:name w:val="Date"/>
    <w:basedOn w:val="Normal"/>
    <w:next w:val="Normal"/>
    <w:link w:val="DateChar"/>
    <w:uiPriority w:val="99"/>
    <w:semiHidden/>
    <w:unhideWhenUsed/>
    <w:rsid w:val="00E47D5E"/>
    <w:rPr>
      <w:rFonts w:eastAsia="MS Mincho"/>
    </w:rPr>
  </w:style>
  <w:style w:type="character" w:customStyle="1" w:styleId="DateChar">
    <w:name w:val="Date Char"/>
    <w:basedOn w:val="DefaultParagraphFont"/>
    <w:link w:val="Date"/>
    <w:uiPriority w:val="99"/>
    <w:semiHidden/>
    <w:rsid w:val="00E47D5E"/>
    <w:rPr>
      <w:rFonts w:eastAsia="MS Mincho" w:cstheme="minorBidi"/>
    </w:rPr>
  </w:style>
  <w:style w:type="paragraph" w:styleId="DocumentMap">
    <w:name w:val="Document Map"/>
    <w:basedOn w:val="Normal"/>
    <w:link w:val="DocumentMapChar"/>
    <w:uiPriority w:val="99"/>
    <w:semiHidden/>
    <w:unhideWhenUsed/>
    <w:rsid w:val="00E47D5E"/>
    <w:rPr>
      <w:rFonts w:ascii="Tahoma" w:eastAsia="MS Mincho" w:hAnsi="Tahoma" w:cs="Tahoma"/>
      <w:sz w:val="16"/>
      <w:szCs w:val="16"/>
    </w:rPr>
  </w:style>
  <w:style w:type="character" w:customStyle="1" w:styleId="DocumentMapChar">
    <w:name w:val="Document Map Char"/>
    <w:basedOn w:val="DefaultParagraphFont"/>
    <w:link w:val="DocumentMap"/>
    <w:uiPriority w:val="99"/>
    <w:semiHidden/>
    <w:rsid w:val="00E47D5E"/>
    <w:rPr>
      <w:rFonts w:ascii="Tahoma" w:eastAsia="MS Mincho" w:hAnsi="Tahoma" w:cs="Tahoma"/>
      <w:sz w:val="16"/>
      <w:szCs w:val="16"/>
    </w:rPr>
  </w:style>
  <w:style w:type="table" w:customStyle="1" w:styleId="DTFTableShadedText">
    <w:name w:val="DTF Table [Shaded Text]"/>
    <w:basedOn w:val="DTFTableText"/>
    <w:uiPriority w:val="99"/>
    <w:rsid w:val="00E47D5E"/>
    <w:tblPr>
      <w:tblBorders>
        <w:top w:val="single" w:sz="6" w:space="0" w:color="auto"/>
        <w:bottom w:val="none" w:sz="0" w:space="0" w:color="auto"/>
      </w:tblBorders>
    </w:tblPr>
    <w:tblStylePr w:type="firstRow">
      <w:pPr>
        <w:jc w:val="left"/>
      </w:pPr>
      <w:rPr>
        <w:i/>
      </w:rPr>
      <w:tblPr/>
      <w:tcPr>
        <w:tcBorders>
          <w:top w:val="nil"/>
          <w:left w:val="nil"/>
          <w:bottom w:val="nil"/>
          <w:right w:val="nil"/>
          <w:insideH w:val="nil"/>
          <w:insideV w:val="nil"/>
          <w:tl2br w:val="nil"/>
          <w:tr2bl w:val="nil"/>
        </w:tcBorders>
        <w:shd w:val="clear" w:color="auto" w:fill="000000" w:themeFill="text1"/>
        <w:vAlign w:val="bottom"/>
      </w:tcPr>
    </w:tblStylePr>
    <w:tblStylePr w:type="lastRow">
      <w:rPr>
        <w:b/>
      </w:rPr>
      <w:tblPr/>
      <w:tcPr>
        <w:tcBorders>
          <w:top w:val="single" w:sz="6" w:space="0" w:color="auto"/>
          <w:left w:val="nil"/>
          <w:bottom w:val="single" w:sz="6" w:space="0" w:color="auto"/>
          <w:right w:val="nil"/>
          <w:insideH w:val="nil"/>
          <w:insideV w:val="nil"/>
          <w:tl2br w:val="nil"/>
          <w:tr2bl w:val="nil"/>
        </w:tcBorders>
      </w:tcPr>
    </w:tblStylePr>
    <w:tblStylePr w:type="firstCol">
      <w:rPr>
        <w:b/>
      </w:rPr>
    </w:tblStylePr>
    <w:tblStylePr w:type="lastCol">
      <w:rPr>
        <w:b/>
      </w:rPr>
    </w:tblStylePr>
    <w:tblStylePr w:type="band2Vert">
      <w:tblPr/>
      <w:tcPr>
        <w:tcBorders>
          <w:top w:val="nil"/>
          <w:left w:val="single" w:sz="6" w:space="0" w:color="auto"/>
          <w:bottom w:val="single" w:sz="6" w:space="0" w:color="auto"/>
          <w:right w:val="single" w:sz="6" w:space="0" w:color="auto"/>
          <w:insideH w:val="nil"/>
          <w:insideV w:val="nil"/>
          <w:tl2br w:val="nil"/>
          <w:tr2bl w:val="nil"/>
        </w:tcBorders>
      </w:tcPr>
    </w:tblStylePr>
    <w:tblStylePr w:type="band1Horz">
      <w:tblPr/>
      <w:tcPr>
        <w:tcBorders>
          <w:top w:val="nil"/>
          <w:left w:val="nil"/>
          <w:bottom w:val="single" w:sz="6" w:space="0" w:color="auto"/>
          <w:right w:val="nil"/>
          <w:insideH w:val="nil"/>
          <w:insideV w:val="nil"/>
          <w:tl2br w:val="nil"/>
          <w:tr2bl w:val="nil"/>
        </w:tcBorders>
      </w:tcPr>
    </w:tblStylePr>
    <w:tblStylePr w:type="band2Horz">
      <w:tblPr/>
      <w:tcPr>
        <w:tcBorders>
          <w:top w:val="nil"/>
          <w:left w:val="nil"/>
          <w:bottom w:val="single" w:sz="6" w:space="0" w:color="auto"/>
          <w:right w:val="nil"/>
          <w:insideH w:val="nil"/>
          <w:insideV w:val="nil"/>
          <w:tl2br w:val="nil"/>
          <w:tr2bl w:val="nil"/>
        </w:tcBorders>
      </w:tcPr>
    </w:tblStylePr>
  </w:style>
  <w:style w:type="character" w:styleId="EndnoteReference">
    <w:name w:val="endnote reference"/>
    <w:basedOn w:val="DefaultParagraphFont"/>
    <w:uiPriority w:val="99"/>
    <w:semiHidden/>
    <w:unhideWhenUsed/>
    <w:rsid w:val="00E47D5E"/>
    <w:rPr>
      <w:vertAlign w:val="superscript"/>
    </w:rPr>
  </w:style>
  <w:style w:type="paragraph" w:styleId="EndnoteText">
    <w:name w:val="endnote text"/>
    <w:basedOn w:val="Normal"/>
    <w:link w:val="EndnoteTextChar"/>
    <w:uiPriority w:val="99"/>
    <w:semiHidden/>
    <w:unhideWhenUsed/>
    <w:rsid w:val="00E47D5E"/>
    <w:rPr>
      <w:rFonts w:eastAsia="MS Mincho"/>
      <w:sz w:val="20"/>
      <w:szCs w:val="20"/>
    </w:rPr>
  </w:style>
  <w:style w:type="character" w:customStyle="1" w:styleId="EndnoteTextChar">
    <w:name w:val="Endnote Text Char"/>
    <w:basedOn w:val="DefaultParagraphFont"/>
    <w:link w:val="EndnoteText"/>
    <w:uiPriority w:val="99"/>
    <w:semiHidden/>
    <w:rsid w:val="00E47D5E"/>
    <w:rPr>
      <w:rFonts w:eastAsia="MS Mincho" w:cstheme="minorBidi"/>
      <w:sz w:val="20"/>
      <w:szCs w:val="20"/>
    </w:rPr>
  </w:style>
  <w:style w:type="character" w:styleId="FollowedHyperlink">
    <w:name w:val="FollowedHyperlink"/>
    <w:basedOn w:val="DefaultParagraphFont"/>
    <w:uiPriority w:val="99"/>
    <w:semiHidden/>
    <w:unhideWhenUsed/>
    <w:rsid w:val="00E47D5E"/>
    <w:rPr>
      <w:color w:val="96607D" w:themeColor="followedHyperlink"/>
      <w:u w:val="single"/>
    </w:rPr>
  </w:style>
  <w:style w:type="paragraph" w:customStyle="1" w:styleId="FooterEvenPage">
    <w:name w:val="Footer [Even Page]"/>
    <w:basedOn w:val="Normal"/>
    <w:uiPriority w:val="99"/>
    <w:qFormat/>
    <w:rsid w:val="00E47D5E"/>
    <w:pPr>
      <w:pBdr>
        <w:top w:val="single" w:sz="6" w:space="1" w:color="auto"/>
      </w:pBdr>
      <w:tabs>
        <w:tab w:val="center" w:pos="2835"/>
        <w:tab w:val="right" w:pos="7711"/>
      </w:tabs>
    </w:pPr>
    <w:rPr>
      <w:rFonts w:asciiTheme="majorHAnsi" w:hAnsiTheme="majorHAnsi"/>
      <w:sz w:val="18"/>
    </w:rPr>
  </w:style>
  <w:style w:type="paragraph" w:customStyle="1" w:styleId="FooterOddPage">
    <w:name w:val="Footer [Odd Page]"/>
    <w:basedOn w:val="Normal"/>
    <w:uiPriority w:val="99"/>
    <w:qFormat/>
    <w:rsid w:val="00E47D5E"/>
    <w:pPr>
      <w:pBdr>
        <w:top w:val="single" w:sz="6" w:space="1" w:color="auto"/>
      </w:pBdr>
      <w:tabs>
        <w:tab w:val="center" w:pos="4820"/>
        <w:tab w:val="right" w:pos="7711"/>
      </w:tabs>
    </w:pPr>
    <w:rPr>
      <w:rFonts w:asciiTheme="majorHAnsi" w:hAnsiTheme="majorHAnsi"/>
      <w:sz w:val="18"/>
    </w:rPr>
  </w:style>
  <w:style w:type="paragraph" w:customStyle="1" w:styleId="HeadingContents">
    <w:name w:val="Heading [Contents]"/>
    <w:basedOn w:val="ChapterHeading"/>
    <w:next w:val="Normal"/>
    <w:uiPriority w:val="99"/>
    <w:semiHidden/>
    <w:rsid w:val="00E47D5E"/>
    <w:pPr>
      <w:keepLines w:val="0"/>
      <w:pBdr>
        <w:bottom w:val="single" w:sz="12" w:space="7" w:color="auto"/>
      </w:pBdr>
    </w:pPr>
    <w:rPr>
      <w:rFonts w:ascii="Calibri" w:eastAsia="Times New Roman" w:hAnsi="Calibri" w:cs="Times New Roman"/>
      <w:b w:val="0"/>
      <w:caps w:val="0"/>
      <w:sz w:val="38"/>
      <w:szCs w:val="28"/>
    </w:rPr>
  </w:style>
  <w:style w:type="paragraph" w:customStyle="1" w:styleId="ShadedBoxSource">
    <w:name w:val="Shaded Box Source"/>
    <w:basedOn w:val="ShadedBoxNote"/>
    <w:uiPriority w:val="36"/>
    <w:qFormat/>
    <w:rsid w:val="00E47D5E"/>
    <w:pPr>
      <w:spacing w:after="120"/>
    </w:pPr>
  </w:style>
  <w:style w:type="paragraph" w:styleId="Index1">
    <w:name w:val="index 1"/>
    <w:basedOn w:val="Normal"/>
    <w:next w:val="Normal"/>
    <w:uiPriority w:val="99"/>
    <w:semiHidden/>
    <w:rsid w:val="00E47D5E"/>
    <w:pPr>
      <w:spacing w:before="0"/>
      <w:ind w:left="220" w:hanging="220"/>
    </w:pPr>
    <w:rPr>
      <w:rFonts w:asciiTheme="majorHAnsi" w:hAnsiTheme="majorHAnsi"/>
      <w:sz w:val="18"/>
      <w:szCs w:val="18"/>
    </w:rPr>
  </w:style>
  <w:style w:type="paragraph" w:styleId="Index2">
    <w:name w:val="index 2"/>
    <w:basedOn w:val="Normal"/>
    <w:next w:val="Normal"/>
    <w:uiPriority w:val="99"/>
    <w:semiHidden/>
    <w:rsid w:val="00E47D5E"/>
    <w:pPr>
      <w:spacing w:before="0"/>
      <w:ind w:left="440" w:hanging="220"/>
    </w:pPr>
    <w:rPr>
      <w:rFonts w:asciiTheme="majorHAnsi" w:hAnsiTheme="majorHAnsi"/>
      <w:sz w:val="18"/>
      <w:szCs w:val="18"/>
    </w:rPr>
  </w:style>
  <w:style w:type="paragraph" w:styleId="Index3">
    <w:name w:val="index 3"/>
    <w:basedOn w:val="Normal"/>
    <w:next w:val="Normal"/>
    <w:autoRedefine/>
    <w:uiPriority w:val="99"/>
    <w:semiHidden/>
    <w:rsid w:val="00E47D5E"/>
    <w:pPr>
      <w:spacing w:before="0"/>
      <w:ind w:left="660" w:hanging="220"/>
    </w:pPr>
    <w:rPr>
      <w:sz w:val="18"/>
      <w:szCs w:val="18"/>
    </w:rPr>
  </w:style>
  <w:style w:type="paragraph" w:styleId="Index4">
    <w:name w:val="index 4"/>
    <w:basedOn w:val="Normal"/>
    <w:next w:val="Normal"/>
    <w:autoRedefine/>
    <w:uiPriority w:val="99"/>
    <w:semiHidden/>
    <w:unhideWhenUsed/>
    <w:rsid w:val="00E47D5E"/>
    <w:pPr>
      <w:ind w:left="880" w:hanging="220"/>
    </w:pPr>
    <w:rPr>
      <w:rFonts w:eastAsia="MS Mincho"/>
    </w:rPr>
  </w:style>
  <w:style w:type="paragraph" w:styleId="Index5">
    <w:name w:val="index 5"/>
    <w:basedOn w:val="Normal"/>
    <w:next w:val="Normal"/>
    <w:autoRedefine/>
    <w:uiPriority w:val="99"/>
    <w:semiHidden/>
    <w:unhideWhenUsed/>
    <w:rsid w:val="00E47D5E"/>
    <w:pPr>
      <w:ind w:left="1100" w:hanging="220"/>
    </w:pPr>
    <w:rPr>
      <w:rFonts w:eastAsia="MS Mincho"/>
    </w:rPr>
  </w:style>
  <w:style w:type="paragraph" w:styleId="IndexHeading">
    <w:name w:val="index heading"/>
    <w:basedOn w:val="Normal"/>
    <w:next w:val="Index1"/>
    <w:uiPriority w:val="99"/>
    <w:semiHidden/>
    <w:rsid w:val="00E47D5E"/>
    <w:pPr>
      <w:spacing w:before="240" w:after="120"/>
      <w:jc w:val="center"/>
    </w:pPr>
    <w:rPr>
      <w:rFonts w:asciiTheme="majorHAnsi" w:hAnsiTheme="majorHAnsi"/>
      <w:b/>
      <w:bCs/>
      <w:sz w:val="26"/>
      <w:szCs w:val="26"/>
    </w:rPr>
  </w:style>
  <w:style w:type="paragraph" w:styleId="List2">
    <w:name w:val="List 2"/>
    <w:basedOn w:val="Normal"/>
    <w:uiPriority w:val="29"/>
    <w:semiHidden/>
    <w:rsid w:val="00E47D5E"/>
    <w:pPr>
      <w:ind w:left="566" w:hanging="283"/>
      <w:contextualSpacing/>
    </w:pPr>
    <w:rPr>
      <w:rFonts w:eastAsia="MS Mincho"/>
    </w:rPr>
  </w:style>
  <w:style w:type="paragraph" w:styleId="List3">
    <w:name w:val="List 3"/>
    <w:basedOn w:val="Normal"/>
    <w:uiPriority w:val="29"/>
    <w:semiHidden/>
    <w:unhideWhenUsed/>
    <w:rsid w:val="00E47D5E"/>
    <w:pPr>
      <w:ind w:left="849" w:hanging="283"/>
      <w:contextualSpacing/>
    </w:pPr>
    <w:rPr>
      <w:rFonts w:eastAsia="MS Mincho"/>
    </w:rPr>
  </w:style>
  <w:style w:type="paragraph" w:styleId="List4">
    <w:name w:val="List 4"/>
    <w:basedOn w:val="Normal"/>
    <w:uiPriority w:val="29"/>
    <w:semiHidden/>
    <w:unhideWhenUsed/>
    <w:rsid w:val="00E47D5E"/>
    <w:pPr>
      <w:ind w:left="1132" w:hanging="283"/>
      <w:contextualSpacing/>
    </w:pPr>
    <w:rPr>
      <w:rFonts w:eastAsia="MS Mincho"/>
    </w:rPr>
  </w:style>
  <w:style w:type="paragraph" w:styleId="List5">
    <w:name w:val="List 5"/>
    <w:basedOn w:val="Normal"/>
    <w:uiPriority w:val="29"/>
    <w:semiHidden/>
    <w:unhideWhenUsed/>
    <w:rsid w:val="00E47D5E"/>
    <w:pPr>
      <w:ind w:left="1415" w:hanging="283"/>
      <w:contextualSpacing/>
    </w:pPr>
    <w:rPr>
      <w:rFonts w:eastAsia="MS Mincho"/>
    </w:rPr>
  </w:style>
  <w:style w:type="paragraph" w:customStyle="1" w:styleId="ListAlpha">
    <w:name w:val="List Alpha"/>
    <w:uiPriority w:val="20"/>
    <w:qFormat/>
    <w:rsid w:val="00EB6BD5"/>
    <w:pPr>
      <w:numPr>
        <w:numId w:val="2"/>
      </w:numPr>
      <w:spacing w:before="60" w:after="60"/>
    </w:pPr>
    <w:rPr>
      <w:rFonts w:eastAsia="MS Mincho" w:cstheme="minorBidi"/>
    </w:rPr>
  </w:style>
  <w:style w:type="paragraph" w:customStyle="1" w:styleId="ListAlpha2">
    <w:name w:val="List Alpha 2"/>
    <w:basedOn w:val="ListAlpha"/>
    <w:uiPriority w:val="20"/>
    <w:qFormat/>
    <w:rsid w:val="00EB6BD5"/>
    <w:pPr>
      <w:numPr>
        <w:ilvl w:val="1"/>
      </w:numPr>
    </w:pPr>
  </w:style>
  <w:style w:type="paragraph" w:customStyle="1" w:styleId="ListAlpha3">
    <w:name w:val="List Alpha 3"/>
    <w:basedOn w:val="ListAlpha2"/>
    <w:uiPriority w:val="20"/>
    <w:qFormat/>
    <w:rsid w:val="00EB6BD5"/>
    <w:pPr>
      <w:numPr>
        <w:ilvl w:val="2"/>
      </w:numPr>
    </w:pPr>
  </w:style>
  <w:style w:type="numbering" w:customStyle="1" w:styleId="ListAlphaStyle">
    <w:name w:val="List Alpha Style"/>
    <w:uiPriority w:val="99"/>
    <w:rsid w:val="00E47D5E"/>
  </w:style>
  <w:style w:type="paragraph" w:styleId="ListBullet">
    <w:name w:val="List Bullet"/>
    <w:uiPriority w:val="19"/>
    <w:qFormat/>
    <w:rsid w:val="00EB6BD5"/>
    <w:pPr>
      <w:keepLines/>
      <w:numPr>
        <w:numId w:val="16"/>
      </w:numPr>
      <w:spacing w:before="60" w:after="60"/>
    </w:pPr>
    <w:rPr>
      <w:rFonts w:cstheme="minorBidi"/>
    </w:rPr>
  </w:style>
  <w:style w:type="paragraph" w:styleId="ListBullet2">
    <w:name w:val="List Bullet 2"/>
    <w:basedOn w:val="ListBullet"/>
    <w:uiPriority w:val="19"/>
    <w:unhideWhenUsed/>
    <w:rsid w:val="0042032A"/>
    <w:pPr>
      <w:keepLines w:val="0"/>
      <w:numPr>
        <w:ilvl w:val="1"/>
      </w:numPr>
    </w:pPr>
  </w:style>
  <w:style w:type="paragraph" w:styleId="ListBullet3">
    <w:name w:val="List Bullet 3"/>
    <w:basedOn w:val="ListBullet2"/>
    <w:uiPriority w:val="19"/>
    <w:unhideWhenUsed/>
    <w:rsid w:val="00EB6BD5"/>
    <w:pPr>
      <w:numPr>
        <w:ilvl w:val="2"/>
      </w:numPr>
    </w:pPr>
  </w:style>
  <w:style w:type="paragraph" w:styleId="ListBullet4">
    <w:name w:val="List Bullet 4"/>
    <w:basedOn w:val="Normal"/>
    <w:uiPriority w:val="19"/>
    <w:semiHidden/>
    <w:unhideWhenUsed/>
    <w:rsid w:val="00EB6BD5"/>
    <w:pPr>
      <w:numPr>
        <w:numId w:val="3"/>
      </w:numPr>
      <w:contextualSpacing/>
    </w:pPr>
    <w:rPr>
      <w:rFonts w:eastAsia="MS Mincho"/>
    </w:rPr>
  </w:style>
  <w:style w:type="paragraph" w:styleId="ListBullet5">
    <w:name w:val="List Bullet 5"/>
    <w:basedOn w:val="Normal"/>
    <w:uiPriority w:val="19"/>
    <w:semiHidden/>
    <w:unhideWhenUsed/>
    <w:rsid w:val="00EB6BD5"/>
    <w:pPr>
      <w:numPr>
        <w:numId w:val="4"/>
      </w:numPr>
      <w:contextualSpacing/>
    </w:pPr>
    <w:rPr>
      <w:rFonts w:eastAsia="MS Mincho"/>
    </w:rPr>
  </w:style>
  <w:style w:type="numbering" w:customStyle="1" w:styleId="ListBulletStyle">
    <w:name w:val="List Bullet Style"/>
    <w:uiPriority w:val="99"/>
    <w:rsid w:val="00E47D5E"/>
    <w:pPr>
      <w:numPr>
        <w:numId w:val="5"/>
      </w:numPr>
    </w:pPr>
  </w:style>
  <w:style w:type="paragraph" w:styleId="ListContinue">
    <w:name w:val="List Continue"/>
    <w:basedOn w:val="Normal"/>
    <w:uiPriority w:val="26"/>
    <w:qFormat/>
    <w:rsid w:val="00E47D5E"/>
    <w:pPr>
      <w:spacing w:before="60" w:after="60"/>
      <w:ind w:left="340"/>
    </w:pPr>
  </w:style>
  <w:style w:type="paragraph" w:styleId="ListContinue2">
    <w:name w:val="List Continue 2"/>
    <w:basedOn w:val="ListContinue"/>
    <w:uiPriority w:val="26"/>
    <w:rsid w:val="00E47D5E"/>
    <w:pPr>
      <w:ind w:left="680"/>
    </w:pPr>
  </w:style>
  <w:style w:type="paragraph" w:styleId="ListContinue3">
    <w:name w:val="List Continue 3"/>
    <w:basedOn w:val="ListContinue2"/>
    <w:uiPriority w:val="26"/>
    <w:rsid w:val="00E47D5E"/>
    <w:pPr>
      <w:ind w:left="1021"/>
    </w:pPr>
  </w:style>
  <w:style w:type="paragraph" w:styleId="ListContinue4">
    <w:name w:val="List Continue 4"/>
    <w:basedOn w:val="Normal"/>
    <w:uiPriority w:val="26"/>
    <w:semiHidden/>
    <w:unhideWhenUsed/>
    <w:rsid w:val="00E47D5E"/>
    <w:pPr>
      <w:ind w:left="1132"/>
      <w:contextualSpacing/>
    </w:pPr>
    <w:rPr>
      <w:rFonts w:eastAsia="MS Mincho"/>
    </w:rPr>
  </w:style>
  <w:style w:type="paragraph" w:styleId="ListContinue5">
    <w:name w:val="List Continue 5"/>
    <w:basedOn w:val="Normal"/>
    <w:uiPriority w:val="26"/>
    <w:semiHidden/>
    <w:unhideWhenUsed/>
    <w:rsid w:val="00E47D5E"/>
    <w:pPr>
      <w:ind w:left="1415"/>
      <w:contextualSpacing/>
    </w:pPr>
    <w:rPr>
      <w:rFonts w:eastAsia="MS Mincho"/>
    </w:rPr>
  </w:style>
  <w:style w:type="paragraph" w:styleId="ListNumber">
    <w:name w:val="List Number"/>
    <w:uiPriority w:val="19"/>
    <w:qFormat/>
    <w:rsid w:val="00EB6BD5"/>
    <w:pPr>
      <w:keepNext/>
      <w:numPr>
        <w:numId w:val="6"/>
      </w:numPr>
      <w:spacing w:before="60" w:after="60"/>
    </w:pPr>
    <w:rPr>
      <w:rFonts w:cstheme="minorBidi"/>
    </w:rPr>
  </w:style>
  <w:style w:type="paragraph" w:styleId="ListNumber2">
    <w:name w:val="List Number 2"/>
    <w:basedOn w:val="ListNumber"/>
    <w:uiPriority w:val="19"/>
    <w:unhideWhenUsed/>
    <w:rsid w:val="00EB6BD5"/>
    <w:pPr>
      <w:numPr>
        <w:ilvl w:val="1"/>
      </w:numPr>
    </w:pPr>
  </w:style>
  <w:style w:type="paragraph" w:styleId="ListNumber3">
    <w:name w:val="List Number 3"/>
    <w:basedOn w:val="ListNumber2"/>
    <w:uiPriority w:val="19"/>
    <w:unhideWhenUsed/>
    <w:rsid w:val="00EB6BD5"/>
    <w:pPr>
      <w:numPr>
        <w:ilvl w:val="2"/>
      </w:numPr>
    </w:pPr>
  </w:style>
  <w:style w:type="paragraph" w:styleId="ListNumber4">
    <w:name w:val="List Number 4"/>
    <w:basedOn w:val="Normal"/>
    <w:uiPriority w:val="19"/>
    <w:semiHidden/>
    <w:unhideWhenUsed/>
    <w:rsid w:val="00E47D5E"/>
    <w:pPr>
      <w:ind w:left="1136" w:hanging="284"/>
      <w:contextualSpacing/>
    </w:pPr>
    <w:rPr>
      <w:rFonts w:eastAsia="MS Mincho"/>
    </w:rPr>
  </w:style>
  <w:style w:type="paragraph" w:styleId="ListNumber5">
    <w:name w:val="List Number 5"/>
    <w:basedOn w:val="Normal"/>
    <w:uiPriority w:val="19"/>
    <w:semiHidden/>
    <w:unhideWhenUsed/>
    <w:rsid w:val="00E47D5E"/>
    <w:pPr>
      <w:ind w:left="1420" w:hanging="284"/>
      <w:contextualSpacing/>
    </w:pPr>
    <w:rPr>
      <w:rFonts w:eastAsia="MS Mincho"/>
    </w:rPr>
  </w:style>
  <w:style w:type="numbering" w:customStyle="1" w:styleId="ListNumberStyle">
    <w:name w:val="List Number Style"/>
    <w:uiPriority w:val="99"/>
    <w:rsid w:val="00E47D5E"/>
    <w:pPr>
      <w:numPr>
        <w:numId w:val="7"/>
      </w:numPr>
    </w:pPr>
  </w:style>
  <w:style w:type="numbering" w:customStyle="1" w:styleId="ListStyle-Alpha">
    <w:name w:val="List Style - Alpha"/>
    <w:uiPriority w:val="99"/>
    <w:rsid w:val="00E47D5E"/>
    <w:pPr>
      <w:numPr>
        <w:numId w:val="8"/>
      </w:numPr>
    </w:pPr>
  </w:style>
  <w:style w:type="numbering" w:customStyle="1" w:styleId="ListStyle-Bullet">
    <w:name w:val="List Style - Bullet"/>
    <w:uiPriority w:val="99"/>
    <w:rsid w:val="00E47D5E"/>
    <w:pPr>
      <w:numPr>
        <w:numId w:val="9"/>
      </w:numPr>
    </w:pPr>
  </w:style>
  <w:style w:type="numbering" w:customStyle="1" w:styleId="ListStyle-Heading">
    <w:name w:val="List Style - Heading"/>
    <w:uiPriority w:val="99"/>
    <w:rsid w:val="00E47D5E"/>
    <w:pPr>
      <w:numPr>
        <w:numId w:val="10"/>
      </w:numPr>
    </w:pPr>
  </w:style>
  <w:style w:type="paragraph" w:customStyle="1" w:styleId="NormalKeepWithNext">
    <w:name w:val="Normal [Keep With Next]"/>
    <w:basedOn w:val="Normal"/>
    <w:next w:val="Normal"/>
    <w:uiPriority w:val="1"/>
    <w:qFormat/>
    <w:rsid w:val="00E47D5E"/>
    <w:pPr>
      <w:keepNext/>
    </w:pPr>
  </w:style>
  <w:style w:type="paragraph" w:customStyle="1" w:styleId="NormalPageBreakBefore">
    <w:name w:val="Normal [Page Break Before]"/>
    <w:basedOn w:val="Normal"/>
    <w:next w:val="Normal"/>
    <w:qFormat/>
    <w:rsid w:val="00E47D5E"/>
    <w:pPr>
      <w:pageBreakBefore/>
      <w:spacing w:before="0"/>
    </w:pPr>
  </w:style>
  <w:style w:type="paragraph" w:customStyle="1" w:styleId="Note2">
    <w:name w:val="Note 2"/>
    <w:basedOn w:val="Note"/>
    <w:uiPriority w:val="31"/>
    <w:qFormat/>
    <w:rsid w:val="00E47D5E"/>
    <w:pPr>
      <w:numPr>
        <w:numId w:val="11"/>
      </w:numPr>
      <w:tabs>
        <w:tab w:val="clear" w:pos="284"/>
      </w:tabs>
    </w:pPr>
  </w:style>
  <w:style w:type="paragraph" w:customStyle="1" w:styleId="NoteContinue">
    <w:name w:val="Note Continue"/>
    <w:basedOn w:val="Note"/>
    <w:uiPriority w:val="31"/>
    <w:qFormat/>
    <w:rsid w:val="00E47D5E"/>
    <w:pPr>
      <w:ind w:firstLine="0"/>
    </w:pPr>
  </w:style>
  <w:style w:type="paragraph" w:customStyle="1" w:styleId="ShadedBoxBullet">
    <w:name w:val="Shaded Box Bullet"/>
    <w:basedOn w:val="ListBullet"/>
    <w:link w:val="ShadedBoxBulletChar"/>
    <w:uiPriority w:val="36"/>
    <w:qFormat/>
    <w:rsid w:val="00E47D5E"/>
    <w:pPr>
      <w:pBdr>
        <w:top w:val="single" w:sz="6" w:space="3" w:color="auto"/>
        <w:left w:val="single" w:sz="6" w:space="4" w:color="auto"/>
        <w:bottom w:val="single" w:sz="6" w:space="3" w:color="auto"/>
        <w:right w:val="single" w:sz="6" w:space="4" w:color="auto"/>
      </w:pBdr>
      <w:shd w:val="clear" w:color="auto" w:fill="F2F2F2" w:themeFill="background1" w:themeFillShade="F2"/>
    </w:pPr>
  </w:style>
  <w:style w:type="paragraph" w:customStyle="1" w:styleId="ShadedBoxBullet2">
    <w:name w:val="Shaded Box Bullet 2"/>
    <w:basedOn w:val="Normal"/>
    <w:next w:val="ShadedBoxText"/>
    <w:uiPriority w:val="36"/>
    <w:qFormat/>
    <w:rsid w:val="00E47D5E"/>
    <w:pPr>
      <w:keepNext/>
      <w:pBdr>
        <w:top w:val="single" w:sz="6" w:space="3" w:color="auto"/>
        <w:left w:val="single" w:sz="6" w:space="4" w:color="auto"/>
        <w:bottom w:val="single" w:sz="6" w:space="3" w:color="auto"/>
        <w:right w:val="single" w:sz="6" w:space="4" w:color="auto"/>
      </w:pBdr>
      <w:shd w:val="clear" w:color="auto" w:fill="F2F2F2" w:themeFill="background1" w:themeFillShade="F2"/>
      <w:tabs>
        <w:tab w:val="left" w:pos="340"/>
        <w:tab w:val="left" w:pos="680"/>
      </w:tabs>
      <w:spacing w:before="60" w:after="60"/>
      <w:ind w:left="677" w:hanging="677"/>
    </w:pPr>
  </w:style>
  <w:style w:type="paragraph" w:customStyle="1" w:styleId="ShadedBoxHeading">
    <w:name w:val="Shaded Box Heading"/>
    <w:basedOn w:val="ShadedBoxText"/>
    <w:next w:val="ShadedBoxText"/>
    <w:uiPriority w:val="36"/>
    <w:qFormat/>
    <w:rsid w:val="00E47D5E"/>
    <w:pPr>
      <w:keepNext/>
      <w:tabs>
        <w:tab w:val="left" w:pos="1022"/>
      </w:tabs>
    </w:pPr>
    <w:rPr>
      <w:rFonts w:asciiTheme="majorHAnsi" w:hAnsiTheme="majorHAnsi"/>
      <w:b/>
      <w:sz w:val="20"/>
    </w:rPr>
  </w:style>
  <w:style w:type="paragraph" w:customStyle="1" w:styleId="ShadedBoxNote">
    <w:name w:val="Shaded Box Note"/>
    <w:basedOn w:val="Normal"/>
    <w:uiPriority w:val="36"/>
    <w:qFormat/>
    <w:rsid w:val="00E47D5E"/>
    <w:pPr>
      <w:pBdr>
        <w:top w:val="single" w:sz="6" w:space="3" w:color="auto"/>
        <w:left w:val="single" w:sz="6" w:space="4" w:color="auto"/>
        <w:bottom w:val="single" w:sz="6" w:space="3" w:color="auto"/>
        <w:right w:val="single" w:sz="6" w:space="4" w:color="auto"/>
      </w:pBdr>
      <w:shd w:val="clear" w:color="auto" w:fill="F2F2F2" w:themeFill="background1" w:themeFillShade="F2"/>
      <w:ind w:left="288" w:hanging="288"/>
      <w:contextualSpacing/>
    </w:pPr>
    <w:rPr>
      <w:rFonts w:ascii="Calibri" w:hAnsi="Calibri"/>
      <w:i/>
      <w:iCs/>
      <w:sz w:val="14"/>
    </w:rPr>
  </w:style>
  <w:style w:type="paragraph" w:styleId="Signature">
    <w:name w:val="Signature"/>
    <w:basedOn w:val="Normal"/>
    <w:link w:val="SignatureChar"/>
    <w:uiPriority w:val="99"/>
    <w:semiHidden/>
    <w:unhideWhenUsed/>
    <w:rsid w:val="00E47D5E"/>
    <w:pPr>
      <w:ind w:left="4252"/>
    </w:pPr>
    <w:rPr>
      <w:rFonts w:eastAsia="MS Mincho"/>
    </w:rPr>
  </w:style>
  <w:style w:type="character" w:customStyle="1" w:styleId="SignatureChar">
    <w:name w:val="Signature Char"/>
    <w:basedOn w:val="DefaultParagraphFont"/>
    <w:link w:val="Signature"/>
    <w:uiPriority w:val="99"/>
    <w:semiHidden/>
    <w:rsid w:val="00E47D5E"/>
    <w:rPr>
      <w:rFonts w:eastAsia="MS Mincho" w:cstheme="minorBidi"/>
    </w:rPr>
  </w:style>
  <w:style w:type="paragraph" w:styleId="TableofFigures">
    <w:name w:val="table of figures"/>
    <w:basedOn w:val="Normal"/>
    <w:next w:val="Normal"/>
    <w:uiPriority w:val="99"/>
    <w:semiHidden/>
    <w:unhideWhenUsed/>
    <w:rsid w:val="00E47D5E"/>
    <w:rPr>
      <w:rFonts w:eastAsia="MS Mincho"/>
    </w:rPr>
  </w:style>
  <w:style w:type="paragraph" w:styleId="TOAHeading">
    <w:name w:val="toa heading"/>
    <w:basedOn w:val="Normal"/>
    <w:next w:val="Normal"/>
    <w:uiPriority w:val="99"/>
    <w:semiHidden/>
    <w:unhideWhenUsed/>
    <w:rsid w:val="00E47D5E"/>
    <w:rPr>
      <w:rFonts w:asciiTheme="majorHAnsi" w:eastAsiaTheme="majorEastAsia" w:hAnsiTheme="majorHAnsi" w:cstheme="majorBidi"/>
      <w:b/>
      <w:bCs/>
      <w:sz w:val="24"/>
      <w:szCs w:val="24"/>
    </w:rPr>
  </w:style>
  <w:style w:type="paragraph" w:styleId="TOC3">
    <w:name w:val="toc 3"/>
    <w:basedOn w:val="Normal"/>
    <w:next w:val="Normal"/>
    <w:uiPriority w:val="94"/>
    <w:semiHidden/>
    <w:rsid w:val="00E47D5E"/>
    <w:pPr>
      <w:spacing w:after="100"/>
      <w:ind w:left="420"/>
    </w:pPr>
    <w:rPr>
      <w:rFonts w:eastAsia="MS Mincho"/>
    </w:rPr>
  </w:style>
  <w:style w:type="paragraph" w:styleId="TOC4">
    <w:name w:val="toc 4"/>
    <w:next w:val="Normal"/>
    <w:uiPriority w:val="96"/>
    <w:semiHidden/>
    <w:rsid w:val="00E47D5E"/>
    <w:pPr>
      <w:tabs>
        <w:tab w:val="left" w:pos="1021"/>
        <w:tab w:val="right" w:leader="dot" w:pos="9072"/>
      </w:tabs>
      <w:spacing w:after="100"/>
    </w:pPr>
    <w:rPr>
      <w:rFonts w:asciiTheme="majorHAnsi" w:eastAsia="MS Mincho" w:hAnsiTheme="majorHAnsi" w:cstheme="minorBidi"/>
      <w:spacing w:val="2"/>
    </w:rPr>
  </w:style>
  <w:style w:type="paragraph" w:styleId="TOC5">
    <w:name w:val="toc 5"/>
    <w:basedOn w:val="Normal"/>
    <w:next w:val="Normal"/>
    <w:autoRedefine/>
    <w:uiPriority w:val="96"/>
    <w:semiHidden/>
    <w:rsid w:val="00E47D5E"/>
    <w:pPr>
      <w:spacing w:after="100"/>
      <w:ind w:left="880"/>
    </w:pPr>
    <w:rPr>
      <w:rFonts w:eastAsia="MS Mincho"/>
    </w:rPr>
  </w:style>
  <w:style w:type="paragraph" w:styleId="TOC6">
    <w:name w:val="toc 6"/>
    <w:basedOn w:val="Normal"/>
    <w:next w:val="Normal"/>
    <w:autoRedefine/>
    <w:uiPriority w:val="96"/>
    <w:semiHidden/>
    <w:rsid w:val="00E47D5E"/>
    <w:pPr>
      <w:spacing w:after="100"/>
      <w:ind w:left="1100"/>
    </w:pPr>
    <w:rPr>
      <w:rFonts w:eastAsia="MS Mincho"/>
    </w:rPr>
  </w:style>
  <w:style w:type="paragraph" w:styleId="TOC7">
    <w:name w:val="toc 7"/>
    <w:basedOn w:val="Normal"/>
    <w:next w:val="Normal"/>
    <w:autoRedefine/>
    <w:uiPriority w:val="96"/>
    <w:semiHidden/>
    <w:rsid w:val="00E47D5E"/>
    <w:pPr>
      <w:spacing w:after="100"/>
      <w:ind w:left="1320"/>
    </w:pPr>
    <w:rPr>
      <w:rFonts w:eastAsia="MS Mincho"/>
    </w:rPr>
  </w:style>
  <w:style w:type="paragraph" w:styleId="TOC8">
    <w:name w:val="toc 8"/>
    <w:basedOn w:val="Normal"/>
    <w:next w:val="Normal"/>
    <w:autoRedefine/>
    <w:uiPriority w:val="96"/>
    <w:semiHidden/>
    <w:rsid w:val="00E47D5E"/>
    <w:pPr>
      <w:spacing w:after="100"/>
      <w:ind w:left="1540"/>
    </w:pPr>
    <w:rPr>
      <w:rFonts w:eastAsia="MS Mincho"/>
    </w:rPr>
  </w:style>
  <w:style w:type="paragraph" w:styleId="TOC9">
    <w:name w:val="toc 9"/>
    <w:basedOn w:val="Normal"/>
    <w:next w:val="Normal"/>
    <w:uiPriority w:val="39"/>
    <w:rsid w:val="00E47D5E"/>
    <w:pPr>
      <w:tabs>
        <w:tab w:val="left" w:pos="567"/>
        <w:tab w:val="right" w:leader="dot" w:pos="3629"/>
      </w:tabs>
      <w:ind w:left="567" w:hanging="567"/>
    </w:pPr>
    <w:rPr>
      <w:rFonts w:asciiTheme="majorHAnsi" w:hAnsiTheme="majorHAnsi"/>
      <w:sz w:val="20"/>
    </w:rPr>
  </w:style>
  <w:style w:type="paragraph" w:customStyle="1" w:styleId="TOCContinued">
    <w:name w:val="TOC Continued"/>
    <w:basedOn w:val="Normal"/>
    <w:uiPriority w:val="39"/>
    <w:qFormat/>
    <w:rsid w:val="00E47D5E"/>
    <w:pPr>
      <w:keepLines w:val="0"/>
      <w:spacing w:before="320"/>
      <w:outlineLvl w:val="1"/>
    </w:pPr>
    <w:rPr>
      <w:rFonts w:asciiTheme="majorHAnsi" w:hAnsiTheme="majorHAnsi"/>
      <w:b/>
      <w:bCs/>
      <w:sz w:val="27"/>
    </w:rPr>
  </w:style>
  <w:style w:type="paragraph" w:styleId="TOCHeading">
    <w:name w:val="TOC Heading"/>
    <w:basedOn w:val="ChapterHeading"/>
    <w:next w:val="Normal"/>
    <w:uiPriority w:val="38"/>
    <w:unhideWhenUsed/>
    <w:rsid w:val="0066452E"/>
    <w:rPr>
      <w:bCs/>
      <w:color w:val="000000" w:themeColor="text1"/>
      <w:szCs w:val="28"/>
    </w:rPr>
  </w:style>
  <w:style w:type="character" w:customStyle="1" w:styleId="Chapternumber">
    <w:name w:val="Chapter number"/>
    <w:basedOn w:val="DefaultParagraphFont"/>
    <w:uiPriority w:val="1"/>
    <w:qFormat/>
    <w:rsid w:val="004315FD"/>
  </w:style>
  <w:style w:type="paragraph" w:styleId="Caption">
    <w:name w:val="caption"/>
    <w:basedOn w:val="Normal"/>
    <w:next w:val="Normal"/>
    <w:uiPriority w:val="35"/>
    <w:unhideWhenUsed/>
    <w:qFormat/>
    <w:rsid w:val="00A834A0"/>
    <w:pPr>
      <w:spacing w:before="0" w:after="200"/>
    </w:pPr>
    <w:rPr>
      <w:i/>
      <w:iCs/>
      <w:color w:val="0E2841" w:themeColor="text2"/>
      <w:sz w:val="18"/>
      <w:szCs w:val="18"/>
    </w:rPr>
  </w:style>
  <w:style w:type="paragraph" w:customStyle="1" w:styleId="TableHeading">
    <w:name w:val="Table Heading"/>
    <w:basedOn w:val="Caption"/>
    <w:next w:val="Normal"/>
    <w:link w:val="TableHeadingChar"/>
    <w:uiPriority w:val="49"/>
    <w:qFormat/>
    <w:rsid w:val="0050107A"/>
    <w:pPr>
      <w:keepNext/>
      <w:tabs>
        <w:tab w:val="left" w:pos="1021"/>
        <w:tab w:val="right" w:pos="7711"/>
      </w:tabs>
      <w:spacing w:before="120" w:after="60"/>
      <w:ind w:left="1021" w:hanging="1021"/>
      <w:contextualSpacing/>
    </w:pPr>
    <w:rPr>
      <w:rFonts w:asciiTheme="majorHAnsi" w:hAnsiTheme="majorHAnsi"/>
      <w:b/>
      <w:i w:val="0"/>
      <w:color w:val="auto"/>
      <w:sz w:val="20"/>
    </w:rPr>
  </w:style>
  <w:style w:type="character" w:customStyle="1" w:styleId="TableHeadingChar">
    <w:name w:val="Table Heading Char"/>
    <w:basedOn w:val="DefaultParagraphFont"/>
    <w:link w:val="TableHeading"/>
    <w:uiPriority w:val="49"/>
    <w:rsid w:val="00A9099B"/>
    <w:rPr>
      <w:rFonts w:asciiTheme="majorHAnsi" w:hAnsiTheme="majorHAnsi" w:cstheme="minorBidi"/>
      <w:b/>
      <w:iCs/>
      <w:sz w:val="20"/>
      <w:szCs w:val="18"/>
    </w:rPr>
  </w:style>
  <w:style w:type="paragraph" w:styleId="Quote">
    <w:name w:val="Quote"/>
    <w:basedOn w:val="Normal"/>
    <w:next w:val="Normal"/>
    <w:link w:val="QuoteChar"/>
    <w:uiPriority w:val="29"/>
    <w:semiHidden/>
    <w:qFormat/>
    <w:rsid w:val="00F073AA"/>
    <w:pPr>
      <w:keepLines w:val="0"/>
      <w:spacing w:before="160" w:after="160" w:line="259" w:lineRule="auto"/>
      <w:jc w:val="center"/>
    </w:pPr>
    <w:rPr>
      <w:i/>
      <w:iCs/>
      <w:color w:val="404040" w:themeColor="text1" w:themeTint="BF"/>
      <w:kern w:val="2"/>
      <w14:ligatures w14:val="standardContextual"/>
    </w:rPr>
  </w:style>
  <w:style w:type="character" w:customStyle="1" w:styleId="QuoteChar">
    <w:name w:val="Quote Char"/>
    <w:basedOn w:val="DefaultParagraphFont"/>
    <w:link w:val="Quote"/>
    <w:uiPriority w:val="29"/>
    <w:rsid w:val="009F6664"/>
    <w:rPr>
      <w:rFonts w:cstheme="minorBidi"/>
      <w:i/>
      <w:iCs/>
      <w:color w:val="404040" w:themeColor="text1" w:themeTint="BF"/>
      <w:kern w:val="2"/>
      <w14:ligatures w14:val="standardContextual"/>
    </w:rPr>
  </w:style>
  <w:style w:type="character" w:styleId="IntenseEmphasis">
    <w:name w:val="Intense Emphasis"/>
    <w:basedOn w:val="DefaultParagraphFont"/>
    <w:uiPriority w:val="21"/>
    <w:semiHidden/>
    <w:qFormat/>
    <w:rsid w:val="00F073AA"/>
    <w:rPr>
      <w:i/>
      <w:iCs/>
      <w:color w:val="0F4761" w:themeColor="accent1" w:themeShade="BF"/>
    </w:rPr>
  </w:style>
  <w:style w:type="paragraph" w:styleId="IntenseQuote">
    <w:name w:val="Intense Quote"/>
    <w:basedOn w:val="Normal"/>
    <w:next w:val="Normal"/>
    <w:link w:val="IntenseQuoteChar"/>
    <w:uiPriority w:val="30"/>
    <w:semiHidden/>
    <w:qFormat/>
    <w:rsid w:val="00F073AA"/>
    <w:pPr>
      <w:keepLines w:val="0"/>
      <w:pBdr>
        <w:top w:val="single" w:sz="4" w:space="10" w:color="0F4761" w:themeColor="accent1" w:themeShade="BF"/>
        <w:bottom w:val="single" w:sz="4" w:space="10" w:color="0F4761" w:themeColor="accent1" w:themeShade="BF"/>
      </w:pBdr>
      <w:spacing w:before="360" w:after="360" w:line="259" w:lineRule="auto"/>
      <w:ind w:left="864" w:right="864"/>
      <w:jc w:val="center"/>
    </w:pPr>
    <w:rPr>
      <w:i/>
      <w:iCs/>
      <w:color w:val="0F4761" w:themeColor="accent1" w:themeShade="BF"/>
      <w:kern w:val="2"/>
      <w14:ligatures w14:val="standardContextual"/>
    </w:rPr>
  </w:style>
  <w:style w:type="character" w:customStyle="1" w:styleId="IntenseQuoteChar">
    <w:name w:val="Intense Quote Char"/>
    <w:basedOn w:val="DefaultParagraphFont"/>
    <w:link w:val="IntenseQuote"/>
    <w:uiPriority w:val="30"/>
    <w:rsid w:val="009F6664"/>
    <w:rPr>
      <w:rFonts w:cstheme="minorBidi"/>
      <w:i/>
      <w:iCs/>
      <w:color w:val="0F4761" w:themeColor="accent1" w:themeShade="BF"/>
      <w:kern w:val="2"/>
      <w14:ligatures w14:val="standardContextual"/>
    </w:rPr>
  </w:style>
  <w:style w:type="character" w:styleId="IntenseReference">
    <w:name w:val="Intense Reference"/>
    <w:basedOn w:val="DefaultParagraphFont"/>
    <w:uiPriority w:val="32"/>
    <w:semiHidden/>
    <w:qFormat/>
    <w:rsid w:val="00F073AA"/>
    <w:rPr>
      <w:b/>
      <w:bCs/>
      <w:smallCaps/>
      <w:color w:val="0F4761" w:themeColor="accent1" w:themeShade="BF"/>
      <w:spacing w:val="5"/>
    </w:rPr>
  </w:style>
  <w:style w:type="paragraph" w:customStyle="1" w:styleId="Aggregatesfactscode">
    <w:name w:val="Aggregates/facts code"/>
    <w:basedOn w:val="Normal"/>
    <w:link w:val="AggregatesfactscodeChar"/>
    <w:qFormat/>
    <w:rsid w:val="00F073AA"/>
    <w:pPr>
      <w:keepLines w:val="0"/>
      <w:spacing w:before="0" w:after="160" w:line="259" w:lineRule="auto"/>
    </w:pPr>
    <w:rPr>
      <w:rFonts w:ascii="Garamond" w:hAnsi="Garamond"/>
      <w:vanish/>
      <w:color w:val="FF0000"/>
      <w:kern w:val="2"/>
      <w14:ligatures w14:val="standardContextual"/>
    </w:rPr>
  </w:style>
  <w:style w:type="character" w:customStyle="1" w:styleId="AggregatesfactscodeChar">
    <w:name w:val="Aggregates/facts code Char"/>
    <w:basedOn w:val="DefaultParagraphFont"/>
    <w:link w:val="Aggregatesfactscode"/>
    <w:rsid w:val="00F073AA"/>
    <w:rPr>
      <w:rFonts w:ascii="Garamond" w:hAnsi="Garamond" w:cstheme="minorBidi"/>
      <w:vanish/>
      <w:color w:val="FF0000"/>
      <w:kern w:val="2"/>
      <w14:ligatures w14:val="standardContextual"/>
    </w:rPr>
  </w:style>
  <w:style w:type="character" w:customStyle="1" w:styleId="ShadedBoxBulletChar">
    <w:name w:val="Shaded Box Bullet Char"/>
    <w:basedOn w:val="DefaultParagraphFont"/>
    <w:link w:val="ShadedBoxBullet"/>
    <w:uiPriority w:val="36"/>
    <w:rsid w:val="00F073AA"/>
    <w:rPr>
      <w:rFonts w:cstheme="minorBidi"/>
      <w:shd w:val="clear" w:color="auto" w:fill="F2F2F2" w:themeFill="background1" w:themeFillShade="F2"/>
    </w:rPr>
  </w:style>
  <w:style w:type="paragraph" w:styleId="ListParagraph">
    <w:name w:val="List Paragraph"/>
    <w:basedOn w:val="Normal"/>
    <w:uiPriority w:val="34"/>
    <w:qFormat/>
    <w:rsid w:val="008162D4"/>
    <w:pPr>
      <w:ind w:left="720"/>
      <w:contextualSpacing/>
    </w:pPr>
  </w:style>
  <w:style w:type="paragraph" w:customStyle="1" w:styleId="ShadedBoxSubheading">
    <w:name w:val="Shaded Box Subheading"/>
    <w:basedOn w:val="Normal"/>
    <w:uiPriority w:val="36"/>
    <w:qFormat/>
    <w:rsid w:val="00056744"/>
    <w:pPr>
      <w:keepNext/>
      <w:pBdr>
        <w:top w:val="single" w:sz="6" w:space="3" w:color="auto"/>
        <w:left w:val="single" w:sz="6" w:space="4" w:color="auto"/>
        <w:bottom w:val="single" w:sz="6" w:space="3" w:color="auto"/>
        <w:right w:val="single" w:sz="6" w:space="4" w:color="auto"/>
      </w:pBdr>
      <w:shd w:val="clear" w:color="auto" w:fill="F2F2F2" w:themeFill="background1" w:themeFillShade="F2"/>
      <w:spacing w:before="180"/>
    </w:pPr>
    <w:rPr>
      <w:rFonts w:asciiTheme="majorHAnsi" w:hAnsiTheme="majorHAnsi"/>
      <w:b/>
      <w:sz w:val="19"/>
      <w:szCs w:val="18"/>
    </w:rPr>
  </w:style>
  <w:style w:type="table" w:customStyle="1" w:styleId="DTFTableNumeric1">
    <w:name w:val="DTF Table [Numeric]1"/>
    <w:basedOn w:val="TableNormal"/>
    <w:uiPriority w:val="99"/>
    <w:rsid w:val="00900469"/>
    <w:pPr>
      <w:spacing w:before="20" w:after="20"/>
      <w:jc w:val="right"/>
    </w:pPr>
    <w:rPr>
      <w:rFonts w:ascii="Calibri" w:hAnsi="Calibri"/>
      <w:sz w:val="17"/>
    </w:rPr>
    <w:tblPr>
      <w:tblCellMar>
        <w:left w:w="57" w:type="dxa"/>
        <w:right w:w="57" w:type="dxa"/>
      </w:tblCellMar>
    </w:tblPr>
    <w:tcPr>
      <w:tcBorders>
        <w:top w:val="single" w:sz="4" w:space="0" w:color="auto"/>
        <w:bottom w:val="single" w:sz="12" w:space="0" w:color="auto"/>
      </w:tcBorders>
    </w:tcPr>
    <w:tblStylePr w:type="firstRow">
      <w:rPr>
        <w:i/>
      </w:rPr>
      <w:tblPr/>
      <w:tcPr>
        <w:tcBorders>
          <w:top w:val="nil"/>
          <w:left w:val="nil"/>
          <w:bottom w:val="nil"/>
          <w:right w:val="nil"/>
          <w:insideH w:val="nil"/>
          <w:insideV w:val="nil"/>
          <w:tl2br w:val="nil"/>
          <w:tr2bl w:val="nil"/>
        </w:tcBorders>
        <w:shd w:val="clear" w:color="auto" w:fill="000000"/>
        <w:vAlign w:val="bottom"/>
      </w:tcPr>
    </w:tblStylePr>
    <w:tblStylePr w:type="lastRow">
      <w:rPr>
        <w:b/>
      </w:rPr>
    </w:tblStylePr>
    <w:tblStylePr w:type="firstCol">
      <w:pPr>
        <w:wordWrap/>
        <w:ind w:leftChars="0" w:left="170" w:firstLineChars="0" w:hanging="170"/>
        <w:jc w:val="left"/>
      </w:pPr>
    </w:tblStylePr>
  </w:style>
  <w:style w:type="paragraph" w:customStyle="1" w:styleId="Spacer">
    <w:name w:val="Spacer"/>
    <w:basedOn w:val="Normal"/>
    <w:qFormat/>
    <w:rsid w:val="00900469"/>
    <w:pPr>
      <w:spacing w:before="0"/>
    </w:pPr>
    <w:rPr>
      <w:sz w:val="8"/>
    </w:rPr>
  </w:style>
  <w:style w:type="numbering" w:customStyle="1" w:styleId="A">
    <w:name w:val="(A)"/>
    <w:uiPriority w:val="99"/>
    <w:locked/>
    <w:rsid w:val="00900469"/>
    <w:pPr>
      <w:numPr>
        <w:numId w:val="15"/>
      </w:numPr>
    </w:pPr>
  </w:style>
  <w:style w:type="numbering" w:styleId="111111">
    <w:name w:val="Outline List 2"/>
    <w:basedOn w:val="NoList"/>
    <w:uiPriority w:val="99"/>
    <w:semiHidden/>
    <w:unhideWhenUsed/>
    <w:rsid w:val="00900469"/>
    <w:pPr>
      <w:numPr>
        <w:numId w:val="14"/>
      </w:numPr>
    </w:pPr>
  </w:style>
  <w:style w:type="numbering" w:styleId="1ai">
    <w:name w:val="Outline List 1"/>
    <w:basedOn w:val="NoList"/>
    <w:uiPriority w:val="99"/>
    <w:semiHidden/>
    <w:unhideWhenUsed/>
    <w:rsid w:val="00900469"/>
    <w:pPr>
      <w:numPr>
        <w:numId w:val="17"/>
      </w:numPr>
    </w:pPr>
  </w:style>
  <w:style w:type="numbering" w:styleId="ArticleSection">
    <w:name w:val="Outline List 3"/>
    <w:basedOn w:val="NoList"/>
    <w:uiPriority w:val="99"/>
    <w:semiHidden/>
    <w:unhideWhenUsed/>
    <w:rsid w:val="00900469"/>
    <w:pPr>
      <w:numPr>
        <w:numId w:val="19"/>
      </w:numPr>
    </w:pPr>
  </w:style>
  <w:style w:type="paragraph" w:styleId="BalloonText">
    <w:name w:val="Balloon Text"/>
    <w:basedOn w:val="Normal"/>
    <w:link w:val="BalloonTextChar"/>
    <w:uiPriority w:val="99"/>
    <w:semiHidden/>
    <w:unhideWhenUsed/>
    <w:rsid w:val="00900469"/>
    <w:rPr>
      <w:rFonts w:ascii="Tahoma" w:eastAsia="MS Mincho" w:hAnsi="Tahoma" w:cs="Tahoma"/>
      <w:sz w:val="16"/>
      <w:szCs w:val="16"/>
    </w:rPr>
  </w:style>
  <w:style w:type="character" w:customStyle="1" w:styleId="BalloonTextChar">
    <w:name w:val="Balloon Text Char"/>
    <w:basedOn w:val="DefaultParagraphFont"/>
    <w:link w:val="BalloonText"/>
    <w:uiPriority w:val="99"/>
    <w:semiHidden/>
    <w:rsid w:val="00900469"/>
    <w:rPr>
      <w:rFonts w:ascii="Tahoma" w:eastAsia="MS Mincho" w:hAnsi="Tahoma" w:cs="Tahoma"/>
      <w:sz w:val="16"/>
      <w:szCs w:val="16"/>
    </w:rPr>
  </w:style>
  <w:style w:type="paragraph" w:styleId="Bibliography">
    <w:name w:val="Bibliography"/>
    <w:basedOn w:val="Normal"/>
    <w:next w:val="Normal"/>
    <w:uiPriority w:val="37"/>
    <w:semiHidden/>
    <w:unhideWhenUsed/>
    <w:rsid w:val="00900469"/>
    <w:rPr>
      <w:rFonts w:eastAsia="MS Mincho"/>
    </w:rPr>
  </w:style>
  <w:style w:type="paragraph" w:styleId="BlockText">
    <w:name w:val="Block Text"/>
    <w:basedOn w:val="Normal"/>
    <w:uiPriority w:val="99"/>
    <w:semiHidden/>
    <w:unhideWhenUsed/>
    <w:rsid w:val="00900469"/>
    <w:pPr>
      <w:pBdr>
        <w:top w:val="single" w:sz="2" w:space="10" w:color="156082" w:themeColor="accent1" w:shadow="1"/>
        <w:left w:val="single" w:sz="2" w:space="10" w:color="156082" w:themeColor="accent1" w:shadow="1"/>
        <w:bottom w:val="single" w:sz="2" w:space="10" w:color="156082" w:themeColor="accent1" w:shadow="1"/>
        <w:right w:val="single" w:sz="2" w:space="10" w:color="156082" w:themeColor="accent1" w:shadow="1"/>
      </w:pBdr>
      <w:ind w:left="1152" w:right="1152"/>
    </w:pPr>
    <w:rPr>
      <w:rFonts w:eastAsiaTheme="minorEastAsia"/>
      <w:i/>
      <w:iCs/>
      <w:color w:val="156082" w:themeColor="accent1"/>
    </w:rPr>
  </w:style>
  <w:style w:type="paragraph" w:styleId="BodyText">
    <w:name w:val="Body Text"/>
    <w:basedOn w:val="Normal"/>
    <w:link w:val="BodyTextChar"/>
    <w:uiPriority w:val="4"/>
    <w:semiHidden/>
    <w:unhideWhenUsed/>
    <w:rsid w:val="00900469"/>
    <w:rPr>
      <w:rFonts w:eastAsia="MS Mincho"/>
    </w:rPr>
  </w:style>
  <w:style w:type="character" w:customStyle="1" w:styleId="BodyTextChar">
    <w:name w:val="Body Text Char"/>
    <w:basedOn w:val="DefaultParagraphFont"/>
    <w:link w:val="BodyText"/>
    <w:uiPriority w:val="4"/>
    <w:semiHidden/>
    <w:rsid w:val="00900469"/>
    <w:rPr>
      <w:rFonts w:eastAsia="MS Mincho" w:cstheme="minorBidi"/>
    </w:rPr>
  </w:style>
  <w:style w:type="paragraph" w:styleId="BodyText2">
    <w:name w:val="Body Text 2"/>
    <w:basedOn w:val="Normal"/>
    <w:link w:val="BodyText2Char"/>
    <w:uiPriority w:val="99"/>
    <w:semiHidden/>
    <w:unhideWhenUsed/>
    <w:rsid w:val="00900469"/>
    <w:pPr>
      <w:spacing w:line="480" w:lineRule="auto"/>
    </w:pPr>
    <w:rPr>
      <w:rFonts w:eastAsia="MS Mincho"/>
    </w:rPr>
  </w:style>
  <w:style w:type="character" w:customStyle="1" w:styleId="BodyText2Char">
    <w:name w:val="Body Text 2 Char"/>
    <w:basedOn w:val="DefaultParagraphFont"/>
    <w:link w:val="BodyText2"/>
    <w:uiPriority w:val="99"/>
    <w:semiHidden/>
    <w:rsid w:val="00900469"/>
    <w:rPr>
      <w:rFonts w:eastAsia="MS Mincho" w:cstheme="minorBidi"/>
    </w:rPr>
  </w:style>
  <w:style w:type="paragraph" w:styleId="BodyText3">
    <w:name w:val="Body Text 3"/>
    <w:basedOn w:val="Normal"/>
    <w:link w:val="BodyText3Char"/>
    <w:uiPriority w:val="99"/>
    <w:semiHidden/>
    <w:unhideWhenUsed/>
    <w:rsid w:val="00900469"/>
    <w:rPr>
      <w:rFonts w:eastAsia="MS Mincho"/>
      <w:sz w:val="16"/>
      <w:szCs w:val="16"/>
    </w:rPr>
  </w:style>
  <w:style w:type="character" w:customStyle="1" w:styleId="BodyText3Char">
    <w:name w:val="Body Text 3 Char"/>
    <w:basedOn w:val="DefaultParagraphFont"/>
    <w:link w:val="BodyText3"/>
    <w:uiPriority w:val="99"/>
    <w:semiHidden/>
    <w:rsid w:val="00900469"/>
    <w:rPr>
      <w:rFonts w:eastAsia="MS Mincho" w:cstheme="minorBidi"/>
      <w:sz w:val="16"/>
      <w:szCs w:val="16"/>
    </w:rPr>
  </w:style>
  <w:style w:type="paragraph" w:styleId="BodyTextFirstIndent">
    <w:name w:val="Body Text First Indent"/>
    <w:basedOn w:val="BodyText"/>
    <w:link w:val="BodyTextFirstIndentChar"/>
    <w:uiPriority w:val="99"/>
    <w:semiHidden/>
    <w:unhideWhenUsed/>
    <w:rsid w:val="00900469"/>
    <w:pPr>
      <w:ind w:firstLine="360"/>
    </w:pPr>
  </w:style>
  <w:style w:type="character" w:customStyle="1" w:styleId="BodyTextFirstIndentChar">
    <w:name w:val="Body Text First Indent Char"/>
    <w:basedOn w:val="BodyTextChar"/>
    <w:link w:val="BodyTextFirstIndent"/>
    <w:uiPriority w:val="99"/>
    <w:semiHidden/>
    <w:rsid w:val="00900469"/>
    <w:rPr>
      <w:rFonts w:eastAsia="MS Mincho" w:cstheme="minorBidi"/>
    </w:rPr>
  </w:style>
  <w:style w:type="paragraph" w:styleId="BodyTextIndent">
    <w:name w:val="Body Text Indent"/>
    <w:basedOn w:val="Normal"/>
    <w:link w:val="BodyTextIndentChar"/>
    <w:uiPriority w:val="99"/>
    <w:semiHidden/>
    <w:unhideWhenUsed/>
    <w:rsid w:val="00900469"/>
    <w:pPr>
      <w:ind w:left="283"/>
    </w:pPr>
    <w:rPr>
      <w:rFonts w:eastAsia="MS Mincho"/>
    </w:rPr>
  </w:style>
  <w:style w:type="character" w:customStyle="1" w:styleId="BodyTextIndentChar">
    <w:name w:val="Body Text Indent Char"/>
    <w:basedOn w:val="DefaultParagraphFont"/>
    <w:link w:val="BodyTextIndent"/>
    <w:uiPriority w:val="99"/>
    <w:semiHidden/>
    <w:rsid w:val="00900469"/>
    <w:rPr>
      <w:rFonts w:eastAsia="MS Mincho" w:cstheme="minorBidi"/>
    </w:rPr>
  </w:style>
  <w:style w:type="paragraph" w:styleId="BodyTextFirstIndent2">
    <w:name w:val="Body Text First Indent 2"/>
    <w:basedOn w:val="BodyTextIndent"/>
    <w:link w:val="BodyTextFirstIndent2Char"/>
    <w:uiPriority w:val="99"/>
    <w:semiHidden/>
    <w:unhideWhenUsed/>
    <w:rsid w:val="00900469"/>
    <w:pPr>
      <w:ind w:left="360" w:firstLine="360"/>
    </w:pPr>
  </w:style>
  <w:style w:type="character" w:customStyle="1" w:styleId="BodyTextFirstIndent2Char">
    <w:name w:val="Body Text First Indent 2 Char"/>
    <w:basedOn w:val="BodyTextIndentChar"/>
    <w:link w:val="BodyTextFirstIndent2"/>
    <w:uiPriority w:val="99"/>
    <w:semiHidden/>
    <w:rsid w:val="00900469"/>
    <w:rPr>
      <w:rFonts w:eastAsia="MS Mincho" w:cstheme="minorBidi"/>
    </w:rPr>
  </w:style>
  <w:style w:type="paragraph" w:styleId="BodyTextIndent2">
    <w:name w:val="Body Text Indent 2"/>
    <w:basedOn w:val="Normal"/>
    <w:link w:val="BodyTextIndent2Char"/>
    <w:uiPriority w:val="99"/>
    <w:semiHidden/>
    <w:unhideWhenUsed/>
    <w:rsid w:val="00900469"/>
    <w:pPr>
      <w:spacing w:line="480" w:lineRule="auto"/>
      <w:ind w:left="283"/>
    </w:pPr>
    <w:rPr>
      <w:rFonts w:eastAsia="MS Mincho"/>
    </w:rPr>
  </w:style>
  <w:style w:type="character" w:customStyle="1" w:styleId="BodyTextIndent2Char">
    <w:name w:val="Body Text Indent 2 Char"/>
    <w:basedOn w:val="DefaultParagraphFont"/>
    <w:link w:val="BodyTextIndent2"/>
    <w:uiPriority w:val="99"/>
    <w:semiHidden/>
    <w:rsid w:val="00900469"/>
    <w:rPr>
      <w:rFonts w:eastAsia="MS Mincho" w:cstheme="minorBidi"/>
    </w:rPr>
  </w:style>
  <w:style w:type="paragraph" w:styleId="BodyTextIndent3">
    <w:name w:val="Body Text Indent 3"/>
    <w:basedOn w:val="Normal"/>
    <w:link w:val="BodyTextIndent3Char"/>
    <w:uiPriority w:val="99"/>
    <w:semiHidden/>
    <w:unhideWhenUsed/>
    <w:rsid w:val="00900469"/>
    <w:pPr>
      <w:ind w:left="283"/>
    </w:pPr>
    <w:rPr>
      <w:rFonts w:eastAsia="MS Mincho"/>
      <w:sz w:val="16"/>
      <w:szCs w:val="16"/>
    </w:rPr>
  </w:style>
  <w:style w:type="character" w:customStyle="1" w:styleId="BodyTextIndent3Char">
    <w:name w:val="Body Text Indent 3 Char"/>
    <w:basedOn w:val="DefaultParagraphFont"/>
    <w:link w:val="BodyTextIndent3"/>
    <w:uiPriority w:val="99"/>
    <w:semiHidden/>
    <w:rsid w:val="00900469"/>
    <w:rPr>
      <w:rFonts w:eastAsia="MS Mincho" w:cstheme="minorBidi"/>
      <w:sz w:val="16"/>
      <w:szCs w:val="16"/>
    </w:rPr>
  </w:style>
  <w:style w:type="paragraph" w:styleId="Closing">
    <w:name w:val="Closing"/>
    <w:basedOn w:val="Normal"/>
    <w:link w:val="ClosingChar"/>
    <w:uiPriority w:val="99"/>
    <w:semiHidden/>
    <w:unhideWhenUsed/>
    <w:rsid w:val="00900469"/>
    <w:pPr>
      <w:ind w:left="4252"/>
    </w:pPr>
    <w:rPr>
      <w:rFonts w:eastAsia="MS Mincho"/>
    </w:rPr>
  </w:style>
  <w:style w:type="character" w:customStyle="1" w:styleId="ClosingChar">
    <w:name w:val="Closing Char"/>
    <w:basedOn w:val="DefaultParagraphFont"/>
    <w:link w:val="Closing"/>
    <w:uiPriority w:val="99"/>
    <w:semiHidden/>
    <w:rsid w:val="00900469"/>
    <w:rPr>
      <w:rFonts w:eastAsia="MS Mincho" w:cstheme="minorBidi"/>
    </w:rPr>
  </w:style>
  <w:style w:type="paragraph" w:customStyle="1" w:styleId="DecimalAligned">
    <w:name w:val="Decimal Aligned"/>
    <w:basedOn w:val="Normal"/>
    <w:uiPriority w:val="40"/>
    <w:semiHidden/>
    <w:locked/>
    <w:rsid w:val="00900469"/>
    <w:pPr>
      <w:tabs>
        <w:tab w:val="decimal" w:pos="360"/>
      </w:tabs>
      <w:spacing w:after="200" w:line="276" w:lineRule="auto"/>
    </w:pPr>
    <w:rPr>
      <w:rFonts w:eastAsia="MS Mincho"/>
      <w:lang w:val="en-US" w:eastAsia="ja-JP"/>
    </w:rPr>
  </w:style>
  <w:style w:type="paragraph" w:styleId="E-mailSignature">
    <w:name w:val="E-mail Signature"/>
    <w:basedOn w:val="Normal"/>
    <w:link w:val="E-mailSignatureChar"/>
    <w:uiPriority w:val="99"/>
    <w:semiHidden/>
    <w:unhideWhenUsed/>
    <w:rsid w:val="00900469"/>
    <w:rPr>
      <w:rFonts w:eastAsia="MS Mincho"/>
    </w:rPr>
  </w:style>
  <w:style w:type="character" w:customStyle="1" w:styleId="E-mailSignatureChar">
    <w:name w:val="E-mail Signature Char"/>
    <w:basedOn w:val="DefaultParagraphFont"/>
    <w:link w:val="E-mailSignature"/>
    <w:uiPriority w:val="99"/>
    <w:semiHidden/>
    <w:rsid w:val="00900469"/>
    <w:rPr>
      <w:rFonts w:eastAsia="MS Mincho" w:cstheme="minorBidi"/>
    </w:rPr>
  </w:style>
  <w:style w:type="paragraph" w:styleId="EnvelopeAddress">
    <w:name w:val="envelope address"/>
    <w:basedOn w:val="Normal"/>
    <w:uiPriority w:val="99"/>
    <w:semiHidden/>
    <w:unhideWhenUsed/>
    <w:rsid w:val="00900469"/>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900469"/>
    <w:rPr>
      <w:rFonts w:asciiTheme="majorHAnsi" w:eastAsiaTheme="majorEastAsia" w:hAnsiTheme="majorHAnsi" w:cstheme="majorBidi"/>
      <w:sz w:val="20"/>
      <w:szCs w:val="20"/>
    </w:rPr>
  </w:style>
  <w:style w:type="paragraph" w:styleId="Index6">
    <w:name w:val="index 6"/>
    <w:basedOn w:val="Normal"/>
    <w:next w:val="Normal"/>
    <w:autoRedefine/>
    <w:uiPriority w:val="99"/>
    <w:semiHidden/>
    <w:unhideWhenUsed/>
    <w:rsid w:val="00900469"/>
    <w:pPr>
      <w:ind w:left="1320" w:hanging="220"/>
    </w:pPr>
    <w:rPr>
      <w:rFonts w:eastAsia="MS Mincho"/>
    </w:rPr>
  </w:style>
  <w:style w:type="paragraph" w:styleId="Index7">
    <w:name w:val="index 7"/>
    <w:basedOn w:val="Normal"/>
    <w:next w:val="Normal"/>
    <w:autoRedefine/>
    <w:uiPriority w:val="99"/>
    <w:semiHidden/>
    <w:unhideWhenUsed/>
    <w:rsid w:val="00900469"/>
    <w:pPr>
      <w:ind w:left="1540" w:hanging="220"/>
    </w:pPr>
    <w:rPr>
      <w:rFonts w:eastAsia="MS Mincho"/>
    </w:rPr>
  </w:style>
  <w:style w:type="paragraph" w:styleId="Index8">
    <w:name w:val="index 8"/>
    <w:basedOn w:val="Normal"/>
    <w:next w:val="Normal"/>
    <w:autoRedefine/>
    <w:uiPriority w:val="99"/>
    <w:semiHidden/>
    <w:unhideWhenUsed/>
    <w:rsid w:val="00900469"/>
    <w:pPr>
      <w:ind w:left="1760" w:hanging="220"/>
    </w:pPr>
    <w:rPr>
      <w:rFonts w:eastAsia="MS Mincho"/>
    </w:rPr>
  </w:style>
  <w:style w:type="paragraph" w:styleId="Index9">
    <w:name w:val="index 9"/>
    <w:basedOn w:val="Normal"/>
    <w:next w:val="Normal"/>
    <w:autoRedefine/>
    <w:uiPriority w:val="99"/>
    <w:semiHidden/>
    <w:unhideWhenUsed/>
    <w:rsid w:val="00900469"/>
    <w:pPr>
      <w:ind w:left="1980" w:hanging="220"/>
    </w:pPr>
    <w:rPr>
      <w:rFonts w:eastAsia="MS Mincho"/>
    </w:rPr>
  </w:style>
  <w:style w:type="table" w:styleId="LightGrid">
    <w:name w:val="Light Grid"/>
    <w:basedOn w:val="TableNormal"/>
    <w:uiPriority w:val="62"/>
    <w:rsid w:val="00900469"/>
    <w:rPr>
      <w:rFonts w:eastAsia="MS Mincho" w:cstheme="min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900469"/>
    <w:rPr>
      <w:rFonts w:eastAsia="MS Mincho" w:cstheme="minorBidi"/>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18" w:space="0" w:color="156082" w:themeColor="accent1"/>
          <w:right w:val="single" w:sz="8" w:space="0" w:color="156082" w:themeColor="accent1"/>
          <w:insideH w:val="nil"/>
          <w:insideV w:val="single" w:sz="8" w:space="0" w:color="15608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insideH w:val="nil"/>
          <w:insideV w:val="single" w:sz="8" w:space="0" w:color="15608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shd w:val="clear" w:color="auto" w:fill="B2DEF2" w:themeFill="accent1" w:themeFillTint="3F"/>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shd w:val="clear" w:color="auto" w:fill="B2DEF2" w:themeFill="accent1" w:themeFillTint="3F"/>
      </w:tcPr>
    </w:tblStylePr>
    <w:tblStylePr w:type="band2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tcPr>
    </w:tblStylePr>
  </w:style>
  <w:style w:type="table" w:styleId="LightGrid-Accent2">
    <w:name w:val="Light Grid Accent 2"/>
    <w:basedOn w:val="TableNormal"/>
    <w:uiPriority w:val="62"/>
    <w:rsid w:val="00900469"/>
    <w:rPr>
      <w:rFonts w:eastAsia="MS Mincho" w:cstheme="minorBidi"/>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18" w:space="0" w:color="E97132" w:themeColor="accent2"/>
          <w:right w:val="single" w:sz="8" w:space="0" w:color="E97132" w:themeColor="accent2"/>
          <w:insideH w:val="nil"/>
          <w:insideV w:val="single" w:sz="8" w:space="0" w:color="E9713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insideH w:val="nil"/>
          <w:insideV w:val="single" w:sz="8" w:space="0" w:color="E9713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shd w:val="clear" w:color="auto" w:fill="F9DBCC" w:themeFill="accent2" w:themeFillTint="3F"/>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shd w:val="clear" w:color="auto" w:fill="F9DBCC" w:themeFill="accent2" w:themeFillTint="3F"/>
      </w:tcPr>
    </w:tblStylePr>
    <w:tblStylePr w:type="band2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tcPr>
    </w:tblStylePr>
  </w:style>
  <w:style w:type="table" w:styleId="LightGrid-Accent3">
    <w:name w:val="Light Grid Accent 3"/>
    <w:basedOn w:val="TableNormal"/>
    <w:uiPriority w:val="62"/>
    <w:rsid w:val="00900469"/>
    <w:rPr>
      <w:rFonts w:eastAsia="MS Mincho" w:cstheme="minorBidi"/>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18" w:space="0" w:color="196B24" w:themeColor="accent3"/>
          <w:right w:val="single" w:sz="8" w:space="0" w:color="196B24" w:themeColor="accent3"/>
          <w:insideH w:val="nil"/>
          <w:insideV w:val="single" w:sz="8" w:space="0" w:color="196B24"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insideH w:val="nil"/>
          <w:insideV w:val="single" w:sz="8" w:space="0" w:color="196B24"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shd w:val="clear" w:color="auto" w:fill="B3EDBA" w:themeFill="accent3" w:themeFillTint="3F"/>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shd w:val="clear" w:color="auto" w:fill="B3EDBA" w:themeFill="accent3" w:themeFillTint="3F"/>
      </w:tcPr>
    </w:tblStylePr>
    <w:tblStylePr w:type="band2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tcPr>
    </w:tblStylePr>
  </w:style>
  <w:style w:type="table" w:styleId="LightGrid-Accent4">
    <w:name w:val="Light Grid Accent 4"/>
    <w:basedOn w:val="TableNormal"/>
    <w:uiPriority w:val="62"/>
    <w:rsid w:val="00900469"/>
    <w:rPr>
      <w:rFonts w:eastAsia="MS Mincho" w:cstheme="minorBidi"/>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18" w:space="0" w:color="0F9ED5" w:themeColor="accent4"/>
          <w:right w:val="single" w:sz="8" w:space="0" w:color="0F9ED5" w:themeColor="accent4"/>
          <w:insideH w:val="nil"/>
          <w:insideV w:val="single" w:sz="8" w:space="0" w:color="0F9ED5"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insideH w:val="nil"/>
          <w:insideV w:val="single" w:sz="8" w:space="0" w:color="0F9ED5"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shd w:val="clear" w:color="auto" w:fill="BDE9FA" w:themeFill="accent4" w:themeFillTint="3F"/>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shd w:val="clear" w:color="auto" w:fill="BDE9FA" w:themeFill="accent4" w:themeFillTint="3F"/>
      </w:tcPr>
    </w:tblStylePr>
    <w:tblStylePr w:type="band2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tcPr>
    </w:tblStylePr>
  </w:style>
  <w:style w:type="table" w:styleId="LightGrid-Accent5">
    <w:name w:val="Light Grid Accent 5"/>
    <w:basedOn w:val="TableNormal"/>
    <w:uiPriority w:val="62"/>
    <w:rsid w:val="00900469"/>
    <w:rPr>
      <w:rFonts w:eastAsia="MS Mincho" w:cstheme="minorBidi"/>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18" w:space="0" w:color="A02B93" w:themeColor="accent5"/>
          <w:right w:val="single" w:sz="8" w:space="0" w:color="A02B93" w:themeColor="accent5"/>
          <w:insideH w:val="nil"/>
          <w:insideV w:val="single" w:sz="8" w:space="0" w:color="A02B93"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insideH w:val="nil"/>
          <w:insideV w:val="single" w:sz="8" w:space="0" w:color="A02B93"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shd w:val="clear" w:color="auto" w:fill="EFC3E9" w:themeFill="accent5" w:themeFillTint="3F"/>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shd w:val="clear" w:color="auto" w:fill="EFC3E9" w:themeFill="accent5" w:themeFillTint="3F"/>
      </w:tcPr>
    </w:tblStylePr>
    <w:tblStylePr w:type="band2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tcPr>
    </w:tblStylePr>
  </w:style>
  <w:style w:type="table" w:styleId="LightGrid-Accent6">
    <w:name w:val="Light Grid Accent 6"/>
    <w:basedOn w:val="TableNormal"/>
    <w:uiPriority w:val="62"/>
    <w:rsid w:val="00900469"/>
    <w:rPr>
      <w:rFonts w:eastAsia="MS Mincho" w:cstheme="minorBidi"/>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18" w:space="0" w:color="4EA72E" w:themeColor="accent6"/>
          <w:right w:val="single" w:sz="8" w:space="0" w:color="4EA72E" w:themeColor="accent6"/>
          <w:insideH w:val="nil"/>
          <w:insideV w:val="single" w:sz="8" w:space="0" w:color="4EA72E"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insideH w:val="nil"/>
          <w:insideV w:val="single" w:sz="8" w:space="0" w:color="4EA72E"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shd w:val="clear" w:color="auto" w:fill="D0EFC5" w:themeFill="accent6" w:themeFillTint="3F"/>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shd w:val="clear" w:color="auto" w:fill="D0EFC5" w:themeFill="accent6" w:themeFillTint="3F"/>
      </w:tcPr>
    </w:tblStylePr>
    <w:tblStylePr w:type="band2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tcPr>
    </w:tblStylePr>
  </w:style>
  <w:style w:type="table" w:styleId="LightList">
    <w:name w:val="Light List"/>
    <w:basedOn w:val="TableNormal"/>
    <w:uiPriority w:val="61"/>
    <w:rsid w:val="00900469"/>
    <w:rPr>
      <w:rFonts w:eastAsia="MS Mincho" w:cstheme="min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900469"/>
    <w:rPr>
      <w:rFonts w:eastAsia="MS Mincho" w:cstheme="minorBidi"/>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pPr>
        <w:spacing w:before="0" w:after="0" w:line="240" w:lineRule="auto"/>
      </w:pPr>
      <w:rPr>
        <w:b/>
        <w:bCs/>
        <w:color w:val="FFFFFF" w:themeColor="background1"/>
      </w:rPr>
      <w:tblPr/>
      <w:tcPr>
        <w:shd w:val="clear" w:color="auto" w:fill="156082" w:themeFill="accent1"/>
      </w:tcPr>
    </w:tblStylePr>
    <w:tblStylePr w:type="lastRow">
      <w:pPr>
        <w:spacing w:before="0" w:after="0" w:line="240" w:lineRule="auto"/>
      </w:pPr>
      <w:rPr>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tcBorders>
      </w:tcPr>
    </w:tblStylePr>
    <w:tblStylePr w:type="firstCol">
      <w:rPr>
        <w:b/>
        <w:bCs/>
      </w:rPr>
    </w:tblStylePr>
    <w:tblStylePr w:type="lastCol">
      <w:rPr>
        <w:b/>
        <w:bCs/>
      </w:r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style>
  <w:style w:type="table" w:styleId="LightList-Accent2">
    <w:name w:val="Light List Accent 2"/>
    <w:basedOn w:val="TableNormal"/>
    <w:uiPriority w:val="61"/>
    <w:rsid w:val="00900469"/>
    <w:rPr>
      <w:rFonts w:eastAsia="MS Mincho" w:cstheme="minorBidi"/>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pPr>
        <w:spacing w:before="0" w:after="0" w:line="240" w:lineRule="auto"/>
      </w:pPr>
      <w:rPr>
        <w:b/>
        <w:bCs/>
        <w:color w:val="FFFFFF" w:themeColor="background1"/>
      </w:rPr>
      <w:tblPr/>
      <w:tcPr>
        <w:shd w:val="clear" w:color="auto" w:fill="E97132" w:themeFill="accent2"/>
      </w:tcPr>
    </w:tblStylePr>
    <w:tblStylePr w:type="lastRow">
      <w:pPr>
        <w:spacing w:before="0" w:after="0" w:line="240" w:lineRule="auto"/>
      </w:pPr>
      <w:rPr>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tcBorders>
      </w:tcPr>
    </w:tblStylePr>
    <w:tblStylePr w:type="firstCol">
      <w:rPr>
        <w:b/>
        <w:bCs/>
      </w:rPr>
    </w:tblStylePr>
    <w:tblStylePr w:type="lastCol">
      <w:rPr>
        <w:b/>
        <w:bCs/>
      </w:r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style>
  <w:style w:type="table" w:styleId="LightList-Accent3">
    <w:name w:val="Light List Accent 3"/>
    <w:basedOn w:val="TableNormal"/>
    <w:uiPriority w:val="61"/>
    <w:rsid w:val="00900469"/>
    <w:rPr>
      <w:rFonts w:eastAsia="MS Mincho" w:cstheme="minorBidi"/>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pPr>
        <w:spacing w:before="0" w:after="0" w:line="240" w:lineRule="auto"/>
      </w:pPr>
      <w:rPr>
        <w:b/>
        <w:bCs/>
        <w:color w:val="FFFFFF" w:themeColor="background1"/>
      </w:rPr>
      <w:tblPr/>
      <w:tcPr>
        <w:shd w:val="clear" w:color="auto" w:fill="196B24" w:themeFill="accent3"/>
      </w:tcPr>
    </w:tblStylePr>
    <w:tblStylePr w:type="lastRow">
      <w:pPr>
        <w:spacing w:before="0" w:after="0" w:line="240" w:lineRule="auto"/>
      </w:pPr>
      <w:rPr>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tcBorders>
      </w:tcPr>
    </w:tblStylePr>
    <w:tblStylePr w:type="firstCol">
      <w:rPr>
        <w:b/>
        <w:bCs/>
      </w:rPr>
    </w:tblStylePr>
    <w:tblStylePr w:type="lastCol">
      <w:rPr>
        <w:b/>
        <w:bCs/>
      </w:r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style>
  <w:style w:type="table" w:styleId="LightList-Accent4">
    <w:name w:val="Light List Accent 4"/>
    <w:basedOn w:val="TableNormal"/>
    <w:uiPriority w:val="61"/>
    <w:rsid w:val="00900469"/>
    <w:rPr>
      <w:rFonts w:eastAsia="MS Mincho" w:cstheme="minorBidi"/>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pPr>
        <w:spacing w:before="0" w:after="0" w:line="240" w:lineRule="auto"/>
      </w:pPr>
      <w:rPr>
        <w:b/>
        <w:bCs/>
        <w:color w:val="FFFFFF" w:themeColor="background1"/>
      </w:rPr>
      <w:tblPr/>
      <w:tcPr>
        <w:shd w:val="clear" w:color="auto" w:fill="0F9ED5" w:themeFill="accent4"/>
      </w:tcPr>
    </w:tblStylePr>
    <w:tblStylePr w:type="lastRow">
      <w:pPr>
        <w:spacing w:before="0" w:after="0" w:line="240" w:lineRule="auto"/>
      </w:pPr>
      <w:rPr>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tcBorders>
      </w:tcPr>
    </w:tblStylePr>
    <w:tblStylePr w:type="firstCol">
      <w:rPr>
        <w:b/>
        <w:bCs/>
      </w:rPr>
    </w:tblStylePr>
    <w:tblStylePr w:type="lastCol">
      <w:rPr>
        <w:b/>
        <w:bCs/>
      </w:r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style>
  <w:style w:type="table" w:styleId="LightList-Accent5">
    <w:name w:val="Light List Accent 5"/>
    <w:basedOn w:val="TableNormal"/>
    <w:uiPriority w:val="61"/>
    <w:rsid w:val="00900469"/>
    <w:rPr>
      <w:rFonts w:eastAsia="MS Mincho" w:cstheme="minorBidi"/>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pPr>
        <w:spacing w:before="0" w:after="0" w:line="240" w:lineRule="auto"/>
      </w:pPr>
      <w:rPr>
        <w:b/>
        <w:bCs/>
        <w:color w:val="FFFFFF" w:themeColor="background1"/>
      </w:rPr>
      <w:tblPr/>
      <w:tcPr>
        <w:shd w:val="clear" w:color="auto" w:fill="A02B93" w:themeFill="accent5"/>
      </w:tcPr>
    </w:tblStylePr>
    <w:tblStylePr w:type="lastRow">
      <w:pPr>
        <w:spacing w:before="0" w:after="0" w:line="240" w:lineRule="auto"/>
      </w:pPr>
      <w:rPr>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tcBorders>
      </w:tcPr>
    </w:tblStylePr>
    <w:tblStylePr w:type="firstCol">
      <w:rPr>
        <w:b/>
        <w:bCs/>
      </w:rPr>
    </w:tblStylePr>
    <w:tblStylePr w:type="lastCol">
      <w:rPr>
        <w:b/>
        <w:bCs/>
      </w:r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style>
  <w:style w:type="table" w:styleId="LightList-Accent6">
    <w:name w:val="Light List Accent 6"/>
    <w:basedOn w:val="TableNormal"/>
    <w:uiPriority w:val="61"/>
    <w:rsid w:val="00900469"/>
    <w:rPr>
      <w:rFonts w:eastAsia="MS Mincho" w:cstheme="minorBidi"/>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pPr>
        <w:spacing w:before="0" w:after="0" w:line="240" w:lineRule="auto"/>
      </w:pPr>
      <w:rPr>
        <w:b/>
        <w:bCs/>
        <w:color w:val="FFFFFF" w:themeColor="background1"/>
      </w:rPr>
      <w:tblPr/>
      <w:tcPr>
        <w:shd w:val="clear" w:color="auto" w:fill="4EA72E" w:themeFill="accent6"/>
      </w:tcPr>
    </w:tblStylePr>
    <w:tblStylePr w:type="lastRow">
      <w:pPr>
        <w:spacing w:before="0" w:after="0" w:line="240" w:lineRule="auto"/>
      </w:pPr>
      <w:rPr>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tcBorders>
      </w:tcPr>
    </w:tblStylePr>
    <w:tblStylePr w:type="firstCol">
      <w:rPr>
        <w:b/>
        <w:bCs/>
      </w:rPr>
    </w:tblStylePr>
    <w:tblStylePr w:type="lastCol">
      <w:rPr>
        <w:b/>
        <w:bCs/>
      </w:r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style>
  <w:style w:type="character" w:styleId="LineNumber">
    <w:name w:val="line number"/>
    <w:basedOn w:val="DefaultParagraphFont"/>
    <w:uiPriority w:val="99"/>
    <w:semiHidden/>
    <w:unhideWhenUsed/>
    <w:rsid w:val="00900469"/>
  </w:style>
  <w:style w:type="numbering" w:customStyle="1" w:styleId="ListStyle-Number">
    <w:name w:val="List Style - Number"/>
    <w:uiPriority w:val="99"/>
    <w:locked/>
    <w:rsid w:val="00900469"/>
    <w:pPr>
      <w:numPr>
        <w:numId w:val="3"/>
      </w:numPr>
    </w:pPr>
  </w:style>
  <w:style w:type="paragraph" w:styleId="MacroText">
    <w:name w:val="macro"/>
    <w:link w:val="MacroTextChar"/>
    <w:uiPriority w:val="99"/>
    <w:semiHidden/>
    <w:unhideWhenUsed/>
    <w:rsid w:val="00900469"/>
    <w:pPr>
      <w:keepLines/>
      <w:tabs>
        <w:tab w:val="left" w:pos="480"/>
        <w:tab w:val="left" w:pos="960"/>
        <w:tab w:val="left" w:pos="1440"/>
        <w:tab w:val="left" w:pos="1920"/>
        <w:tab w:val="left" w:pos="2400"/>
        <w:tab w:val="left" w:pos="2880"/>
        <w:tab w:val="left" w:pos="3360"/>
        <w:tab w:val="left" w:pos="3840"/>
        <w:tab w:val="left" w:pos="4320"/>
      </w:tabs>
    </w:pPr>
    <w:rPr>
      <w:rFonts w:ascii="Consolas" w:eastAsia="MS Mincho" w:hAnsi="Consolas" w:cs="Consolas"/>
      <w:sz w:val="20"/>
      <w:szCs w:val="20"/>
    </w:rPr>
  </w:style>
  <w:style w:type="character" w:customStyle="1" w:styleId="MacroTextChar">
    <w:name w:val="Macro Text Char"/>
    <w:basedOn w:val="DefaultParagraphFont"/>
    <w:link w:val="MacroText"/>
    <w:uiPriority w:val="99"/>
    <w:semiHidden/>
    <w:rsid w:val="00900469"/>
    <w:rPr>
      <w:rFonts w:ascii="Consolas" w:eastAsia="MS Mincho" w:hAnsi="Consolas" w:cs="Consolas"/>
      <w:sz w:val="20"/>
      <w:szCs w:val="20"/>
    </w:rPr>
  </w:style>
  <w:style w:type="character" w:styleId="PlaceholderText">
    <w:name w:val="Placeholder Text"/>
    <w:basedOn w:val="DefaultParagraphFont"/>
    <w:uiPriority w:val="99"/>
    <w:semiHidden/>
    <w:rsid w:val="00900469"/>
    <w:rPr>
      <w:color w:val="808080"/>
    </w:rPr>
  </w:style>
  <w:style w:type="paragraph" w:styleId="TableofAuthorities">
    <w:name w:val="table of authorities"/>
    <w:basedOn w:val="Normal"/>
    <w:next w:val="Normal"/>
    <w:uiPriority w:val="99"/>
    <w:semiHidden/>
    <w:unhideWhenUsed/>
    <w:rsid w:val="00900469"/>
    <w:pPr>
      <w:ind w:left="220" w:hanging="220"/>
    </w:pPr>
    <w:rPr>
      <w:rFonts w:eastAsia="MS Mincho"/>
    </w:rPr>
  </w:style>
  <w:style w:type="table" w:styleId="TableProfessional">
    <w:name w:val="Table Professional"/>
    <w:basedOn w:val="TableNormal"/>
    <w:uiPriority w:val="99"/>
    <w:semiHidden/>
    <w:unhideWhenUsed/>
    <w:rsid w:val="00900469"/>
    <w:pPr>
      <w:keepLines/>
    </w:pPr>
    <w:rPr>
      <w:rFonts w:eastAsia="MS Mincho" w:cstheme="minorBidi"/>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Theme">
    <w:name w:val="Table Theme"/>
    <w:basedOn w:val="TableNormal"/>
    <w:uiPriority w:val="99"/>
    <w:semiHidden/>
    <w:unhideWhenUsed/>
    <w:rsid w:val="00900469"/>
    <w:pPr>
      <w:keepLines/>
    </w:pPr>
    <w:rPr>
      <w:rFonts w:eastAsia="MS Mincho"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1num">
    <w:name w:val="Heading 1 num"/>
    <w:basedOn w:val="Heading1"/>
    <w:next w:val="Normal"/>
    <w:uiPriority w:val="5"/>
    <w:rsid w:val="00900469"/>
  </w:style>
  <w:style w:type="paragraph" w:customStyle="1" w:styleId="Heading2num">
    <w:name w:val="Heading 2 num"/>
    <w:basedOn w:val="Heading2"/>
    <w:next w:val="Normal"/>
    <w:uiPriority w:val="5"/>
    <w:unhideWhenUsed/>
    <w:rsid w:val="00900469"/>
    <w:pPr>
      <w:tabs>
        <w:tab w:val="right" w:pos="9582"/>
      </w:tabs>
    </w:pPr>
  </w:style>
  <w:style w:type="paragraph" w:customStyle="1" w:styleId="Heading3num">
    <w:name w:val="Heading 3 num"/>
    <w:basedOn w:val="Heading3"/>
    <w:next w:val="Normal"/>
    <w:uiPriority w:val="5"/>
    <w:unhideWhenUsed/>
    <w:rsid w:val="00900469"/>
  </w:style>
  <w:style w:type="paragraph" w:customStyle="1" w:styleId="Acknowledgement">
    <w:name w:val="Acknowledgement"/>
    <w:basedOn w:val="TOCHeading"/>
    <w:qFormat/>
    <w:rsid w:val="00FD45A0"/>
    <w:pPr>
      <w:pBdr>
        <w:bottom w:val="none" w:sz="0" w:space="0" w:color="auto"/>
      </w:pBdr>
      <w:spacing w:before="0" w:after="240" w:line="216" w:lineRule="auto"/>
      <w:outlineLvl w:val="9"/>
    </w:pPr>
    <w:rPr>
      <w:b w:val="0"/>
      <w:color w:val="auto"/>
      <w:szCs w:val="20"/>
    </w:rPr>
  </w:style>
  <w:style w:type="paragraph" w:customStyle="1" w:styleId="Acknowledgementtext">
    <w:name w:val="Acknowledgement text"/>
    <w:basedOn w:val="Normal"/>
    <w:qFormat/>
    <w:rsid w:val="00FD45A0"/>
    <w:pPr>
      <w:spacing w:after="120"/>
    </w:pPr>
    <w:rPr>
      <w:rFonts w:ascii="Calibri Light" w:hAnsi="Calibri Light"/>
      <w:sz w:val="16"/>
      <w:szCs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2259613">
      <w:bodyDiv w:val="1"/>
      <w:marLeft w:val="0"/>
      <w:marRight w:val="0"/>
      <w:marTop w:val="0"/>
      <w:marBottom w:val="0"/>
      <w:divBdr>
        <w:top w:val="none" w:sz="0" w:space="0" w:color="auto"/>
        <w:left w:val="none" w:sz="0" w:space="0" w:color="auto"/>
        <w:bottom w:val="none" w:sz="0" w:space="0" w:color="auto"/>
        <w:right w:val="none" w:sz="0" w:space="0" w:color="auto"/>
      </w:divBdr>
    </w:div>
    <w:div w:id="156458060">
      <w:bodyDiv w:val="1"/>
      <w:marLeft w:val="0"/>
      <w:marRight w:val="0"/>
      <w:marTop w:val="0"/>
      <w:marBottom w:val="0"/>
      <w:divBdr>
        <w:top w:val="none" w:sz="0" w:space="0" w:color="auto"/>
        <w:left w:val="none" w:sz="0" w:space="0" w:color="auto"/>
        <w:bottom w:val="none" w:sz="0" w:space="0" w:color="auto"/>
        <w:right w:val="none" w:sz="0" w:space="0" w:color="auto"/>
      </w:divBdr>
      <w:divsChild>
        <w:div w:id="168644172">
          <w:marLeft w:val="0"/>
          <w:marRight w:val="0"/>
          <w:marTop w:val="0"/>
          <w:marBottom w:val="0"/>
          <w:divBdr>
            <w:top w:val="none" w:sz="0" w:space="0" w:color="auto"/>
            <w:left w:val="none" w:sz="0" w:space="0" w:color="auto"/>
            <w:bottom w:val="none" w:sz="0" w:space="0" w:color="auto"/>
            <w:right w:val="none" w:sz="0" w:space="0" w:color="auto"/>
          </w:divBdr>
        </w:div>
        <w:div w:id="1730300099">
          <w:marLeft w:val="0"/>
          <w:marRight w:val="0"/>
          <w:marTop w:val="0"/>
          <w:marBottom w:val="0"/>
          <w:divBdr>
            <w:top w:val="none" w:sz="0" w:space="0" w:color="auto"/>
            <w:left w:val="none" w:sz="0" w:space="0" w:color="auto"/>
            <w:bottom w:val="none" w:sz="0" w:space="0" w:color="auto"/>
            <w:right w:val="none" w:sz="0" w:space="0" w:color="auto"/>
          </w:divBdr>
        </w:div>
      </w:divsChild>
    </w:div>
    <w:div w:id="162165797">
      <w:bodyDiv w:val="1"/>
      <w:marLeft w:val="0"/>
      <w:marRight w:val="0"/>
      <w:marTop w:val="0"/>
      <w:marBottom w:val="0"/>
      <w:divBdr>
        <w:top w:val="none" w:sz="0" w:space="0" w:color="auto"/>
        <w:left w:val="none" w:sz="0" w:space="0" w:color="auto"/>
        <w:bottom w:val="none" w:sz="0" w:space="0" w:color="auto"/>
        <w:right w:val="none" w:sz="0" w:space="0" w:color="auto"/>
      </w:divBdr>
      <w:divsChild>
        <w:div w:id="22362944">
          <w:marLeft w:val="0"/>
          <w:marRight w:val="0"/>
          <w:marTop w:val="0"/>
          <w:marBottom w:val="0"/>
          <w:divBdr>
            <w:top w:val="none" w:sz="0" w:space="0" w:color="auto"/>
            <w:left w:val="none" w:sz="0" w:space="0" w:color="auto"/>
            <w:bottom w:val="none" w:sz="0" w:space="0" w:color="auto"/>
            <w:right w:val="none" w:sz="0" w:space="0" w:color="auto"/>
          </w:divBdr>
        </w:div>
        <w:div w:id="245266451">
          <w:marLeft w:val="0"/>
          <w:marRight w:val="0"/>
          <w:marTop w:val="0"/>
          <w:marBottom w:val="0"/>
          <w:divBdr>
            <w:top w:val="none" w:sz="0" w:space="0" w:color="auto"/>
            <w:left w:val="none" w:sz="0" w:space="0" w:color="auto"/>
            <w:bottom w:val="none" w:sz="0" w:space="0" w:color="auto"/>
            <w:right w:val="none" w:sz="0" w:space="0" w:color="auto"/>
          </w:divBdr>
        </w:div>
      </w:divsChild>
    </w:div>
    <w:div w:id="220481320">
      <w:bodyDiv w:val="1"/>
      <w:marLeft w:val="0"/>
      <w:marRight w:val="0"/>
      <w:marTop w:val="0"/>
      <w:marBottom w:val="0"/>
      <w:divBdr>
        <w:top w:val="none" w:sz="0" w:space="0" w:color="auto"/>
        <w:left w:val="none" w:sz="0" w:space="0" w:color="auto"/>
        <w:bottom w:val="none" w:sz="0" w:space="0" w:color="auto"/>
        <w:right w:val="none" w:sz="0" w:space="0" w:color="auto"/>
      </w:divBdr>
    </w:div>
    <w:div w:id="256596186">
      <w:bodyDiv w:val="1"/>
      <w:marLeft w:val="0"/>
      <w:marRight w:val="0"/>
      <w:marTop w:val="0"/>
      <w:marBottom w:val="0"/>
      <w:divBdr>
        <w:top w:val="none" w:sz="0" w:space="0" w:color="auto"/>
        <w:left w:val="none" w:sz="0" w:space="0" w:color="auto"/>
        <w:bottom w:val="none" w:sz="0" w:space="0" w:color="auto"/>
        <w:right w:val="none" w:sz="0" w:space="0" w:color="auto"/>
      </w:divBdr>
    </w:div>
    <w:div w:id="292753605">
      <w:bodyDiv w:val="1"/>
      <w:marLeft w:val="0"/>
      <w:marRight w:val="0"/>
      <w:marTop w:val="0"/>
      <w:marBottom w:val="0"/>
      <w:divBdr>
        <w:top w:val="none" w:sz="0" w:space="0" w:color="auto"/>
        <w:left w:val="none" w:sz="0" w:space="0" w:color="auto"/>
        <w:bottom w:val="none" w:sz="0" w:space="0" w:color="auto"/>
        <w:right w:val="none" w:sz="0" w:space="0" w:color="auto"/>
      </w:divBdr>
    </w:div>
    <w:div w:id="293868939">
      <w:bodyDiv w:val="1"/>
      <w:marLeft w:val="0"/>
      <w:marRight w:val="0"/>
      <w:marTop w:val="0"/>
      <w:marBottom w:val="0"/>
      <w:divBdr>
        <w:top w:val="none" w:sz="0" w:space="0" w:color="auto"/>
        <w:left w:val="none" w:sz="0" w:space="0" w:color="auto"/>
        <w:bottom w:val="none" w:sz="0" w:space="0" w:color="auto"/>
        <w:right w:val="none" w:sz="0" w:space="0" w:color="auto"/>
      </w:divBdr>
    </w:div>
    <w:div w:id="338503254">
      <w:bodyDiv w:val="1"/>
      <w:marLeft w:val="0"/>
      <w:marRight w:val="0"/>
      <w:marTop w:val="0"/>
      <w:marBottom w:val="0"/>
      <w:divBdr>
        <w:top w:val="none" w:sz="0" w:space="0" w:color="auto"/>
        <w:left w:val="none" w:sz="0" w:space="0" w:color="auto"/>
        <w:bottom w:val="none" w:sz="0" w:space="0" w:color="auto"/>
        <w:right w:val="none" w:sz="0" w:space="0" w:color="auto"/>
      </w:divBdr>
    </w:div>
    <w:div w:id="349836381">
      <w:bodyDiv w:val="1"/>
      <w:marLeft w:val="0"/>
      <w:marRight w:val="0"/>
      <w:marTop w:val="0"/>
      <w:marBottom w:val="0"/>
      <w:divBdr>
        <w:top w:val="none" w:sz="0" w:space="0" w:color="auto"/>
        <w:left w:val="none" w:sz="0" w:space="0" w:color="auto"/>
        <w:bottom w:val="none" w:sz="0" w:space="0" w:color="auto"/>
        <w:right w:val="none" w:sz="0" w:space="0" w:color="auto"/>
      </w:divBdr>
    </w:div>
    <w:div w:id="391806873">
      <w:bodyDiv w:val="1"/>
      <w:marLeft w:val="0"/>
      <w:marRight w:val="0"/>
      <w:marTop w:val="0"/>
      <w:marBottom w:val="0"/>
      <w:divBdr>
        <w:top w:val="none" w:sz="0" w:space="0" w:color="auto"/>
        <w:left w:val="none" w:sz="0" w:space="0" w:color="auto"/>
        <w:bottom w:val="none" w:sz="0" w:space="0" w:color="auto"/>
        <w:right w:val="none" w:sz="0" w:space="0" w:color="auto"/>
      </w:divBdr>
    </w:div>
    <w:div w:id="403187478">
      <w:bodyDiv w:val="1"/>
      <w:marLeft w:val="0"/>
      <w:marRight w:val="0"/>
      <w:marTop w:val="0"/>
      <w:marBottom w:val="0"/>
      <w:divBdr>
        <w:top w:val="none" w:sz="0" w:space="0" w:color="auto"/>
        <w:left w:val="none" w:sz="0" w:space="0" w:color="auto"/>
        <w:bottom w:val="none" w:sz="0" w:space="0" w:color="auto"/>
        <w:right w:val="none" w:sz="0" w:space="0" w:color="auto"/>
      </w:divBdr>
    </w:div>
    <w:div w:id="412245998">
      <w:bodyDiv w:val="1"/>
      <w:marLeft w:val="0"/>
      <w:marRight w:val="0"/>
      <w:marTop w:val="0"/>
      <w:marBottom w:val="0"/>
      <w:divBdr>
        <w:top w:val="none" w:sz="0" w:space="0" w:color="auto"/>
        <w:left w:val="none" w:sz="0" w:space="0" w:color="auto"/>
        <w:bottom w:val="none" w:sz="0" w:space="0" w:color="auto"/>
        <w:right w:val="none" w:sz="0" w:space="0" w:color="auto"/>
      </w:divBdr>
    </w:div>
    <w:div w:id="436290171">
      <w:bodyDiv w:val="1"/>
      <w:marLeft w:val="0"/>
      <w:marRight w:val="0"/>
      <w:marTop w:val="0"/>
      <w:marBottom w:val="0"/>
      <w:divBdr>
        <w:top w:val="none" w:sz="0" w:space="0" w:color="auto"/>
        <w:left w:val="none" w:sz="0" w:space="0" w:color="auto"/>
        <w:bottom w:val="none" w:sz="0" w:space="0" w:color="auto"/>
        <w:right w:val="none" w:sz="0" w:space="0" w:color="auto"/>
      </w:divBdr>
    </w:div>
    <w:div w:id="462160741">
      <w:bodyDiv w:val="1"/>
      <w:marLeft w:val="0"/>
      <w:marRight w:val="0"/>
      <w:marTop w:val="0"/>
      <w:marBottom w:val="0"/>
      <w:divBdr>
        <w:top w:val="none" w:sz="0" w:space="0" w:color="auto"/>
        <w:left w:val="none" w:sz="0" w:space="0" w:color="auto"/>
        <w:bottom w:val="none" w:sz="0" w:space="0" w:color="auto"/>
        <w:right w:val="none" w:sz="0" w:space="0" w:color="auto"/>
      </w:divBdr>
    </w:div>
    <w:div w:id="507911751">
      <w:bodyDiv w:val="1"/>
      <w:marLeft w:val="0"/>
      <w:marRight w:val="0"/>
      <w:marTop w:val="0"/>
      <w:marBottom w:val="0"/>
      <w:divBdr>
        <w:top w:val="none" w:sz="0" w:space="0" w:color="auto"/>
        <w:left w:val="none" w:sz="0" w:space="0" w:color="auto"/>
        <w:bottom w:val="none" w:sz="0" w:space="0" w:color="auto"/>
        <w:right w:val="none" w:sz="0" w:space="0" w:color="auto"/>
      </w:divBdr>
      <w:divsChild>
        <w:div w:id="1222867646">
          <w:marLeft w:val="0"/>
          <w:marRight w:val="0"/>
          <w:marTop w:val="0"/>
          <w:marBottom w:val="0"/>
          <w:divBdr>
            <w:top w:val="none" w:sz="0" w:space="0" w:color="auto"/>
            <w:left w:val="none" w:sz="0" w:space="0" w:color="auto"/>
            <w:bottom w:val="none" w:sz="0" w:space="0" w:color="auto"/>
            <w:right w:val="none" w:sz="0" w:space="0" w:color="auto"/>
          </w:divBdr>
        </w:div>
        <w:div w:id="1926764226">
          <w:marLeft w:val="0"/>
          <w:marRight w:val="0"/>
          <w:marTop w:val="0"/>
          <w:marBottom w:val="0"/>
          <w:divBdr>
            <w:top w:val="none" w:sz="0" w:space="0" w:color="auto"/>
            <w:left w:val="none" w:sz="0" w:space="0" w:color="auto"/>
            <w:bottom w:val="none" w:sz="0" w:space="0" w:color="auto"/>
            <w:right w:val="none" w:sz="0" w:space="0" w:color="auto"/>
          </w:divBdr>
        </w:div>
      </w:divsChild>
    </w:div>
    <w:div w:id="579825820">
      <w:bodyDiv w:val="1"/>
      <w:marLeft w:val="0"/>
      <w:marRight w:val="0"/>
      <w:marTop w:val="0"/>
      <w:marBottom w:val="0"/>
      <w:divBdr>
        <w:top w:val="none" w:sz="0" w:space="0" w:color="auto"/>
        <w:left w:val="none" w:sz="0" w:space="0" w:color="auto"/>
        <w:bottom w:val="none" w:sz="0" w:space="0" w:color="auto"/>
        <w:right w:val="none" w:sz="0" w:space="0" w:color="auto"/>
      </w:divBdr>
    </w:div>
    <w:div w:id="643236303">
      <w:bodyDiv w:val="1"/>
      <w:marLeft w:val="0"/>
      <w:marRight w:val="0"/>
      <w:marTop w:val="0"/>
      <w:marBottom w:val="0"/>
      <w:divBdr>
        <w:top w:val="none" w:sz="0" w:space="0" w:color="auto"/>
        <w:left w:val="none" w:sz="0" w:space="0" w:color="auto"/>
        <w:bottom w:val="none" w:sz="0" w:space="0" w:color="auto"/>
        <w:right w:val="none" w:sz="0" w:space="0" w:color="auto"/>
      </w:divBdr>
    </w:div>
    <w:div w:id="667368643">
      <w:bodyDiv w:val="1"/>
      <w:marLeft w:val="0"/>
      <w:marRight w:val="0"/>
      <w:marTop w:val="0"/>
      <w:marBottom w:val="0"/>
      <w:divBdr>
        <w:top w:val="none" w:sz="0" w:space="0" w:color="auto"/>
        <w:left w:val="none" w:sz="0" w:space="0" w:color="auto"/>
        <w:bottom w:val="none" w:sz="0" w:space="0" w:color="auto"/>
        <w:right w:val="none" w:sz="0" w:space="0" w:color="auto"/>
      </w:divBdr>
    </w:div>
    <w:div w:id="685522259">
      <w:bodyDiv w:val="1"/>
      <w:marLeft w:val="0"/>
      <w:marRight w:val="0"/>
      <w:marTop w:val="0"/>
      <w:marBottom w:val="0"/>
      <w:divBdr>
        <w:top w:val="none" w:sz="0" w:space="0" w:color="auto"/>
        <w:left w:val="none" w:sz="0" w:space="0" w:color="auto"/>
        <w:bottom w:val="none" w:sz="0" w:space="0" w:color="auto"/>
        <w:right w:val="none" w:sz="0" w:space="0" w:color="auto"/>
      </w:divBdr>
      <w:divsChild>
        <w:div w:id="311640271">
          <w:marLeft w:val="0"/>
          <w:marRight w:val="0"/>
          <w:marTop w:val="0"/>
          <w:marBottom w:val="0"/>
          <w:divBdr>
            <w:top w:val="none" w:sz="0" w:space="0" w:color="auto"/>
            <w:left w:val="none" w:sz="0" w:space="0" w:color="auto"/>
            <w:bottom w:val="none" w:sz="0" w:space="0" w:color="auto"/>
            <w:right w:val="none" w:sz="0" w:space="0" w:color="auto"/>
          </w:divBdr>
        </w:div>
        <w:div w:id="1680891838">
          <w:marLeft w:val="0"/>
          <w:marRight w:val="0"/>
          <w:marTop w:val="0"/>
          <w:marBottom w:val="0"/>
          <w:divBdr>
            <w:top w:val="none" w:sz="0" w:space="0" w:color="auto"/>
            <w:left w:val="none" w:sz="0" w:space="0" w:color="auto"/>
            <w:bottom w:val="none" w:sz="0" w:space="0" w:color="auto"/>
            <w:right w:val="none" w:sz="0" w:space="0" w:color="auto"/>
          </w:divBdr>
        </w:div>
      </w:divsChild>
    </w:div>
    <w:div w:id="727218652">
      <w:bodyDiv w:val="1"/>
      <w:marLeft w:val="0"/>
      <w:marRight w:val="0"/>
      <w:marTop w:val="0"/>
      <w:marBottom w:val="0"/>
      <w:divBdr>
        <w:top w:val="none" w:sz="0" w:space="0" w:color="auto"/>
        <w:left w:val="none" w:sz="0" w:space="0" w:color="auto"/>
        <w:bottom w:val="none" w:sz="0" w:space="0" w:color="auto"/>
        <w:right w:val="none" w:sz="0" w:space="0" w:color="auto"/>
      </w:divBdr>
    </w:div>
    <w:div w:id="728840162">
      <w:bodyDiv w:val="1"/>
      <w:marLeft w:val="0"/>
      <w:marRight w:val="0"/>
      <w:marTop w:val="0"/>
      <w:marBottom w:val="0"/>
      <w:divBdr>
        <w:top w:val="none" w:sz="0" w:space="0" w:color="auto"/>
        <w:left w:val="none" w:sz="0" w:space="0" w:color="auto"/>
        <w:bottom w:val="none" w:sz="0" w:space="0" w:color="auto"/>
        <w:right w:val="none" w:sz="0" w:space="0" w:color="auto"/>
      </w:divBdr>
      <w:divsChild>
        <w:div w:id="83572404">
          <w:marLeft w:val="0"/>
          <w:marRight w:val="0"/>
          <w:marTop w:val="0"/>
          <w:marBottom w:val="0"/>
          <w:divBdr>
            <w:top w:val="none" w:sz="0" w:space="0" w:color="auto"/>
            <w:left w:val="none" w:sz="0" w:space="0" w:color="auto"/>
            <w:bottom w:val="none" w:sz="0" w:space="0" w:color="auto"/>
            <w:right w:val="none" w:sz="0" w:space="0" w:color="auto"/>
          </w:divBdr>
        </w:div>
        <w:div w:id="1958951810">
          <w:marLeft w:val="0"/>
          <w:marRight w:val="0"/>
          <w:marTop w:val="0"/>
          <w:marBottom w:val="0"/>
          <w:divBdr>
            <w:top w:val="none" w:sz="0" w:space="0" w:color="auto"/>
            <w:left w:val="none" w:sz="0" w:space="0" w:color="auto"/>
            <w:bottom w:val="none" w:sz="0" w:space="0" w:color="auto"/>
            <w:right w:val="none" w:sz="0" w:space="0" w:color="auto"/>
          </w:divBdr>
        </w:div>
      </w:divsChild>
    </w:div>
    <w:div w:id="737675002">
      <w:bodyDiv w:val="1"/>
      <w:marLeft w:val="0"/>
      <w:marRight w:val="0"/>
      <w:marTop w:val="0"/>
      <w:marBottom w:val="0"/>
      <w:divBdr>
        <w:top w:val="none" w:sz="0" w:space="0" w:color="auto"/>
        <w:left w:val="none" w:sz="0" w:space="0" w:color="auto"/>
        <w:bottom w:val="none" w:sz="0" w:space="0" w:color="auto"/>
        <w:right w:val="none" w:sz="0" w:space="0" w:color="auto"/>
      </w:divBdr>
    </w:div>
    <w:div w:id="739058036">
      <w:bodyDiv w:val="1"/>
      <w:marLeft w:val="0"/>
      <w:marRight w:val="0"/>
      <w:marTop w:val="0"/>
      <w:marBottom w:val="0"/>
      <w:divBdr>
        <w:top w:val="none" w:sz="0" w:space="0" w:color="auto"/>
        <w:left w:val="none" w:sz="0" w:space="0" w:color="auto"/>
        <w:bottom w:val="none" w:sz="0" w:space="0" w:color="auto"/>
        <w:right w:val="none" w:sz="0" w:space="0" w:color="auto"/>
      </w:divBdr>
    </w:div>
    <w:div w:id="754932754">
      <w:bodyDiv w:val="1"/>
      <w:marLeft w:val="0"/>
      <w:marRight w:val="0"/>
      <w:marTop w:val="0"/>
      <w:marBottom w:val="0"/>
      <w:divBdr>
        <w:top w:val="none" w:sz="0" w:space="0" w:color="auto"/>
        <w:left w:val="none" w:sz="0" w:space="0" w:color="auto"/>
        <w:bottom w:val="none" w:sz="0" w:space="0" w:color="auto"/>
        <w:right w:val="none" w:sz="0" w:space="0" w:color="auto"/>
      </w:divBdr>
    </w:div>
    <w:div w:id="780076355">
      <w:bodyDiv w:val="1"/>
      <w:marLeft w:val="0"/>
      <w:marRight w:val="0"/>
      <w:marTop w:val="0"/>
      <w:marBottom w:val="0"/>
      <w:divBdr>
        <w:top w:val="none" w:sz="0" w:space="0" w:color="auto"/>
        <w:left w:val="none" w:sz="0" w:space="0" w:color="auto"/>
        <w:bottom w:val="none" w:sz="0" w:space="0" w:color="auto"/>
        <w:right w:val="none" w:sz="0" w:space="0" w:color="auto"/>
      </w:divBdr>
    </w:div>
    <w:div w:id="804588216">
      <w:bodyDiv w:val="1"/>
      <w:marLeft w:val="0"/>
      <w:marRight w:val="0"/>
      <w:marTop w:val="0"/>
      <w:marBottom w:val="0"/>
      <w:divBdr>
        <w:top w:val="none" w:sz="0" w:space="0" w:color="auto"/>
        <w:left w:val="none" w:sz="0" w:space="0" w:color="auto"/>
        <w:bottom w:val="none" w:sz="0" w:space="0" w:color="auto"/>
        <w:right w:val="none" w:sz="0" w:space="0" w:color="auto"/>
      </w:divBdr>
    </w:div>
    <w:div w:id="888734619">
      <w:bodyDiv w:val="1"/>
      <w:marLeft w:val="0"/>
      <w:marRight w:val="0"/>
      <w:marTop w:val="0"/>
      <w:marBottom w:val="0"/>
      <w:divBdr>
        <w:top w:val="none" w:sz="0" w:space="0" w:color="auto"/>
        <w:left w:val="none" w:sz="0" w:space="0" w:color="auto"/>
        <w:bottom w:val="none" w:sz="0" w:space="0" w:color="auto"/>
        <w:right w:val="none" w:sz="0" w:space="0" w:color="auto"/>
      </w:divBdr>
    </w:div>
    <w:div w:id="890312066">
      <w:bodyDiv w:val="1"/>
      <w:marLeft w:val="0"/>
      <w:marRight w:val="0"/>
      <w:marTop w:val="0"/>
      <w:marBottom w:val="0"/>
      <w:divBdr>
        <w:top w:val="none" w:sz="0" w:space="0" w:color="auto"/>
        <w:left w:val="none" w:sz="0" w:space="0" w:color="auto"/>
        <w:bottom w:val="none" w:sz="0" w:space="0" w:color="auto"/>
        <w:right w:val="none" w:sz="0" w:space="0" w:color="auto"/>
      </w:divBdr>
    </w:div>
    <w:div w:id="911234103">
      <w:bodyDiv w:val="1"/>
      <w:marLeft w:val="0"/>
      <w:marRight w:val="0"/>
      <w:marTop w:val="0"/>
      <w:marBottom w:val="0"/>
      <w:divBdr>
        <w:top w:val="none" w:sz="0" w:space="0" w:color="auto"/>
        <w:left w:val="none" w:sz="0" w:space="0" w:color="auto"/>
        <w:bottom w:val="none" w:sz="0" w:space="0" w:color="auto"/>
        <w:right w:val="none" w:sz="0" w:space="0" w:color="auto"/>
      </w:divBdr>
    </w:div>
    <w:div w:id="914360233">
      <w:bodyDiv w:val="1"/>
      <w:marLeft w:val="0"/>
      <w:marRight w:val="0"/>
      <w:marTop w:val="0"/>
      <w:marBottom w:val="0"/>
      <w:divBdr>
        <w:top w:val="none" w:sz="0" w:space="0" w:color="auto"/>
        <w:left w:val="none" w:sz="0" w:space="0" w:color="auto"/>
        <w:bottom w:val="none" w:sz="0" w:space="0" w:color="auto"/>
        <w:right w:val="none" w:sz="0" w:space="0" w:color="auto"/>
      </w:divBdr>
    </w:div>
    <w:div w:id="975377656">
      <w:bodyDiv w:val="1"/>
      <w:marLeft w:val="0"/>
      <w:marRight w:val="0"/>
      <w:marTop w:val="0"/>
      <w:marBottom w:val="0"/>
      <w:divBdr>
        <w:top w:val="none" w:sz="0" w:space="0" w:color="auto"/>
        <w:left w:val="none" w:sz="0" w:space="0" w:color="auto"/>
        <w:bottom w:val="none" w:sz="0" w:space="0" w:color="auto"/>
        <w:right w:val="none" w:sz="0" w:space="0" w:color="auto"/>
      </w:divBdr>
    </w:div>
    <w:div w:id="1189031687">
      <w:bodyDiv w:val="1"/>
      <w:marLeft w:val="0"/>
      <w:marRight w:val="0"/>
      <w:marTop w:val="0"/>
      <w:marBottom w:val="0"/>
      <w:divBdr>
        <w:top w:val="none" w:sz="0" w:space="0" w:color="auto"/>
        <w:left w:val="none" w:sz="0" w:space="0" w:color="auto"/>
        <w:bottom w:val="none" w:sz="0" w:space="0" w:color="auto"/>
        <w:right w:val="none" w:sz="0" w:space="0" w:color="auto"/>
      </w:divBdr>
    </w:div>
    <w:div w:id="1465809629">
      <w:bodyDiv w:val="1"/>
      <w:marLeft w:val="0"/>
      <w:marRight w:val="0"/>
      <w:marTop w:val="0"/>
      <w:marBottom w:val="0"/>
      <w:divBdr>
        <w:top w:val="none" w:sz="0" w:space="0" w:color="auto"/>
        <w:left w:val="none" w:sz="0" w:space="0" w:color="auto"/>
        <w:bottom w:val="none" w:sz="0" w:space="0" w:color="auto"/>
        <w:right w:val="none" w:sz="0" w:space="0" w:color="auto"/>
      </w:divBdr>
    </w:div>
    <w:div w:id="1469788356">
      <w:bodyDiv w:val="1"/>
      <w:marLeft w:val="0"/>
      <w:marRight w:val="0"/>
      <w:marTop w:val="0"/>
      <w:marBottom w:val="0"/>
      <w:divBdr>
        <w:top w:val="none" w:sz="0" w:space="0" w:color="auto"/>
        <w:left w:val="none" w:sz="0" w:space="0" w:color="auto"/>
        <w:bottom w:val="none" w:sz="0" w:space="0" w:color="auto"/>
        <w:right w:val="none" w:sz="0" w:space="0" w:color="auto"/>
      </w:divBdr>
    </w:div>
    <w:div w:id="1474759555">
      <w:bodyDiv w:val="1"/>
      <w:marLeft w:val="0"/>
      <w:marRight w:val="0"/>
      <w:marTop w:val="0"/>
      <w:marBottom w:val="0"/>
      <w:divBdr>
        <w:top w:val="none" w:sz="0" w:space="0" w:color="auto"/>
        <w:left w:val="none" w:sz="0" w:space="0" w:color="auto"/>
        <w:bottom w:val="none" w:sz="0" w:space="0" w:color="auto"/>
        <w:right w:val="none" w:sz="0" w:space="0" w:color="auto"/>
      </w:divBdr>
      <w:divsChild>
        <w:div w:id="1212310157">
          <w:marLeft w:val="0"/>
          <w:marRight w:val="0"/>
          <w:marTop w:val="0"/>
          <w:marBottom w:val="0"/>
          <w:divBdr>
            <w:top w:val="none" w:sz="0" w:space="0" w:color="auto"/>
            <w:left w:val="none" w:sz="0" w:space="0" w:color="auto"/>
            <w:bottom w:val="none" w:sz="0" w:space="0" w:color="auto"/>
            <w:right w:val="none" w:sz="0" w:space="0" w:color="auto"/>
          </w:divBdr>
        </w:div>
        <w:div w:id="1980765844">
          <w:marLeft w:val="0"/>
          <w:marRight w:val="0"/>
          <w:marTop w:val="0"/>
          <w:marBottom w:val="0"/>
          <w:divBdr>
            <w:top w:val="none" w:sz="0" w:space="0" w:color="auto"/>
            <w:left w:val="none" w:sz="0" w:space="0" w:color="auto"/>
            <w:bottom w:val="none" w:sz="0" w:space="0" w:color="auto"/>
            <w:right w:val="none" w:sz="0" w:space="0" w:color="auto"/>
          </w:divBdr>
        </w:div>
      </w:divsChild>
    </w:div>
    <w:div w:id="1486780049">
      <w:bodyDiv w:val="1"/>
      <w:marLeft w:val="0"/>
      <w:marRight w:val="0"/>
      <w:marTop w:val="0"/>
      <w:marBottom w:val="0"/>
      <w:divBdr>
        <w:top w:val="none" w:sz="0" w:space="0" w:color="auto"/>
        <w:left w:val="none" w:sz="0" w:space="0" w:color="auto"/>
        <w:bottom w:val="none" w:sz="0" w:space="0" w:color="auto"/>
        <w:right w:val="none" w:sz="0" w:space="0" w:color="auto"/>
      </w:divBdr>
    </w:div>
    <w:div w:id="1594893453">
      <w:bodyDiv w:val="1"/>
      <w:marLeft w:val="0"/>
      <w:marRight w:val="0"/>
      <w:marTop w:val="0"/>
      <w:marBottom w:val="0"/>
      <w:divBdr>
        <w:top w:val="none" w:sz="0" w:space="0" w:color="auto"/>
        <w:left w:val="none" w:sz="0" w:space="0" w:color="auto"/>
        <w:bottom w:val="none" w:sz="0" w:space="0" w:color="auto"/>
        <w:right w:val="none" w:sz="0" w:space="0" w:color="auto"/>
      </w:divBdr>
    </w:div>
    <w:div w:id="1812865175">
      <w:bodyDiv w:val="1"/>
      <w:marLeft w:val="0"/>
      <w:marRight w:val="0"/>
      <w:marTop w:val="0"/>
      <w:marBottom w:val="0"/>
      <w:divBdr>
        <w:top w:val="none" w:sz="0" w:space="0" w:color="auto"/>
        <w:left w:val="none" w:sz="0" w:space="0" w:color="auto"/>
        <w:bottom w:val="none" w:sz="0" w:space="0" w:color="auto"/>
        <w:right w:val="none" w:sz="0" w:space="0" w:color="auto"/>
      </w:divBdr>
    </w:div>
    <w:div w:id="1818765352">
      <w:bodyDiv w:val="1"/>
      <w:marLeft w:val="0"/>
      <w:marRight w:val="0"/>
      <w:marTop w:val="0"/>
      <w:marBottom w:val="0"/>
      <w:divBdr>
        <w:top w:val="none" w:sz="0" w:space="0" w:color="auto"/>
        <w:left w:val="none" w:sz="0" w:space="0" w:color="auto"/>
        <w:bottom w:val="none" w:sz="0" w:space="0" w:color="auto"/>
        <w:right w:val="none" w:sz="0" w:space="0" w:color="auto"/>
      </w:divBdr>
    </w:div>
    <w:div w:id="1857187458">
      <w:bodyDiv w:val="1"/>
      <w:marLeft w:val="0"/>
      <w:marRight w:val="0"/>
      <w:marTop w:val="0"/>
      <w:marBottom w:val="0"/>
      <w:divBdr>
        <w:top w:val="none" w:sz="0" w:space="0" w:color="auto"/>
        <w:left w:val="none" w:sz="0" w:space="0" w:color="auto"/>
        <w:bottom w:val="none" w:sz="0" w:space="0" w:color="auto"/>
        <w:right w:val="none" w:sz="0" w:space="0" w:color="auto"/>
      </w:divBdr>
    </w:div>
    <w:div w:id="1880194347">
      <w:bodyDiv w:val="1"/>
      <w:marLeft w:val="0"/>
      <w:marRight w:val="0"/>
      <w:marTop w:val="0"/>
      <w:marBottom w:val="0"/>
      <w:divBdr>
        <w:top w:val="none" w:sz="0" w:space="0" w:color="auto"/>
        <w:left w:val="none" w:sz="0" w:space="0" w:color="auto"/>
        <w:bottom w:val="none" w:sz="0" w:space="0" w:color="auto"/>
        <w:right w:val="none" w:sz="0" w:space="0" w:color="auto"/>
      </w:divBdr>
    </w:div>
    <w:div w:id="1886944627">
      <w:bodyDiv w:val="1"/>
      <w:marLeft w:val="0"/>
      <w:marRight w:val="0"/>
      <w:marTop w:val="0"/>
      <w:marBottom w:val="0"/>
      <w:divBdr>
        <w:top w:val="none" w:sz="0" w:space="0" w:color="auto"/>
        <w:left w:val="none" w:sz="0" w:space="0" w:color="auto"/>
        <w:bottom w:val="none" w:sz="0" w:space="0" w:color="auto"/>
        <w:right w:val="none" w:sz="0" w:space="0" w:color="auto"/>
      </w:divBdr>
    </w:div>
    <w:div w:id="2006083467">
      <w:bodyDiv w:val="1"/>
      <w:marLeft w:val="0"/>
      <w:marRight w:val="0"/>
      <w:marTop w:val="0"/>
      <w:marBottom w:val="0"/>
      <w:divBdr>
        <w:top w:val="none" w:sz="0" w:space="0" w:color="auto"/>
        <w:left w:val="none" w:sz="0" w:space="0" w:color="auto"/>
        <w:bottom w:val="none" w:sz="0" w:space="0" w:color="auto"/>
        <w:right w:val="none" w:sz="0" w:space="0" w:color="auto"/>
      </w:divBdr>
    </w:div>
    <w:div w:id="2042511679">
      <w:bodyDiv w:val="1"/>
      <w:marLeft w:val="0"/>
      <w:marRight w:val="0"/>
      <w:marTop w:val="0"/>
      <w:marBottom w:val="0"/>
      <w:divBdr>
        <w:top w:val="none" w:sz="0" w:space="0" w:color="auto"/>
        <w:left w:val="none" w:sz="0" w:space="0" w:color="auto"/>
        <w:bottom w:val="none" w:sz="0" w:space="0" w:color="auto"/>
        <w:right w:val="none" w:sz="0" w:space="0" w:color="auto"/>
      </w:divBdr>
    </w:div>
    <w:div w:id="2052267550">
      <w:bodyDiv w:val="1"/>
      <w:marLeft w:val="0"/>
      <w:marRight w:val="0"/>
      <w:marTop w:val="0"/>
      <w:marBottom w:val="0"/>
      <w:divBdr>
        <w:top w:val="none" w:sz="0" w:space="0" w:color="auto"/>
        <w:left w:val="none" w:sz="0" w:space="0" w:color="auto"/>
        <w:bottom w:val="none" w:sz="0" w:space="0" w:color="auto"/>
        <w:right w:val="none" w:sz="0" w:space="0" w:color="auto"/>
      </w:divBdr>
    </w:div>
    <w:div w:id="2057581358">
      <w:bodyDiv w:val="1"/>
      <w:marLeft w:val="0"/>
      <w:marRight w:val="0"/>
      <w:marTop w:val="0"/>
      <w:marBottom w:val="0"/>
      <w:divBdr>
        <w:top w:val="none" w:sz="0" w:space="0" w:color="auto"/>
        <w:left w:val="none" w:sz="0" w:space="0" w:color="auto"/>
        <w:bottom w:val="none" w:sz="0" w:space="0" w:color="auto"/>
        <w:right w:val="none" w:sz="0" w:space="0" w:color="auto"/>
      </w:divBdr>
    </w:div>
    <w:div w:id="2059281403">
      <w:bodyDiv w:val="1"/>
      <w:marLeft w:val="0"/>
      <w:marRight w:val="0"/>
      <w:marTop w:val="0"/>
      <w:marBottom w:val="0"/>
      <w:divBdr>
        <w:top w:val="none" w:sz="0" w:space="0" w:color="auto"/>
        <w:left w:val="none" w:sz="0" w:space="0" w:color="auto"/>
        <w:bottom w:val="none" w:sz="0" w:space="0" w:color="auto"/>
        <w:right w:val="none" w:sz="0" w:space="0" w:color="auto"/>
      </w:divBdr>
    </w:div>
    <w:div w:id="2073691342">
      <w:bodyDiv w:val="1"/>
      <w:marLeft w:val="0"/>
      <w:marRight w:val="0"/>
      <w:marTop w:val="0"/>
      <w:marBottom w:val="0"/>
      <w:divBdr>
        <w:top w:val="none" w:sz="0" w:space="0" w:color="auto"/>
        <w:left w:val="none" w:sz="0" w:space="0" w:color="auto"/>
        <w:bottom w:val="none" w:sz="0" w:space="0" w:color="auto"/>
        <w:right w:val="none" w:sz="0" w:space="0" w:color="auto"/>
      </w:divBdr>
      <w:divsChild>
        <w:div w:id="432406618">
          <w:marLeft w:val="0"/>
          <w:marRight w:val="0"/>
          <w:marTop w:val="0"/>
          <w:marBottom w:val="0"/>
          <w:divBdr>
            <w:top w:val="none" w:sz="0" w:space="0" w:color="auto"/>
            <w:left w:val="none" w:sz="0" w:space="0" w:color="auto"/>
            <w:bottom w:val="none" w:sz="0" w:space="0" w:color="auto"/>
            <w:right w:val="none" w:sz="0" w:space="0" w:color="auto"/>
          </w:divBdr>
        </w:div>
        <w:div w:id="2081100819">
          <w:marLeft w:val="0"/>
          <w:marRight w:val="0"/>
          <w:marTop w:val="0"/>
          <w:marBottom w:val="0"/>
          <w:divBdr>
            <w:top w:val="none" w:sz="0" w:space="0" w:color="auto"/>
            <w:left w:val="none" w:sz="0" w:space="0" w:color="auto"/>
            <w:bottom w:val="none" w:sz="0" w:space="0" w:color="auto"/>
            <w:right w:val="none" w:sz="0" w:space="0" w:color="auto"/>
          </w:divBdr>
        </w:div>
      </w:divsChild>
    </w:div>
    <w:div w:id="2113360823">
      <w:bodyDiv w:val="1"/>
      <w:marLeft w:val="0"/>
      <w:marRight w:val="0"/>
      <w:marTop w:val="0"/>
      <w:marBottom w:val="0"/>
      <w:divBdr>
        <w:top w:val="none" w:sz="0" w:space="0" w:color="auto"/>
        <w:left w:val="none" w:sz="0" w:space="0" w:color="auto"/>
        <w:bottom w:val="none" w:sz="0" w:space="0" w:color="auto"/>
        <w:right w:val="none" w:sz="0" w:space="0" w:color="auto"/>
      </w:divBdr>
      <w:divsChild>
        <w:div w:id="859975459">
          <w:marLeft w:val="0"/>
          <w:marRight w:val="0"/>
          <w:marTop w:val="0"/>
          <w:marBottom w:val="0"/>
          <w:divBdr>
            <w:top w:val="none" w:sz="0" w:space="0" w:color="auto"/>
            <w:left w:val="none" w:sz="0" w:space="0" w:color="auto"/>
            <w:bottom w:val="none" w:sz="0" w:space="0" w:color="auto"/>
            <w:right w:val="none" w:sz="0" w:space="0" w:color="auto"/>
          </w:divBdr>
        </w:div>
        <w:div w:id="1887913745">
          <w:marLeft w:val="0"/>
          <w:marRight w:val="0"/>
          <w:marTop w:val="0"/>
          <w:marBottom w:val="0"/>
          <w:divBdr>
            <w:top w:val="none" w:sz="0" w:space="0" w:color="auto"/>
            <w:left w:val="none" w:sz="0" w:space="0" w:color="auto"/>
            <w:bottom w:val="none" w:sz="0" w:space="0" w:color="auto"/>
            <w:right w:val="none" w:sz="0" w:space="0" w:color="auto"/>
          </w:divBdr>
        </w:div>
      </w:divsChild>
    </w:div>
  </w:divs>
  <w:encoding w:val="macintosh"/>
  <w:optimizeForBrowser/>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xml"/><Relationship Id="rId21" Type="http://schemas.openxmlformats.org/officeDocument/2006/relationships/image" Target="media/image4.png"/><Relationship Id="rId42" Type="http://schemas.openxmlformats.org/officeDocument/2006/relationships/image" Target="media/image30.png"/><Relationship Id="rId47" Type="http://schemas.openxmlformats.org/officeDocument/2006/relationships/chart" Target="charts/chart16.xml"/><Relationship Id="rId63" Type="http://schemas.openxmlformats.org/officeDocument/2006/relationships/footer" Target="footer14.xml"/><Relationship Id="rId68" Type="http://schemas.openxmlformats.org/officeDocument/2006/relationships/footer" Target="footer16.xml"/><Relationship Id="rId2" Type="http://schemas.openxmlformats.org/officeDocument/2006/relationships/customXml" Target="../customXml/item2.xml"/><Relationship Id="rId16" Type="http://schemas.openxmlformats.org/officeDocument/2006/relationships/image" Target="media/image1.jpg"/><Relationship Id="rId29" Type="http://schemas.openxmlformats.org/officeDocument/2006/relationships/footer" Target="footer6.xml"/><Relationship Id="rId11" Type="http://schemas.openxmlformats.org/officeDocument/2006/relationships/styles" Target="styles.xml"/><Relationship Id="rId24" Type="http://schemas.openxmlformats.org/officeDocument/2006/relationships/footer" Target="footer4.xml"/><Relationship Id="rId32" Type="http://schemas.openxmlformats.org/officeDocument/2006/relationships/chart" Target="charts/chart5.xml"/><Relationship Id="rId37" Type="http://schemas.openxmlformats.org/officeDocument/2006/relationships/chart" Target="charts/chart8.xml"/><Relationship Id="rId40" Type="http://schemas.openxmlformats.org/officeDocument/2006/relationships/chart" Target="charts/chart11.xml"/><Relationship Id="rId45" Type="http://schemas.openxmlformats.org/officeDocument/2006/relationships/chart" Target="charts/chart14.xml"/><Relationship Id="rId53" Type="http://schemas.openxmlformats.org/officeDocument/2006/relationships/footer" Target="footer9.xml"/><Relationship Id="rId58" Type="http://schemas.openxmlformats.org/officeDocument/2006/relationships/footer" Target="footer11.xml"/><Relationship Id="rId66" Type="http://schemas.openxmlformats.org/officeDocument/2006/relationships/chart" Target="charts/chart27.xml"/><Relationship Id="rId74" Type="http://schemas.openxmlformats.org/officeDocument/2006/relationships/fontTable" Target="fontTable.xml"/><Relationship Id="rId5" Type="http://schemas.openxmlformats.org/officeDocument/2006/relationships/customXml" Target="../customXml/item5.xml"/><Relationship Id="rId61" Type="http://schemas.openxmlformats.org/officeDocument/2006/relationships/footer" Target="footer12.xml"/><Relationship Id="rId19" Type="http://schemas.openxmlformats.org/officeDocument/2006/relationships/hyperlink" Target="mailto:information@dtf.vic.gov.au" TargetMode="External"/><Relationship Id="rId14" Type="http://schemas.openxmlformats.org/officeDocument/2006/relationships/footnotes" Target="footnotes.xml"/><Relationship Id="rId22" Type="http://schemas.openxmlformats.org/officeDocument/2006/relationships/footer" Target="footer2.xml"/><Relationship Id="rId27" Type="http://schemas.openxmlformats.org/officeDocument/2006/relationships/chart" Target="charts/chart2.xml"/><Relationship Id="rId30" Type="http://schemas.openxmlformats.org/officeDocument/2006/relationships/footer" Target="footer7.xml"/><Relationship Id="rId35" Type="http://schemas.microsoft.com/office/2014/relationships/chartEx" Target="charts/chartEx1.xml"/><Relationship Id="rId43" Type="http://schemas.openxmlformats.org/officeDocument/2006/relationships/image" Target="media/image40.png"/><Relationship Id="rId48" Type="http://schemas.openxmlformats.org/officeDocument/2006/relationships/chart" Target="charts/chart17.xml"/><Relationship Id="rId56" Type="http://schemas.openxmlformats.org/officeDocument/2006/relationships/chart" Target="charts/chart23.xml"/><Relationship Id="rId64" Type="http://schemas.openxmlformats.org/officeDocument/2006/relationships/footer" Target="footer15.xml"/><Relationship Id="rId69" Type="http://schemas.openxmlformats.org/officeDocument/2006/relationships/footer" Target="footer17.xml"/><Relationship Id="rId8" Type="http://schemas.openxmlformats.org/officeDocument/2006/relationships/customXml" Target="../customXml/item8.xml"/><Relationship Id="rId51" Type="http://schemas.openxmlformats.org/officeDocument/2006/relationships/chart" Target="charts/chart20.xml"/><Relationship Id="rId72" Type="http://schemas.openxmlformats.org/officeDocument/2006/relationships/image" Target="media/image5.jpg"/><Relationship Id="rId3" Type="http://schemas.openxmlformats.org/officeDocument/2006/relationships/customXml" Target="../customXml/item3.xml"/><Relationship Id="rId12" Type="http://schemas.openxmlformats.org/officeDocument/2006/relationships/settings" Target="settings.xml"/><Relationship Id="rId17" Type="http://schemas.openxmlformats.org/officeDocument/2006/relationships/image" Target="media/image2.png"/><Relationship Id="rId25" Type="http://schemas.openxmlformats.org/officeDocument/2006/relationships/footer" Target="footer5.xml"/><Relationship Id="rId33" Type="http://schemas.openxmlformats.org/officeDocument/2006/relationships/chart" Target="charts/chart6.xml"/><Relationship Id="rId38" Type="http://schemas.openxmlformats.org/officeDocument/2006/relationships/chart" Target="charts/chart9.xml"/><Relationship Id="rId46" Type="http://schemas.openxmlformats.org/officeDocument/2006/relationships/chart" Target="charts/chart15.xml"/><Relationship Id="rId59" Type="http://schemas.openxmlformats.org/officeDocument/2006/relationships/chart" Target="charts/chart24.xml"/><Relationship Id="rId67" Type="http://schemas.openxmlformats.org/officeDocument/2006/relationships/chart" Target="charts/chart28.xml"/><Relationship Id="rId20" Type="http://schemas.openxmlformats.org/officeDocument/2006/relationships/footer" Target="footer1.xml"/><Relationship Id="rId41" Type="http://schemas.openxmlformats.org/officeDocument/2006/relationships/chart" Target="charts/chart12.xml"/><Relationship Id="rId54" Type="http://schemas.openxmlformats.org/officeDocument/2006/relationships/chart" Target="charts/chart21.xml"/><Relationship Id="rId62" Type="http://schemas.openxmlformats.org/officeDocument/2006/relationships/footer" Target="footer13.xml"/><Relationship Id="rId70" Type="http://schemas.openxmlformats.org/officeDocument/2006/relationships/footer" Target="footer18.xm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endnotes" Target="endnotes.xml"/><Relationship Id="rId23" Type="http://schemas.openxmlformats.org/officeDocument/2006/relationships/footer" Target="footer3.xml"/><Relationship Id="rId28" Type="http://schemas.openxmlformats.org/officeDocument/2006/relationships/chart" Target="charts/chart3.xml"/><Relationship Id="rId36" Type="http://schemas.openxmlformats.org/officeDocument/2006/relationships/image" Target="media/image20.png"/><Relationship Id="rId49" Type="http://schemas.openxmlformats.org/officeDocument/2006/relationships/chart" Target="charts/chart18.xml"/><Relationship Id="rId57" Type="http://schemas.openxmlformats.org/officeDocument/2006/relationships/footer" Target="footer10.xml"/><Relationship Id="rId10" Type="http://schemas.openxmlformats.org/officeDocument/2006/relationships/numbering" Target="numbering.xml"/><Relationship Id="rId31" Type="http://schemas.openxmlformats.org/officeDocument/2006/relationships/chart" Target="charts/chart4.xml"/><Relationship Id="rId44" Type="http://schemas.openxmlformats.org/officeDocument/2006/relationships/chart" Target="charts/chart13.xml"/><Relationship Id="rId52" Type="http://schemas.openxmlformats.org/officeDocument/2006/relationships/footer" Target="footer8.xml"/><Relationship Id="rId60" Type="http://schemas.openxmlformats.org/officeDocument/2006/relationships/chart" Target="charts/chart25.xml"/><Relationship Id="rId65" Type="http://schemas.openxmlformats.org/officeDocument/2006/relationships/chart" Target="charts/chart26.xml"/><Relationship Id="rId73" Type="http://schemas.openxmlformats.org/officeDocument/2006/relationships/footer" Target="footer20.xml"/><Relationship Id="rId4" Type="http://schemas.openxmlformats.org/officeDocument/2006/relationships/customXml" Target="../customXml/item4.xml"/><Relationship Id="rId9" Type="http://schemas.openxmlformats.org/officeDocument/2006/relationships/customXml" Target="../customXml/item9.xml"/><Relationship Id="rId13" Type="http://schemas.openxmlformats.org/officeDocument/2006/relationships/webSettings" Target="webSettings.xml"/><Relationship Id="rId18" Type="http://schemas.openxmlformats.org/officeDocument/2006/relationships/image" Target="media/image3.png"/><Relationship Id="rId39" Type="http://schemas.openxmlformats.org/officeDocument/2006/relationships/chart" Target="charts/chart10.xml"/><Relationship Id="rId34" Type="http://schemas.openxmlformats.org/officeDocument/2006/relationships/chart" Target="charts/chart7.xml"/><Relationship Id="rId50" Type="http://schemas.openxmlformats.org/officeDocument/2006/relationships/chart" Target="charts/chart19.xml"/><Relationship Id="rId55" Type="http://schemas.openxmlformats.org/officeDocument/2006/relationships/chart" Target="charts/chart22.xml"/><Relationship Id="rId7" Type="http://schemas.openxmlformats.org/officeDocument/2006/relationships/customXml" Target="../customXml/item7.xml"/><Relationship Id="rId71" Type="http://schemas.openxmlformats.org/officeDocument/2006/relationships/footer" Target="footer19.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https://vicgov.sharepoint.com/sites/VG002735/BP2/Spreadsheets/Link_BP2_Chapter2.xlsx" TargetMode="External"/><Relationship Id="rId2" Type="http://schemas.microsoft.com/office/2011/relationships/chartColorStyle" Target="colors11.xml"/><Relationship Id="rId1" Type="http://schemas.microsoft.com/office/2011/relationships/chartStyle" Target="style11.xml"/></Relationships>
</file>

<file path=word/charts/_rels/chart11.xml.rels><?xml version="1.0" encoding="UTF-8" standalone="yes"?>
<Relationships xmlns="http://schemas.openxmlformats.org/package/2006/relationships"><Relationship Id="rId3" Type="http://schemas.openxmlformats.org/officeDocument/2006/relationships/oleObject" Target="https://vicgov.sharepoint.com/sites/VG002735/BP2/Spreadsheets/Link_BP2_Chapter2.xlsx" TargetMode="Externa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chartUserShapes" Target="../drawings/drawing1.xml"/></Relationships>
</file>

<file path=word/charts/_rels/chart12.xml.rels><?xml version="1.0" encoding="UTF-8" standalone="yes"?>
<Relationships xmlns="http://schemas.openxmlformats.org/package/2006/relationships"><Relationship Id="rId3" Type="http://schemas.openxmlformats.org/officeDocument/2006/relationships/oleObject" Target="https://vicgov.sharepoint.com/sites/VG002735/BP2/Spreadsheets/Link_BP2_Chapter2.xlsx" TargetMode="External"/><Relationship Id="rId2" Type="http://schemas.microsoft.com/office/2011/relationships/chartColorStyle" Target="colors13.xml"/><Relationship Id="rId1" Type="http://schemas.microsoft.com/office/2011/relationships/chartStyle" Target="style13.xml"/></Relationships>
</file>

<file path=word/charts/_rels/chart13.xml.rels><?xml version="1.0" encoding="UTF-8" standalone="yes"?>
<Relationships xmlns="http://schemas.openxmlformats.org/package/2006/relationships"><Relationship Id="rId3" Type="http://schemas.openxmlformats.org/officeDocument/2006/relationships/oleObject" Target="https://vicgov.sharepoint.com/sites/VG002735/BP2/Spreadsheets/Link_BP2_Chapter2.xlsx" TargetMode="External"/><Relationship Id="rId2" Type="http://schemas.microsoft.com/office/2011/relationships/chartColorStyle" Target="colors14.xml"/><Relationship Id="rId1" Type="http://schemas.microsoft.com/office/2011/relationships/chartStyle" Target="style14.xml"/></Relationships>
</file>

<file path=word/charts/_rels/chart14.xml.rels><?xml version="1.0" encoding="UTF-8" standalone="yes"?>
<Relationships xmlns="http://schemas.openxmlformats.org/package/2006/relationships"><Relationship Id="rId3" Type="http://schemas.openxmlformats.org/officeDocument/2006/relationships/oleObject" Target="https://vicgov.sharepoint.com/sites/VG002735/BP2/Spreadsheets/Link_BP2_Chapter2.xlsx" TargetMode="Externa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chartUserShapes" Target="../drawings/drawing2.xml"/></Relationships>
</file>

<file path=word/charts/_rels/chart15.xml.rels><?xml version="1.0" encoding="UTF-8" standalone="yes"?>
<Relationships xmlns="http://schemas.openxmlformats.org/package/2006/relationships"><Relationship Id="rId3" Type="http://schemas.openxmlformats.org/officeDocument/2006/relationships/oleObject" Target="https://vicgov.sharepoint.com/sites/VG002735/BP2/Spreadsheets/Link_BP2_Chapter2.xlsx" TargetMode="External"/><Relationship Id="rId2" Type="http://schemas.microsoft.com/office/2011/relationships/chartColorStyle" Target="colors16.xml"/><Relationship Id="rId1" Type="http://schemas.microsoft.com/office/2011/relationships/chartStyle" Target="style16.xml"/></Relationships>
</file>

<file path=word/charts/_rels/chart16.xml.rels><?xml version="1.0" encoding="UTF-8" standalone="yes"?>
<Relationships xmlns="http://schemas.openxmlformats.org/package/2006/relationships"><Relationship Id="rId3" Type="http://schemas.openxmlformats.org/officeDocument/2006/relationships/oleObject" Target="https://vicgov-my.sharepoint.com/personal/debbie_field_dtf_vic_gov_au/Documents/Economic%20analysis/Budget%20etc/26-27%20Budget/Revised%20labour%20force%20charts.xlsx" TargetMode="External"/><Relationship Id="rId2" Type="http://schemas.microsoft.com/office/2011/relationships/chartColorStyle" Target="colors17.xml"/><Relationship Id="rId1" Type="http://schemas.microsoft.com/office/2011/relationships/chartStyle" Target="style17.xml"/></Relationships>
</file>

<file path=word/charts/_rels/chart17.xml.rels><?xml version="1.0" encoding="UTF-8" standalone="yes"?>
<Relationships xmlns="http://schemas.openxmlformats.org/package/2006/relationships"><Relationship Id="rId3" Type="http://schemas.openxmlformats.org/officeDocument/2006/relationships/oleObject" Target="https://vicgov-my.sharepoint.com/personal/debbie_field_dtf_vic_gov_au/Documents/Economic%20analysis/Budget%20etc/26-27%20Budget/Revised%20labour%20force%20charts.xlsx" TargetMode="External"/><Relationship Id="rId2" Type="http://schemas.microsoft.com/office/2011/relationships/chartColorStyle" Target="colors18.xml"/><Relationship Id="rId1" Type="http://schemas.microsoft.com/office/2011/relationships/chartStyle" Target="style18.xml"/></Relationships>
</file>

<file path=word/charts/_rels/chart18.xml.rels><?xml version="1.0" encoding="UTF-8" standalone="yes"?>
<Relationships xmlns="http://schemas.openxmlformats.org/package/2006/relationships"><Relationship Id="rId3" Type="http://schemas.openxmlformats.org/officeDocument/2006/relationships/oleObject" Target="https://vicgov.sharepoint.com/sites/VG002735/BP2/Spreadsheets/Link_BP2_Chapter2.xlsx" TargetMode="External"/><Relationship Id="rId2" Type="http://schemas.microsoft.com/office/2011/relationships/chartColorStyle" Target="colors19.xml"/><Relationship Id="rId1" Type="http://schemas.microsoft.com/office/2011/relationships/chartStyle" Target="style19.xml"/></Relationships>
</file>

<file path=word/charts/_rels/chart19.xml.rels><?xml version="1.0" encoding="UTF-8" standalone="yes"?>
<Relationships xmlns="http://schemas.openxmlformats.org/package/2006/relationships"><Relationship Id="rId3" Type="http://schemas.openxmlformats.org/officeDocument/2006/relationships/oleObject" Target="https://vicgov.sharepoint.com/sites/VG002735/BP2/Spreadsheets/Link_BP2_Chapter2.xlsx" TargetMode="External"/><Relationship Id="rId2" Type="http://schemas.microsoft.com/office/2011/relationships/chartColorStyle" Target="colors20.xml"/><Relationship Id="rId1" Type="http://schemas.microsoft.com/office/2011/relationships/chartStyle" Target="style20.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https://vicgov.sharepoint.com/sites/VG002735/BP2/Spreadsheets/Link_BP2_Chapter2.xlsx" TargetMode="External"/><Relationship Id="rId2" Type="http://schemas.microsoft.com/office/2011/relationships/chartColorStyle" Target="colors21.xml"/><Relationship Id="rId1" Type="http://schemas.microsoft.com/office/2011/relationships/chartStyle" Target="style21.xml"/></Relationships>
</file>

<file path=word/charts/_rels/chart2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2.xml"/><Relationship Id="rId1" Type="http://schemas.microsoft.com/office/2011/relationships/chartStyle" Target="style22.xml"/><Relationship Id="rId4" Type="http://schemas.openxmlformats.org/officeDocument/2006/relationships/oleObject" Target="../embeddings/oleObject1.bin"/></Relationships>
</file>

<file path=word/charts/_rels/chart22.xml.rels><?xml version="1.0" encoding="UTF-8" standalone="yes"?>
<Relationships xmlns="http://schemas.openxmlformats.org/package/2006/relationships"><Relationship Id="rId3" Type="http://schemas.openxmlformats.org/officeDocument/2006/relationships/oleObject" Target="https://vicgov.sharepoint.com/sites/VG002735/BP2/Spreadsheets/BP2_Chapter3.xlsx" TargetMode="External"/><Relationship Id="rId2" Type="http://schemas.microsoft.com/office/2011/relationships/chartColorStyle" Target="colors23.xml"/><Relationship Id="rId1" Type="http://schemas.microsoft.com/office/2011/relationships/chartStyle" Target="style23.xml"/></Relationships>
</file>

<file path=word/charts/_rels/chart23.xml.rels><?xml version="1.0" encoding="UTF-8" standalone="yes"?>
<Relationships xmlns="http://schemas.openxmlformats.org/package/2006/relationships"><Relationship Id="rId3" Type="http://schemas.openxmlformats.org/officeDocument/2006/relationships/oleObject" Target="https://vicgov.sharepoint.com/sites/VG002735/BP2/Spreadsheets/BP2_Chapter3.xlsx" TargetMode="External"/><Relationship Id="rId2" Type="http://schemas.microsoft.com/office/2011/relationships/chartColorStyle" Target="colors24.xml"/><Relationship Id="rId1" Type="http://schemas.microsoft.com/office/2011/relationships/chartStyle" Target="style24.xml"/></Relationships>
</file>

<file path=word/charts/_rels/chart24.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https://vicgov.sharepoint.com/sites/VG002735/BP2/Spreadsheets/Link_BP2_Chapter4.xlsx" TargetMode="External"/></Relationships>
</file>

<file path=word/charts/_rels/chart25.xml.rels><?xml version="1.0" encoding="UTF-8" standalone="yes"?>
<Relationships xmlns="http://schemas.openxmlformats.org/package/2006/relationships"><Relationship Id="rId3" Type="http://schemas.openxmlformats.org/officeDocument/2006/relationships/oleObject" Target="https://vicgov.sharepoint.com/sites/VG002735/BP2/Spreadsheets/Link_BP2_Chapter4.xlsx" TargetMode="External"/><Relationship Id="rId2" Type="http://schemas.microsoft.com/office/2011/relationships/chartColorStyle" Target="colors25.xml"/><Relationship Id="rId1" Type="http://schemas.microsoft.com/office/2011/relationships/chartStyle" Target="style25.xml"/></Relationships>
</file>

<file path=word/charts/_rels/chart26.xml.rels><?xml version="1.0" encoding="UTF-8" standalone="yes"?>
<Relationships xmlns="http://schemas.openxmlformats.org/package/2006/relationships"><Relationship Id="rId2" Type="http://schemas.openxmlformats.org/officeDocument/2006/relationships/oleObject" Target="file:///\\pvfdtf001.ca.vic.gov.au\DTF_DATA02$\TRIM\MFFS_EFP\ECONOMICS\PROJECTS\2026-27%20Budget\Chapter%206%20(Sensitivity%20Analysis)\Modelling\Scenario\CGE%20results\Version%204\Weaker%20global%20growth%20(new%20run)\FormatResults_2026-27%20Budget_domestic_downturn_v3.xlsx" TargetMode="External"/><Relationship Id="rId1" Type="http://schemas.openxmlformats.org/officeDocument/2006/relationships/themeOverride" Target="../theme/themeOverride2.xml"/></Relationships>
</file>

<file path=word/charts/_rels/chart27.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26.xml"/><Relationship Id="rId1" Type="http://schemas.microsoft.com/office/2011/relationships/chartStyle" Target="style26.xml"/><Relationship Id="rId4" Type="http://schemas.openxmlformats.org/officeDocument/2006/relationships/oleObject" Target="https://vicgov-my.sharepoint.com/personal/jacklyn_lee_dtf_vic_gov_au/Documents/Documents/Long-term%20unemployment.xlsx" TargetMode="External"/></Relationships>
</file>

<file path=word/charts/_rels/chart28.xml.rels><?xml version="1.0" encoding="UTF-8" standalone="yes"?>
<Relationships xmlns="http://schemas.openxmlformats.org/package/2006/relationships"><Relationship Id="rId2" Type="http://schemas.openxmlformats.org/officeDocument/2006/relationships/oleObject" Target="file:///\\pvfdtf001.ca.vic.gov.au\DTF_DATA02$\TRIM\MFFS_EFP\ECONOMICS\PROJECTS\2026-27%20Budget\Chapter%206%20(Sensitivity%20Analysis)\Modelling\Scenario\CGE%20results\Version%205\Domestic%20upturn%20(new%20run)\FormatResults_2026-27%20Budget_Update_domestic_upturn_v3.xlsx" TargetMode="External"/><Relationship Id="rId1" Type="http://schemas.openxmlformats.org/officeDocument/2006/relationships/themeOverride" Target="../theme/themeOverride4.xml"/></Relationships>
</file>

<file path=word/charts/_rels/chart3.xml.rels><?xml version="1.0" encoding="UTF-8" standalone="yes"?>
<Relationships xmlns="http://schemas.openxmlformats.org/package/2006/relationships"><Relationship Id="rId3" Type="http://schemas.openxmlformats.org/officeDocument/2006/relationships/oleObject" Target="https://vicgov.sharepoint.com/sites/VG002735/BP2/Spreadsheets/Link_BP2_Chapter4.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https://vicgov.sharepoint.com/sites/VG002735/BP2/Spreadsheets/Link_BP2_Chapter2.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https://vicgov.sharepoint.com/sites/VG002735/BP2/Spreadsheets/Link_BP2_Chapter2.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https://vicgov.sharepoint.com/sites/VG002735/BP2/Spreadsheets/Link_BP2_Chapter%202.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https://vicgov.sharepoint.com/sites/VG002735/BP2/Spreadsheets/Link_BP2_Chapter%202.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https://vicgov.sharepoint.com/sites/VG002735/BP2/Spreadsheets/Link_BP2_Chapter%202.xlsx" TargetMode="External"/><Relationship Id="rId2" Type="http://schemas.microsoft.com/office/2011/relationships/chartColorStyle" Target="colors9.xml"/><Relationship Id="rId1" Type="http://schemas.microsoft.com/office/2011/relationships/chartStyle" Target="style9.xml"/></Relationships>
</file>

<file path=word/charts/_rels/chart9.xml.rels><?xml version="1.0" encoding="UTF-8" standalone="yes"?>
<Relationships xmlns="http://schemas.openxmlformats.org/package/2006/relationships"><Relationship Id="rId3" Type="http://schemas.openxmlformats.org/officeDocument/2006/relationships/oleObject" Target="https://vicgov.sharepoint.com/sites/VG002735/BP2/Spreadsheets/Link_BP2_Chapter%202.xlsx" TargetMode="External"/><Relationship Id="rId2" Type="http://schemas.microsoft.com/office/2011/relationships/chartColorStyle" Target="colors10.xml"/><Relationship Id="rId1" Type="http://schemas.microsoft.com/office/2011/relationships/chartStyle" Target="style10.xml"/></Relationships>
</file>

<file path=word/charts/_rels/chartEx1.xml.rels><?xml version="1.0" encoding="UTF-8" standalone="yes"?>
<Relationships xmlns="http://schemas.openxmlformats.org/package/2006/relationships"><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1" i="0" u="none" strike="noStrike" kern="1200" spc="0" baseline="0">
                <a:solidFill>
                  <a:schemeClr val="tx1">
                    <a:lumMod val="65000"/>
                    <a:lumOff val="35000"/>
                  </a:schemeClr>
                </a:solidFill>
                <a:latin typeface="Calibri" panose="020F0502020204030204" pitchFamily="34" charset="0"/>
                <a:ea typeface="Calibri" panose="020F0502020204030204" pitchFamily="34" charset="0"/>
                <a:cs typeface="Calibri" panose="020F0502020204030204" pitchFamily="34" charset="0"/>
              </a:defRPr>
            </a:pPr>
            <a:r>
              <a:rPr lang="en-AU" sz="900" b="1"/>
              <a:t>Business investment</a:t>
            </a:r>
          </a:p>
        </c:rich>
      </c:tx>
      <c:layout>
        <c:manualLayout>
          <c:xMode val="edge"/>
          <c:yMode val="edge"/>
          <c:x val="0.34254232733136247"/>
          <c:y val="2.7262813522355506E-2"/>
        </c:manualLayout>
      </c:layout>
      <c:overlay val="0"/>
      <c:spPr>
        <a:noFill/>
        <a:ln>
          <a:noFill/>
        </a:ln>
        <a:effectLst/>
      </c:spPr>
      <c:txPr>
        <a:bodyPr rot="0" spcFirstLastPara="1" vertOverflow="ellipsis" vert="horz" wrap="square" anchor="ctr" anchorCtr="1"/>
        <a:lstStyle/>
        <a:p>
          <a:pPr>
            <a:defRPr sz="900" b="1" i="0" u="none" strike="noStrike" kern="1200" spc="0" baseline="0">
              <a:solidFill>
                <a:schemeClr val="tx1">
                  <a:lumMod val="65000"/>
                  <a:lumOff val="35000"/>
                </a:schemeClr>
              </a:solidFill>
              <a:latin typeface="Calibri" panose="020F0502020204030204" pitchFamily="34" charset="0"/>
              <a:ea typeface="Calibri" panose="020F0502020204030204" pitchFamily="34" charset="0"/>
              <a:cs typeface="Calibri" panose="020F0502020204030204" pitchFamily="34" charset="0"/>
            </a:defRPr>
          </a:pPr>
          <a:endParaRPr lang="en-AU"/>
        </a:p>
      </c:txPr>
    </c:title>
    <c:autoTitleDeleted val="0"/>
    <c:plotArea>
      <c:layout>
        <c:manualLayout>
          <c:layoutTarget val="inner"/>
          <c:xMode val="edge"/>
          <c:yMode val="edge"/>
          <c:x val="0.15040565613420459"/>
          <c:y val="0.14914624435990445"/>
          <c:w val="0.81903872740535921"/>
          <c:h val="0.74659187826240825"/>
        </c:manualLayout>
      </c:layout>
      <c:barChart>
        <c:barDir val="col"/>
        <c:grouping val="clustered"/>
        <c:varyColors val="0"/>
        <c:ser>
          <c:idx val="0"/>
          <c:order val="0"/>
          <c:spPr>
            <a:solidFill>
              <a:schemeClr val="accent1"/>
            </a:solidFill>
            <a:ln>
              <a:noFill/>
            </a:ln>
            <a:effectLst/>
          </c:spPr>
          <c:invertIfNegative val="0"/>
          <c:dPt>
            <c:idx val="0"/>
            <c:invertIfNegative val="0"/>
            <c:bubble3D val="0"/>
            <c:spPr>
              <a:solidFill>
                <a:schemeClr val="bg2">
                  <a:lumMod val="25000"/>
                </a:schemeClr>
              </a:solidFill>
              <a:ln>
                <a:noFill/>
              </a:ln>
              <a:effectLst/>
            </c:spPr>
            <c:extLst>
              <c:ext xmlns:c16="http://schemas.microsoft.com/office/drawing/2014/chart" uri="{C3380CC4-5D6E-409C-BE32-E72D297353CC}">
                <c16:uniqueId val="{00000001-68FC-4981-9F15-50EF1B611C7A}"/>
              </c:ext>
            </c:extLst>
          </c:dPt>
          <c:dPt>
            <c:idx val="1"/>
            <c:invertIfNegative val="0"/>
            <c:bubble3D val="0"/>
            <c:spPr>
              <a:solidFill>
                <a:schemeClr val="bg1">
                  <a:lumMod val="65000"/>
                </a:schemeClr>
              </a:solidFill>
              <a:ln>
                <a:solidFill>
                  <a:schemeClr val="bg1">
                    <a:lumMod val="65000"/>
                  </a:schemeClr>
                </a:solidFill>
              </a:ln>
              <a:effectLst/>
            </c:spPr>
            <c:extLst>
              <c:ext xmlns:c16="http://schemas.microsoft.com/office/drawing/2014/chart" uri="{C3380CC4-5D6E-409C-BE32-E72D297353CC}">
                <c16:uniqueId val="{00000003-68FC-4981-9F15-50EF1B611C7A}"/>
              </c:ext>
            </c:extLst>
          </c:dPt>
          <c:cat>
            <c:strRef>
              <c:f>'Business Investment'!$C$5:$D$5</c:f>
              <c:strCache>
                <c:ptCount val="2"/>
                <c:pt idx="0">
                  <c:v>Victoria</c:v>
                </c:pt>
                <c:pt idx="1">
                  <c:v>Rest of Australia</c:v>
                </c:pt>
              </c:strCache>
            </c:strRef>
          </c:cat>
          <c:val>
            <c:numRef>
              <c:f>'Business Investment'!$C$9:$D$9</c:f>
              <c:numCache>
                <c:formatCode>0</c:formatCode>
                <c:ptCount val="2"/>
                <c:pt idx="0">
                  <c:v>12.86099578775115</c:v>
                </c:pt>
                <c:pt idx="1">
                  <c:v>9.338876141786546</c:v>
                </c:pt>
              </c:numCache>
            </c:numRef>
          </c:val>
          <c:extLst>
            <c:ext xmlns:c16="http://schemas.microsoft.com/office/drawing/2014/chart" uri="{C3380CC4-5D6E-409C-BE32-E72D297353CC}">
              <c16:uniqueId val="{00000004-68FC-4981-9F15-50EF1B611C7A}"/>
            </c:ext>
          </c:extLst>
        </c:ser>
        <c:dLbls>
          <c:showLegendKey val="0"/>
          <c:showVal val="0"/>
          <c:showCatName val="0"/>
          <c:showSerName val="0"/>
          <c:showPercent val="0"/>
          <c:showBubbleSize val="0"/>
        </c:dLbls>
        <c:gapWidth val="100"/>
        <c:overlap val="-27"/>
        <c:axId val="1894251791"/>
        <c:axId val="1894254671"/>
      </c:barChart>
      <c:catAx>
        <c:axId val="1894251791"/>
        <c:scaling>
          <c:orientation val="minMax"/>
        </c:scaling>
        <c:delete val="0"/>
        <c:axPos val="b"/>
        <c:numFmt formatCode="General" sourceLinked="1"/>
        <c:majorTickMark val="none"/>
        <c:minorTickMark val="none"/>
        <c:tickLblPos val="nextTo"/>
        <c:spPr>
          <a:noFill/>
          <a:ln w="9525" cap="flat" cmpd="sng" algn="ctr">
            <a:solidFill>
              <a:schemeClr val="tx1">
                <a:lumMod val="65000"/>
                <a:lumOff val="3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libri" panose="020F0502020204030204" pitchFamily="34" charset="0"/>
                <a:ea typeface="Calibri" panose="020F0502020204030204" pitchFamily="34" charset="0"/>
                <a:cs typeface="Calibri" panose="020F0502020204030204" pitchFamily="34" charset="0"/>
              </a:defRPr>
            </a:pPr>
            <a:endParaRPr lang="en-US"/>
          </a:p>
        </c:txPr>
        <c:crossAx val="1894254671"/>
        <c:crosses val="autoZero"/>
        <c:auto val="1"/>
        <c:lblAlgn val="ctr"/>
        <c:lblOffset val="100"/>
        <c:noMultiLvlLbl val="0"/>
      </c:catAx>
      <c:valAx>
        <c:axId val="1894254671"/>
        <c:scaling>
          <c:orientation val="minMax"/>
        </c:scaling>
        <c:delete val="0"/>
        <c:axPos val="l"/>
        <c:majorGridlines>
          <c:spPr>
            <a:ln w="9525" cap="flat" cmpd="sng" algn="ctr">
              <a:solidFill>
                <a:schemeClr val="tx1">
                  <a:lumMod val="15000"/>
                  <a:lumOff val="85000"/>
                </a:schemeClr>
              </a:solidFill>
              <a:prstDash val="dash"/>
              <a:round/>
            </a:ln>
            <a:effectLst/>
          </c:spPr>
        </c:majorGridlines>
        <c:title>
          <c:tx>
            <c:rich>
              <a:bodyPr rot="-5400000" spcFirstLastPara="1" vertOverflow="ellipsis" vert="horz" wrap="square" anchor="ctr" anchorCtr="1"/>
              <a:lstStyle/>
              <a:p>
                <a:pPr>
                  <a:defRPr sz="900" b="0" i="1" u="none" strike="noStrike" kern="1200" baseline="0">
                    <a:solidFill>
                      <a:schemeClr val="tx1">
                        <a:lumMod val="65000"/>
                        <a:lumOff val="35000"/>
                      </a:schemeClr>
                    </a:solidFill>
                    <a:latin typeface="Calibri" panose="020F0502020204030204" pitchFamily="34" charset="0"/>
                    <a:ea typeface="Calibri" panose="020F0502020204030204" pitchFamily="34" charset="0"/>
                    <a:cs typeface="Calibri" panose="020F0502020204030204" pitchFamily="34" charset="0"/>
                  </a:defRPr>
                </a:pPr>
                <a:r>
                  <a:rPr lang="en-US" i="1"/>
                  <a:t>per cent</a:t>
                </a:r>
              </a:p>
            </c:rich>
          </c:tx>
          <c:overlay val="0"/>
          <c:spPr>
            <a:noFill/>
            <a:ln>
              <a:noFill/>
            </a:ln>
            <a:effectLst/>
          </c:spPr>
          <c:txPr>
            <a:bodyPr rot="-5400000" spcFirstLastPara="1" vertOverflow="ellipsis" vert="horz" wrap="square" anchor="ctr" anchorCtr="1"/>
            <a:lstStyle/>
            <a:p>
              <a:pPr>
                <a:defRPr sz="900" b="0" i="1" u="none" strike="noStrike" kern="1200" baseline="0">
                  <a:solidFill>
                    <a:schemeClr val="tx1">
                      <a:lumMod val="65000"/>
                      <a:lumOff val="35000"/>
                    </a:schemeClr>
                  </a:solidFill>
                  <a:latin typeface="Calibri" panose="020F0502020204030204" pitchFamily="34" charset="0"/>
                  <a:ea typeface="Calibri" panose="020F0502020204030204" pitchFamily="34" charset="0"/>
                  <a:cs typeface="Calibri" panose="020F0502020204030204" pitchFamily="34" charset="0"/>
                </a:defRPr>
              </a:pPr>
              <a:endParaRPr lang="en-AU"/>
            </a:p>
          </c:txPr>
        </c:title>
        <c:numFmt formatCode="0" sourceLinked="1"/>
        <c:majorTickMark val="none"/>
        <c:minorTickMark val="none"/>
        <c:tickLblPos val="nextTo"/>
        <c:spPr>
          <a:noFill/>
          <a:ln>
            <a:solidFill>
              <a:schemeClr val="tx1">
                <a:lumMod val="65000"/>
                <a:lumOff val="35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libri" panose="020F0502020204030204" pitchFamily="34" charset="0"/>
                <a:ea typeface="Calibri" panose="020F0502020204030204" pitchFamily="34" charset="0"/>
                <a:cs typeface="Calibri" panose="020F0502020204030204" pitchFamily="34" charset="0"/>
              </a:defRPr>
            </a:pPr>
            <a:endParaRPr lang="en-US"/>
          </a:p>
        </c:txPr>
        <c:crossAx val="1894251791"/>
        <c:crosses val="autoZero"/>
        <c:crossBetween val="between"/>
        <c:majorUnit val="2"/>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900">
          <a:latin typeface="Calibri" panose="020F0502020204030204" pitchFamily="34" charset="0"/>
          <a:ea typeface="Calibri" panose="020F0502020204030204" pitchFamily="34" charset="0"/>
          <a:cs typeface="Calibri" panose="020F0502020204030204" pitchFamily="34" charset="0"/>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119205973039778"/>
          <c:y val="5.9056135432898241E-2"/>
          <c:w val="0.85519761486124934"/>
          <c:h val="0.81942893609690792"/>
        </c:manualLayout>
      </c:layout>
      <c:lineChart>
        <c:grouping val="standard"/>
        <c:varyColors val="0"/>
        <c:ser>
          <c:idx val="0"/>
          <c:order val="0"/>
          <c:spPr>
            <a:ln w="22225" cap="rnd">
              <a:solidFill>
                <a:schemeClr val="tx1">
                  <a:lumMod val="65000"/>
                  <a:lumOff val="35000"/>
                </a:schemeClr>
              </a:solidFill>
              <a:round/>
            </a:ln>
            <a:effectLst/>
          </c:spPr>
          <c:marker>
            <c:symbol val="none"/>
          </c:marker>
          <c:cat>
            <c:numRef>
              <c:f>'Chart 2.9 data'!$C$7:$C$110</c:f>
              <c:numCache>
                <c:formatCode>m/d/yyyy</c:formatCode>
                <c:ptCount val="104"/>
                <c:pt idx="0">
                  <c:v>36616</c:v>
                </c:pt>
                <c:pt idx="1">
                  <c:v>36707</c:v>
                </c:pt>
                <c:pt idx="2">
                  <c:v>36799</c:v>
                </c:pt>
                <c:pt idx="3">
                  <c:v>36891</c:v>
                </c:pt>
                <c:pt idx="4">
                  <c:v>36981</c:v>
                </c:pt>
                <c:pt idx="5">
                  <c:v>37072</c:v>
                </c:pt>
                <c:pt idx="6">
                  <c:v>37164</c:v>
                </c:pt>
                <c:pt idx="7">
                  <c:v>37256</c:v>
                </c:pt>
                <c:pt idx="8">
                  <c:v>37346</c:v>
                </c:pt>
                <c:pt idx="9">
                  <c:v>37437</c:v>
                </c:pt>
                <c:pt idx="10">
                  <c:v>37529</c:v>
                </c:pt>
                <c:pt idx="11">
                  <c:v>37621</c:v>
                </c:pt>
                <c:pt idx="12">
                  <c:v>37711</c:v>
                </c:pt>
                <c:pt idx="13">
                  <c:v>37802</c:v>
                </c:pt>
                <c:pt idx="14">
                  <c:v>37894</c:v>
                </c:pt>
                <c:pt idx="15">
                  <c:v>37986</c:v>
                </c:pt>
                <c:pt idx="16">
                  <c:v>38077</c:v>
                </c:pt>
                <c:pt idx="17">
                  <c:v>38168</c:v>
                </c:pt>
                <c:pt idx="18">
                  <c:v>38260</c:v>
                </c:pt>
                <c:pt idx="19">
                  <c:v>38352</c:v>
                </c:pt>
                <c:pt idx="20">
                  <c:v>38442</c:v>
                </c:pt>
                <c:pt idx="21">
                  <c:v>38533</c:v>
                </c:pt>
                <c:pt idx="22">
                  <c:v>38625</c:v>
                </c:pt>
                <c:pt idx="23">
                  <c:v>38717</c:v>
                </c:pt>
                <c:pt idx="24">
                  <c:v>38807</c:v>
                </c:pt>
                <c:pt idx="25">
                  <c:v>38898</c:v>
                </c:pt>
                <c:pt idx="26">
                  <c:v>38990</c:v>
                </c:pt>
                <c:pt idx="27">
                  <c:v>39082</c:v>
                </c:pt>
                <c:pt idx="28">
                  <c:v>39172</c:v>
                </c:pt>
                <c:pt idx="29">
                  <c:v>39263</c:v>
                </c:pt>
                <c:pt idx="30">
                  <c:v>39355</c:v>
                </c:pt>
                <c:pt idx="31">
                  <c:v>39447</c:v>
                </c:pt>
                <c:pt idx="32">
                  <c:v>39538</c:v>
                </c:pt>
                <c:pt idx="33">
                  <c:v>39629</c:v>
                </c:pt>
                <c:pt idx="34">
                  <c:v>39721</c:v>
                </c:pt>
                <c:pt idx="35">
                  <c:v>39813</c:v>
                </c:pt>
                <c:pt idx="36">
                  <c:v>39903</c:v>
                </c:pt>
                <c:pt idx="37">
                  <c:v>39994</c:v>
                </c:pt>
                <c:pt idx="38">
                  <c:v>40086</c:v>
                </c:pt>
                <c:pt idx="39">
                  <c:v>40178</c:v>
                </c:pt>
                <c:pt idx="40">
                  <c:v>40268</c:v>
                </c:pt>
                <c:pt idx="41">
                  <c:v>40359</c:v>
                </c:pt>
                <c:pt idx="42">
                  <c:v>40451</c:v>
                </c:pt>
                <c:pt idx="43">
                  <c:v>40543</c:v>
                </c:pt>
                <c:pt idx="44">
                  <c:v>40633</c:v>
                </c:pt>
                <c:pt idx="45">
                  <c:v>40724</c:v>
                </c:pt>
                <c:pt idx="46">
                  <c:v>40816</c:v>
                </c:pt>
                <c:pt idx="47">
                  <c:v>40908</c:v>
                </c:pt>
                <c:pt idx="48">
                  <c:v>40999</c:v>
                </c:pt>
                <c:pt idx="49">
                  <c:v>41090</c:v>
                </c:pt>
                <c:pt idx="50">
                  <c:v>41182</c:v>
                </c:pt>
                <c:pt idx="51">
                  <c:v>41274</c:v>
                </c:pt>
                <c:pt idx="52">
                  <c:v>41364</c:v>
                </c:pt>
                <c:pt idx="53">
                  <c:v>41455</c:v>
                </c:pt>
                <c:pt idx="54">
                  <c:v>41547</c:v>
                </c:pt>
                <c:pt idx="55">
                  <c:v>41639</c:v>
                </c:pt>
                <c:pt idx="56">
                  <c:v>41729</c:v>
                </c:pt>
                <c:pt idx="57">
                  <c:v>41820</c:v>
                </c:pt>
                <c:pt idx="58">
                  <c:v>41912</c:v>
                </c:pt>
                <c:pt idx="59">
                  <c:v>42004</c:v>
                </c:pt>
                <c:pt idx="60">
                  <c:v>42094</c:v>
                </c:pt>
                <c:pt idx="61">
                  <c:v>42185</c:v>
                </c:pt>
                <c:pt idx="62">
                  <c:v>42277</c:v>
                </c:pt>
                <c:pt idx="63">
                  <c:v>42369</c:v>
                </c:pt>
                <c:pt idx="64">
                  <c:v>42460</c:v>
                </c:pt>
                <c:pt idx="65">
                  <c:v>42551</c:v>
                </c:pt>
                <c:pt idx="66">
                  <c:v>42643</c:v>
                </c:pt>
                <c:pt idx="67">
                  <c:v>42735</c:v>
                </c:pt>
                <c:pt idx="68">
                  <c:v>42825</c:v>
                </c:pt>
                <c:pt idx="69">
                  <c:v>42916</c:v>
                </c:pt>
                <c:pt idx="70">
                  <c:v>43008</c:v>
                </c:pt>
                <c:pt idx="71">
                  <c:v>43100</c:v>
                </c:pt>
                <c:pt idx="72">
                  <c:v>43190</c:v>
                </c:pt>
                <c:pt idx="73">
                  <c:v>43281</c:v>
                </c:pt>
                <c:pt idx="74">
                  <c:v>43373</c:v>
                </c:pt>
                <c:pt idx="75">
                  <c:v>43465</c:v>
                </c:pt>
                <c:pt idx="76">
                  <c:v>43555</c:v>
                </c:pt>
                <c:pt idx="77">
                  <c:v>43646</c:v>
                </c:pt>
                <c:pt idx="78">
                  <c:v>43738</c:v>
                </c:pt>
                <c:pt idx="79">
                  <c:v>43830</c:v>
                </c:pt>
                <c:pt idx="80">
                  <c:v>43921</c:v>
                </c:pt>
                <c:pt idx="81">
                  <c:v>44012</c:v>
                </c:pt>
                <c:pt idx="82">
                  <c:v>44104</c:v>
                </c:pt>
                <c:pt idx="83">
                  <c:v>44196</c:v>
                </c:pt>
                <c:pt idx="84">
                  <c:v>44286</c:v>
                </c:pt>
                <c:pt idx="85">
                  <c:v>44377</c:v>
                </c:pt>
                <c:pt idx="86">
                  <c:v>44469</c:v>
                </c:pt>
                <c:pt idx="87">
                  <c:v>44561</c:v>
                </c:pt>
                <c:pt idx="88">
                  <c:v>44651</c:v>
                </c:pt>
                <c:pt idx="89">
                  <c:v>44742</c:v>
                </c:pt>
                <c:pt idx="90">
                  <c:v>44834</c:v>
                </c:pt>
                <c:pt idx="91">
                  <c:v>44926</c:v>
                </c:pt>
                <c:pt idx="92">
                  <c:v>45016</c:v>
                </c:pt>
                <c:pt idx="93">
                  <c:v>45107</c:v>
                </c:pt>
                <c:pt idx="94">
                  <c:v>45199</c:v>
                </c:pt>
                <c:pt idx="95">
                  <c:v>45291</c:v>
                </c:pt>
                <c:pt idx="96">
                  <c:v>45382</c:v>
                </c:pt>
                <c:pt idx="97">
                  <c:v>45473</c:v>
                </c:pt>
                <c:pt idx="98">
                  <c:v>45565</c:v>
                </c:pt>
                <c:pt idx="99">
                  <c:v>45657</c:v>
                </c:pt>
                <c:pt idx="100">
                  <c:v>45747</c:v>
                </c:pt>
                <c:pt idx="101">
                  <c:v>45838</c:v>
                </c:pt>
                <c:pt idx="102">
                  <c:v>45930</c:v>
                </c:pt>
                <c:pt idx="103">
                  <c:v>46022</c:v>
                </c:pt>
              </c:numCache>
            </c:numRef>
          </c:cat>
          <c:val>
            <c:numRef>
              <c:f>'Chart 2.9 data'!$F$7:$F$110</c:f>
              <c:numCache>
                <c:formatCode>General</c:formatCode>
                <c:ptCount val="104"/>
                <c:pt idx="0">
                  <c:v>3.0574961755771044</c:v>
                </c:pt>
                <c:pt idx="1">
                  <c:v>3.0614216410562713</c:v>
                </c:pt>
                <c:pt idx="2">
                  <c:v>3.241785828846464</c:v>
                </c:pt>
                <c:pt idx="3">
                  <c:v>2.7727574006780129</c:v>
                </c:pt>
                <c:pt idx="4">
                  <c:v>3.0518547564637277</c:v>
                </c:pt>
                <c:pt idx="5">
                  <c:v>2.8899527439790371</c:v>
                </c:pt>
                <c:pt idx="6">
                  <c:v>2.987473667510101</c:v>
                </c:pt>
                <c:pt idx="7">
                  <c:v>3.0585166700394857</c:v>
                </c:pt>
                <c:pt idx="8">
                  <c:v>3.1846725898275583</c:v>
                </c:pt>
                <c:pt idx="9">
                  <c:v>3.3726287923432476</c:v>
                </c:pt>
                <c:pt idx="10">
                  <c:v>3.5794954096461984</c:v>
                </c:pt>
                <c:pt idx="11">
                  <c:v>3.5664167402794202</c:v>
                </c:pt>
                <c:pt idx="12">
                  <c:v>3.5806599226910127</c:v>
                </c:pt>
                <c:pt idx="13">
                  <c:v>3.5797705755026303</c:v>
                </c:pt>
                <c:pt idx="14">
                  <c:v>3.6289983650330027</c:v>
                </c:pt>
                <c:pt idx="15">
                  <c:v>3.6983469951172459</c:v>
                </c:pt>
                <c:pt idx="16">
                  <c:v>3.787945949526621</c:v>
                </c:pt>
                <c:pt idx="17">
                  <c:v>3.7462432707176516</c:v>
                </c:pt>
                <c:pt idx="18">
                  <c:v>3.7977214428342045</c:v>
                </c:pt>
                <c:pt idx="19">
                  <c:v>4.088320758186641</c:v>
                </c:pt>
                <c:pt idx="20">
                  <c:v>4.0438959597674593</c:v>
                </c:pt>
                <c:pt idx="21">
                  <c:v>4.255632690444723</c:v>
                </c:pt>
                <c:pt idx="22">
                  <c:v>4.3535074528417637</c:v>
                </c:pt>
                <c:pt idx="23">
                  <c:v>4.5705223004033257</c:v>
                </c:pt>
                <c:pt idx="24">
                  <c:v>4.4249157934751082</c:v>
                </c:pt>
                <c:pt idx="25">
                  <c:v>4.4305061376659225</c:v>
                </c:pt>
                <c:pt idx="26">
                  <c:v>4.454245114838681</c:v>
                </c:pt>
                <c:pt idx="27">
                  <c:v>4.2117247597991376</c:v>
                </c:pt>
                <c:pt idx="28">
                  <c:v>4.4251749367870659</c:v>
                </c:pt>
                <c:pt idx="29">
                  <c:v>4.3820847978384032</c:v>
                </c:pt>
                <c:pt idx="30">
                  <c:v>4.6775421528323751</c:v>
                </c:pt>
                <c:pt idx="31">
                  <c:v>4.5772636741954269</c:v>
                </c:pt>
                <c:pt idx="32">
                  <c:v>4.7506847939186674</c:v>
                </c:pt>
                <c:pt idx="33">
                  <c:v>4.6112550294791381</c:v>
                </c:pt>
                <c:pt idx="34">
                  <c:v>4.6138264510378093</c:v>
                </c:pt>
                <c:pt idx="35">
                  <c:v>4.5369247962792922</c:v>
                </c:pt>
                <c:pt idx="36">
                  <c:v>4.4516035174815674</c:v>
                </c:pt>
                <c:pt idx="37">
                  <c:v>4.5887835003796278</c:v>
                </c:pt>
                <c:pt idx="38">
                  <c:v>4.1973967012989455</c:v>
                </c:pt>
                <c:pt idx="39">
                  <c:v>4.5353229870427958</c:v>
                </c:pt>
                <c:pt idx="40">
                  <c:v>4.4725689650733855</c:v>
                </c:pt>
                <c:pt idx="41">
                  <c:v>4.4101042285480387</c:v>
                </c:pt>
                <c:pt idx="42">
                  <c:v>4.202715815963006</c:v>
                </c:pt>
                <c:pt idx="43">
                  <c:v>4.2344292287184668</c:v>
                </c:pt>
                <c:pt idx="44">
                  <c:v>4.2415354347317145</c:v>
                </c:pt>
                <c:pt idx="45">
                  <c:v>4.207504948953936</c:v>
                </c:pt>
                <c:pt idx="46">
                  <c:v>4.214488658724826</c:v>
                </c:pt>
                <c:pt idx="47">
                  <c:v>3.5576879999050384</c:v>
                </c:pt>
                <c:pt idx="48">
                  <c:v>4.3854490058468825</c:v>
                </c:pt>
                <c:pt idx="49">
                  <c:v>4.3240706460687841</c:v>
                </c:pt>
                <c:pt idx="50">
                  <c:v>4.3262115366106526</c:v>
                </c:pt>
                <c:pt idx="51">
                  <c:v>2.4347666147028924</c:v>
                </c:pt>
                <c:pt idx="52">
                  <c:v>4.102603338501364</c:v>
                </c:pt>
                <c:pt idx="53">
                  <c:v>3.9539776547277543</c:v>
                </c:pt>
                <c:pt idx="54">
                  <c:v>4.0022877312909788</c:v>
                </c:pt>
                <c:pt idx="55">
                  <c:v>3.9462722756186817</c:v>
                </c:pt>
                <c:pt idx="56">
                  <c:v>4.0132291107288145</c:v>
                </c:pt>
                <c:pt idx="57">
                  <c:v>4.1157975446867354</c:v>
                </c:pt>
                <c:pt idx="58">
                  <c:v>4.1055402911224244</c:v>
                </c:pt>
                <c:pt idx="59">
                  <c:v>4.1517822535334554</c:v>
                </c:pt>
                <c:pt idx="60">
                  <c:v>4.2385755134278531</c:v>
                </c:pt>
                <c:pt idx="61">
                  <c:v>4.3095609863423796</c:v>
                </c:pt>
                <c:pt idx="62">
                  <c:v>4.3315617783660247</c:v>
                </c:pt>
                <c:pt idx="63">
                  <c:v>4.3228724005371024</c:v>
                </c:pt>
                <c:pt idx="64">
                  <c:v>4.1237415550079</c:v>
                </c:pt>
                <c:pt idx="65">
                  <c:v>3.6731085787641384</c:v>
                </c:pt>
                <c:pt idx="66">
                  <c:v>3.974982671176488</c:v>
                </c:pt>
                <c:pt idx="67">
                  <c:v>4.1678412646218028</c:v>
                </c:pt>
                <c:pt idx="68">
                  <c:v>3.8899682302738587</c:v>
                </c:pt>
                <c:pt idx="69">
                  <c:v>4.2377855102097817</c:v>
                </c:pt>
                <c:pt idx="70">
                  <c:v>4.4089401394977594</c:v>
                </c:pt>
                <c:pt idx="71">
                  <c:v>4.0998344866898808</c:v>
                </c:pt>
                <c:pt idx="72">
                  <c:v>4.5370543577996161</c:v>
                </c:pt>
                <c:pt idx="73">
                  <c:v>4.6073449643350886</c:v>
                </c:pt>
                <c:pt idx="74">
                  <c:v>4.5556556525067009</c:v>
                </c:pt>
                <c:pt idx="75">
                  <c:v>4.726668187799751</c:v>
                </c:pt>
                <c:pt idx="76">
                  <c:v>4.7353944337260074</c:v>
                </c:pt>
                <c:pt idx="77">
                  <c:v>4.5511108349305038</c:v>
                </c:pt>
                <c:pt idx="78">
                  <c:v>4.65113450286713</c:v>
                </c:pt>
                <c:pt idx="79">
                  <c:v>4.4642760615552666</c:v>
                </c:pt>
                <c:pt idx="80">
                  <c:v>4.4412712382704997</c:v>
                </c:pt>
                <c:pt idx="81">
                  <c:v>4.5278200040027778</c:v>
                </c:pt>
                <c:pt idx="82">
                  <c:v>4.223312195861304</c:v>
                </c:pt>
                <c:pt idx="83">
                  <c:v>4.4868783035060416</c:v>
                </c:pt>
                <c:pt idx="84">
                  <c:v>4.4014532759426892</c:v>
                </c:pt>
                <c:pt idx="85">
                  <c:v>4.6354020019633406</c:v>
                </c:pt>
                <c:pt idx="86">
                  <c:v>4.7609367645965053</c:v>
                </c:pt>
                <c:pt idx="87">
                  <c:v>4.6674032439851549</c:v>
                </c:pt>
                <c:pt idx="88">
                  <c:v>4.6447797553513066</c:v>
                </c:pt>
                <c:pt idx="89">
                  <c:v>4.7410782685531681</c:v>
                </c:pt>
                <c:pt idx="90">
                  <c:v>4.7946373973034806</c:v>
                </c:pt>
                <c:pt idx="91">
                  <c:v>4.763178713336834</c:v>
                </c:pt>
                <c:pt idx="92">
                  <c:v>5.1211019191089626</c:v>
                </c:pt>
                <c:pt idx="93">
                  <c:v>5.135881740426961</c:v>
                </c:pt>
                <c:pt idx="94">
                  <c:v>4.9998115172155959</c:v>
                </c:pt>
                <c:pt idx="95">
                  <c:v>5.0475270230178726</c:v>
                </c:pt>
                <c:pt idx="96">
                  <c:v>5.0294850806836005</c:v>
                </c:pt>
                <c:pt idx="97">
                  <c:v>5.0736367374955611</c:v>
                </c:pt>
                <c:pt idx="98">
                  <c:v>4.9738419658590374</c:v>
                </c:pt>
                <c:pt idx="99">
                  <c:v>5.0414778200021484</c:v>
                </c:pt>
                <c:pt idx="100">
                  <c:v>4.8221270612193496</c:v>
                </c:pt>
                <c:pt idx="101">
                  <c:v>4.8173090749251699</c:v>
                </c:pt>
                <c:pt idx="102">
                  <c:v>4.9756078412576796</c:v>
                </c:pt>
                <c:pt idx="103">
                  <c:v>5.0747697867961294</c:v>
                </c:pt>
              </c:numCache>
            </c:numRef>
          </c:val>
          <c:smooth val="0"/>
          <c:extLst>
            <c:ext xmlns:c16="http://schemas.microsoft.com/office/drawing/2014/chart" uri="{C3380CC4-5D6E-409C-BE32-E72D297353CC}">
              <c16:uniqueId val="{00000000-FFC6-489C-8A5A-F7F3D6723761}"/>
            </c:ext>
          </c:extLst>
        </c:ser>
        <c:dLbls>
          <c:showLegendKey val="0"/>
          <c:showVal val="0"/>
          <c:showCatName val="0"/>
          <c:showSerName val="0"/>
          <c:showPercent val="0"/>
          <c:showBubbleSize val="0"/>
        </c:dLbls>
        <c:smooth val="0"/>
        <c:axId val="1426961599"/>
        <c:axId val="1426951519"/>
      </c:lineChart>
      <c:dateAx>
        <c:axId val="1426961599"/>
        <c:scaling>
          <c:orientation val="minMax"/>
        </c:scaling>
        <c:delete val="0"/>
        <c:axPos val="b"/>
        <c:numFmt formatCode="yyyy" sourceLinked="0"/>
        <c:majorTickMark val="out"/>
        <c:minorTickMark val="none"/>
        <c:tickLblPos val="low"/>
        <c:spPr>
          <a:noFill/>
          <a:ln w="6350" cap="flat" cmpd="sng" algn="ctr">
            <a:solidFill>
              <a:schemeClr val="tx1">
                <a:lumMod val="65000"/>
                <a:lumOff val="35000"/>
              </a:schemeClr>
            </a:solidFill>
            <a:round/>
          </a:ln>
          <a:effectLst/>
        </c:spPr>
        <c:txPr>
          <a:bodyPr rot="0" spcFirstLastPara="1" vertOverflow="ellipsis" wrap="square" anchor="ctr" anchorCtr="1"/>
          <a:lstStyle/>
          <a:p>
            <a:pPr>
              <a:defRPr sz="1000" b="0" i="0" u="none" strike="noStrike" kern="1200" baseline="0">
                <a:solidFill>
                  <a:schemeClr val="tx1">
                    <a:lumMod val="65000"/>
                    <a:lumOff val="35000"/>
                  </a:schemeClr>
                </a:solidFill>
                <a:latin typeface="+mj-lt"/>
                <a:ea typeface="+mn-ea"/>
                <a:cs typeface="+mn-cs"/>
              </a:defRPr>
            </a:pPr>
            <a:endParaRPr lang="en-US"/>
          </a:p>
        </c:txPr>
        <c:crossAx val="1426951519"/>
        <c:crosses val="autoZero"/>
        <c:auto val="1"/>
        <c:lblOffset val="100"/>
        <c:baseTimeUnit val="months"/>
        <c:majorUnit val="5"/>
        <c:majorTimeUnit val="years"/>
        <c:minorUnit val="1"/>
        <c:minorTimeUnit val="years"/>
      </c:dateAx>
      <c:valAx>
        <c:axId val="1426951519"/>
        <c:scaling>
          <c:orientation val="minMax"/>
          <c:min val="2"/>
        </c:scaling>
        <c:delete val="0"/>
        <c:axPos val="l"/>
        <c:majorGridlines>
          <c:spPr>
            <a:ln w="9525" cap="flat" cmpd="sng" algn="ctr">
              <a:solidFill>
                <a:sysClr val="window" lastClr="FFFFFF">
                  <a:lumMod val="85000"/>
                </a:sysClr>
              </a:solidFill>
              <a:prstDash val="dash"/>
              <a:round/>
              <a:headEnd type="none" w="med" len="med"/>
              <a:tailEnd type="none" w="med" len="me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j-lt"/>
                    <a:ea typeface="+mn-ea"/>
                    <a:cs typeface="+mn-cs"/>
                  </a:defRPr>
                </a:pPr>
                <a:r>
                  <a:rPr lang="en-US" sz="900" i="1"/>
                  <a:t>$'000 (constant 2023-24 dollars) </a:t>
                </a:r>
              </a:p>
            </c:rich>
          </c:tx>
          <c:layout>
            <c:manualLayout>
              <c:xMode val="edge"/>
              <c:yMode val="edge"/>
              <c:x val="2.284636750503275E-3"/>
              <c:y val="0.14990054336853378"/>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j-lt"/>
                  <a:ea typeface="+mn-ea"/>
                  <a:cs typeface="+mn-cs"/>
                </a:defRPr>
              </a:pPr>
              <a:endParaRPr lang="en-US"/>
            </a:p>
          </c:txPr>
        </c:title>
        <c:numFmt formatCode="General" sourceLinked="1"/>
        <c:majorTickMark val="none"/>
        <c:minorTickMark val="none"/>
        <c:tickLblPos val="nextTo"/>
        <c:spPr>
          <a:noFill/>
          <a:ln w="6350">
            <a:solidFill>
              <a:schemeClr val="tx1">
                <a:lumMod val="65000"/>
                <a:lumOff val="35000"/>
              </a:schemeClr>
            </a:solid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j-lt"/>
                <a:ea typeface="+mn-ea"/>
                <a:cs typeface="+mn-cs"/>
              </a:defRPr>
            </a:pPr>
            <a:endParaRPr lang="en-US"/>
          </a:p>
        </c:txPr>
        <c:crossAx val="1426961599"/>
        <c:crosses val="autoZero"/>
        <c:crossBetween val="midCat"/>
        <c:majorUnit val="1"/>
      </c:valAx>
      <c:spPr>
        <a:noFill/>
        <a:ln>
          <a:noFill/>
        </a:ln>
        <a:effectLst/>
        <a:extLst>
          <a:ext uri="{909E8E84-426E-40DD-AFC4-6F175D3DCCD1}">
            <a14:hiddenFill xmlns:a14="http://schemas.microsoft.com/office/drawing/2010/main">
              <a:noFill/>
            </a14:hiddenFill>
          </a:ext>
        </a:ex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noFill/>
      <a:round/>
    </a:ln>
    <a:effectLst/>
    <a:extLst>
      <a:ext uri="{91240B29-F687-4F45-9708-019B960494DF}">
        <a14:hiddenLine xmlns:a14="http://schemas.microsoft.com/office/drawing/2010/main" w="9525" cap="flat" cmpd="sng" algn="ctr">
          <a:solidFill>
            <a:sysClr val="windowText" lastClr="000000">
              <a:lumMod val="15000"/>
              <a:lumOff val="85000"/>
            </a:sysClr>
          </a:solidFill>
          <a:round/>
        </a14:hiddenLine>
      </a:ext>
    </a:extLst>
  </c:spPr>
  <c:txPr>
    <a:bodyPr/>
    <a:lstStyle/>
    <a:p>
      <a:pPr>
        <a:defRPr sz="900">
          <a:latin typeface="+mj-lt"/>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50" b="0" i="0" u="none" strike="noStrike" kern="1200" spc="0" baseline="0">
                <a:solidFill>
                  <a:srgbClr val="595959"/>
                </a:solidFill>
                <a:latin typeface="Calibri" panose="020F0502020204030204" pitchFamily="34" charset="0"/>
                <a:ea typeface="Calibri" panose="020F0502020204030204" pitchFamily="34" charset="0"/>
                <a:cs typeface="Calibri" panose="020F0502020204030204" pitchFamily="34" charset="0"/>
              </a:defRPr>
            </a:pPr>
            <a:r>
              <a:rPr lang="en-AU" sz="850" b="1">
                <a:solidFill>
                  <a:srgbClr val="595959"/>
                </a:solidFill>
                <a:latin typeface="Calibri" panose="020F0502020204030204" pitchFamily="34" charset="0"/>
                <a:ea typeface="Calibri" panose="020F0502020204030204" pitchFamily="34" charset="0"/>
                <a:cs typeface="Calibri" panose="020F0502020204030204" pitchFamily="34" charset="0"/>
              </a:rPr>
              <a:t>Approvals </a:t>
            </a:r>
            <a:r>
              <a:rPr lang="en-AU" sz="850" b="1" baseline="30000">
                <a:solidFill>
                  <a:srgbClr val="595959"/>
                </a:solidFill>
                <a:latin typeface="Calibri" panose="020F0502020204030204" pitchFamily="34" charset="0"/>
                <a:ea typeface="Calibri" panose="020F0502020204030204" pitchFamily="34" charset="0"/>
                <a:cs typeface="Calibri" panose="020F0502020204030204" pitchFamily="34" charset="0"/>
              </a:rPr>
              <a:t>(b)</a:t>
            </a:r>
          </a:p>
        </c:rich>
      </c:tx>
      <c:layout>
        <c:manualLayout>
          <c:xMode val="edge"/>
          <c:yMode val="edge"/>
          <c:x val="0.71311245121487976"/>
          <c:y val="9.9169804861348829E-3"/>
        </c:manualLayout>
      </c:layout>
      <c:overlay val="0"/>
      <c:spPr>
        <a:noFill/>
        <a:ln>
          <a:noFill/>
        </a:ln>
        <a:effectLst/>
      </c:spPr>
      <c:txPr>
        <a:bodyPr rot="0" spcFirstLastPara="1" vertOverflow="ellipsis" vert="horz" wrap="square" anchor="ctr" anchorCtr="1"/>
        <a:lstStyle/>
        <a:p>
          <a:pPr>
            <a:defRPr sz="850" b="0" i="0" u="none" strike="noStrike" kern="1200" spc="0" baseline="0">
              <a:solidFill>
                <a:srgbClr val="595959"/>
              </a:solidFill>
              <a:latin typeface="Calibri" panose="020F0502020204030204" pitchFamily="34" charset="0"/>
              <a:ea typeface="Calibri" panose="020F0502020204030204" pitchFamily="34" charset="0"/>
              <a:cs typeface="Calibri" panose="020F0502020204030204" pitchFamily="34" charset="0"/>
            </a:defRPr>
          </a:pPr>
          <a:endParaRPr lang="en-US"/>
        </a:p>
      </c:txPr>
    </c:title>
    <c:autoTitleDeleted val="0"/>
    <c:plotArea>
      <c:layout>
        <c:manualLayout>
          <c:layoutTarget val="inner"/>
          <c:xMode val="edge"/>
          <c:yMode val="edge"/>
          <c:x val="0.55413814620225788"/>
          <c:y val="0.11446780034147837"/>
          <c:w val="0.4085071444724554"/>
          <c:h val="0.72019454676981887"/>
        </c:manualLayout>
      </c:layout>
      <c:lineChart>
        <c:grouping val="standard"/>
        <c:varyColors val="0"/>
        <c:ser>
          <c:idx val="0"/>
          <c:order val="0"/>
          <c:tx>
            <c:strRef>
              <c:f>'Chart 2.10.2 data'!$E$3</c:f>
              <c:strCache>
                <c:ptCount val="1"/>
                <c:pt idx="0">
                  <c:v>Commercial</c:v>
                </c:pt>
              </c:strCache>
            </c:strRef>
          </c:tx>
          <c:spPr>
            <a:ln w="22225" cap="rnd">
              <a:solidFill>
                <a:schemeClr val="bg2">
                  <a:lumMod val="10000"/>
                </a:schemeClr>
              </a:solidFill>
              <a:round/>
            </a:ln>
            <a:effectLst/>
          </c:spPr>
          <c:marker>
            <c:symbol val="none"/>
          </c:marker>
          <c:cat>
            <c:numRef>
              <c:f>'Chart 2.10.2 data'!$C$19:$C$488</c:f>
              <c:numCache>
                <c:formatCode>mmm"-"yyyy</c:formatCode>
                <c:ptCount val="470"/>
                <c:pt idx="0">
                  <c:v>37072</c:v>
                </c:pt>
                <c:pt idx="1">
                  <c:v>37103</c:v>
                </c:pt>
                <c:pt idx="2">
                  <c:v>37134</c:v>
                </c:pt>
                <c:pt idx="3">
                  <c:v>37164</c:v>
                </c:pt>
                <c:pt idx="4">
                  <c:v>37195</c:v>
                </c:pt>
                <c:pt idx="5">
                  <c:v>37225</c:v>
                </c:pt>
                <c:pt idx="6">
                  <c:v>37256</c:v>
                </c:pt>
                <c:pt idx="7">
                  <c:v>37287</c:v>
                </c:pt>
                <c:pt idx="8">
                  <c:v>37315</c:v>
                </c:pt>
                <c:pt idx="9">
                  <c:v>37346</c:v>
                </c:pt>
                <c:pt idx="10">
                  <c:v>37376</c:v>
                </c:pt>
                <c:pt idx="11">
                  <c:v>37407</c:v>
                </c:pt>
                <c:pt idx="12">
                  <c:v>37437</c:v>
                </c:pt>
                <c:pt idx="13">
                  <c:v>37468</c:v>
                </c:pt>
                <c:pt idx="14">
                  <c:v>37499</c:v>
                </c:pt>
                <c:pt idx="15">
                  <c:v>37529</c:v>
                </c:pt>
                <c:pt idx="16">
                  <c:v>37560</c:v>
                </c:pt>
                <c:pt idx="17">
                  <c:v>37590</c:v>
                </c:pt>
                <c:pt idx="18">
                  <c:v>37621</c:v>
                </c:pt>
                <c:pt idx="19">
                  <c:v>37652</c:v>
                </c:pt>
                <c:pt idx="20">
                  <c:v>37680</c:v>
                </c:pt>
                <c:pt idx="21">
                  <c:v>37711</c:v>
                </c:pt>
                <c:pt idx="22">
                  <c:v>37741</c:v>
                </c:pt>
                <c:pt idx="23">
                  <c:v>37772</c:v>
                </c:pt>
                <c:pt idx="24">
                  <c:v>37802</c:v>
                </c:pt>
                <c:pt idx="25">
                  <c:v>37833</c:v>
                </c:pt>
                <c:pt idx="26">
                  <c:v>37864</c:v>
                </c:pt>
                <c:pt idx="27">
                  <c:v>37894</c:v>
                </c:pt>
                <c:pt idx="28">
                  <c:v>37925</c:v>
                </c:pt>
                <c:pt idx="29">
                  <c:v>37955</c:v>
                </c:pt>
                <c:pt idx="30">
                  <c:v>37986</c:v>
                </c:pt>
                <c:pt idx="31">
                  <c:v>38017</c:v>
                </c:pt>
                <c:pt idx="32">
                  <c:v>38046</c:v>
                </c:pt>
                <c:pt idx="33">
                  <c:v>38077</c:v>
                </c:pt>
                <c:pt idx="34">
                  <c:v>38107</c:v>
                </c:pt>
                <c:pt idx="35">
                  <c:v>38138</c:v>
                </c:pt>
                <c:pt idx="36">
                  <c:v>38168</c:v>
                </c:pt>
                <c:pt idx="37">
                  <c:v>38199</c:v>
                </c:pt>
                <c:pt idx="38">
                  <c:v>38230</c:v>
                </c:pt>
                <c:pt idx="39">
                  <c:v>38260</c:v>
                </c:pt>
                <c:pt idx="40">
                  <c:v>38291</c:v>
                </c:pt>
                <c:pt idx="41">
                  <c:v>38321</c:v>
                </c:pt>
                <c:pt idx="42">
                  <c:v>38352</c:v>
                </c:pt>
                <c:pt idx="43">
                  <c:v>38383</c:v>
                </c:pt>
                <c:pt idx="44">
                  <c:v>38411</c:v>
                </c:pt>
                <c:pt idx="45">
                  <c:v>38442</c:v>
                </c:pt>
                <c:pt idx="46">
                  <c:v>38472</c:v>
                </c:pt>
                <c:pt idx="47">
                  <c:v>38503</c:v>
                </c:pt>
                <c:pt idx="48">
                  <c:v>38533</c:v>
                </c:pt>
                <c:pt idx="49">
                  <c:v>38564</c:v>
                </c:pt>
                <c:pt idx="50">
                  <c:v>38595</c:v>
                </c:pt>
                <c:pt idx="51">
                  <c:v>38625</c:v>
                </c:pt>
                <c:pt idx="52">
                  <c:v>38656</c:v>
                </c:pt>
                <c:pt idx="53">
                  <c:v>38686</c:v>
                </c:pt>
                <c:pt idx="54">
                  <c:v>38717</c:v>
                </c:pt>
                <c:pt idx="55">
                  <c:v>38748</c:v>
                </c:pt>
                <c:pt idx="56">
                  <c:v>38776</c:v>
                </c:pt>
                <c:pt idx="57">
                  <c:v>38807</c:v>
                </c:pt>
                <c:pt idx="58">
                  <c:v>38837</c:v>
                </c:pt>
                <c:pt idx="59">
                  <c:v>38868</c:v>
                </c:pt>
                <c:pt idx="60">
                  <c:v>38898</c:v>
                </c:pt>
                <c:pt idx="61">
                  <c:v>38929</c:v>
                </c:pt>
                <c:pt idx="62">
                  <c:v>38960</c:v>
                </c:pt>
                <c:pt idx="63">
                  <c:v>38990</c:v>
                </c:pt>
                <c:pt idx="64">
                  <c:v>39021</c:v>
                </c:pt>
                <c:pt idx="65">
                  <c:v>39051</c:v>
                </c:pt>
                <c:pt idx="66">
                  <c:v>39082</c:v>
                </c:pt>
                <c:pt idx="67">
                  <c:v>39113</c:v>
                </c:pt>
                <c:pt idx="68">
                  <c:v>39141</c:v>
                </c:pt>
                <c:pt idx="69">
                  <c:v>39172</c:v>
                </c:pt>
                <c:pt idx="70">
                  <c:v>39202</c:v>
                </c:pt>
                <c:pt idx="71">
                  <c:v>39233</c:v>
                </c:pt>
                <c:pt idx="72">
                  <c:v>39263</c:v>
                </c:pt>
                <c:pt idx="73">
                  <c:v>39294</c:v>
                </c:pt>
                <c:pt idx="74">
                  <c:v>39325</c:v>
                </c:pt>
                <c:pt idx="75">
                  <c:v>39355</c:v>
                </c:pt>
                <c:pt idx="76">
                  <c:v>39386</c:v>
                </c:pt>
                <c:pt idx="77">
                  <c:v>39416</c:v>
                </c:pt>
                <c:pt idx="78">
                  <c:v>39447</c:v>
                </c:pt>
                <c:pt idx="79">
                  <c:v>39478</c:v>
                </c:pt>
                <c:pt idx="80">
                  <c:v>39507</c:v>
                </c:pt>
                <c:pt idx="81">
                  <c:v>39538</c:v>
                </c:pt>
                <c:pt idx="82">
                  <c:v>39568</c:v>
                </c:pt>
                <c:pt idx="83">
                  <c:v>39599</c:v>
                </c:pt>
                <c:pt idx="84">
                  <c:v>39629</c:v>
                </c:pt>
                <c:pt idx="85">
                  <c:v>39660</c:v>
                </c:pt>
                <c:pt idx="86">
                  <c:v>39691</c:v>
                </c:pt>
                <c:pt idx="87">
                  <c:v>39721</c:v>
                </c:pt>
                <c:pt idx="88">
                  <c:v>39752</c:v>
                </c:pt>
                <c:pt idx="89">
                  <c:v>39782</c:v>
                </c:pt>
                <c:pt idx="90">
                  <c:v>39813</c:v>
                </c:pt>
                <c:pt idx="91">
                  <c:v>39844</c:v>
                </c:pt>
                <c:pt idx="92">
                  <c:v>39872</c:v>
                </c:pt>
                <c:pt idx="93">
                  <c:v>39903</c:v>
                </c:pt>
                <c:pt idx="94">
                  <c:v>39933</c:v>
                </c:pt>
                <c:pt idx="95">
                  <c:v>39964</c:v>
                </c:pt>
                <c:pt idx="96">
                  <c:v>39994</c:v>
                </c:pt>
                <c:pt idx="97">
                  <c:v>40025</c:v>
                </c:pt>
                <c:pt idx="98">
                  <c:v>40056</c:v>
                </c:pt>
                <c:pt idx="99">
                  <c:v>40086</c:v>
                </c:pt>
                <c:pt idx="100">
                  <c:v>40117</c:v>
                </c:pt>
                <c:pt idx="101">
                  <c:v>40147</c:v>
                </c:pt>
                <c:pt idx="102">
                  <c:v>40178</c:v>
                </c:pt>
                <c:pt idx="103">
                  <c:v>40209</c:v>
                </c:pt>
                <c:pt idx="104">
                  <c:v>40237</c:v>
                </c:pt>
                <c:pt idx="105">
                  <c:v>40268</c:v>
                </c:pt>
                <c:pt idx="106">
                  <c:v>40298</c:v>
                </c:pt>
                <c:pt idx="107">
                  <c:v>40329</c:v>
                </c:pt>
                <c:pt idx="108">
                  <c:v>40359</c:v>
                </c:pt>
                <c:pt idx="109">
                  <c:v>40390</c:v>
                </c:pt>
                <c:pt idx="110">
                  <c:v>40421</c:v>
                </c:pt>
                <c:pt idx="111">
                  <c:v>40451</c:v>
                </c:pt>
                <c:pt idx="112">
                  <c:v>40482</c:v>
                </c:pt>
                <c:pt idx="113">
                  <c:v>40512</c:v>
                </c:pt>
                <c:pt idx="114">
                  <c:v>40543</c:v>
                </c:pt>
                <c:pt idx="115">
                  <c:v>40574</c:v>
                </c:pt>
                <c:pt idx="116">
                  <c:v>40602</c:v>
                </c:pt>
                <c:pt idx="117">
                  <c:v>40633</c:v>
                </c:pt>
                <c:pt idx="118">
                  <c:v>40663</c:v>
                </c:pt>
                <c:pt idx="119">
                  <c:v>40694</c:v>
                </c:pt>
                <c:pt idx="120">
                  <c:v>40724</c:v>
                </c:pt>
                <c:pt idx="121">
                  <c:v>40755</c:v>
                </c:pt>
                <c:pt idx="122">
                  <c:v>40786</c:v>
                </c:pt>
                <c:pt idx="123">
                  <c:v>40816</c:v>
                </c:pt>
                <c:pt idx="124">
                  <c:v>40847</c:v>
                </c:pt>
                <c:pt idx="125">
                  <c:v>40877</c:v>
                </c:pt>
                <c:pt idx="126">
                  <c:v>40908</c:v>
                </c:pt>
                <c:pt idx="127">
                  <c:v>40939</c:v>
                </c:pt>
                <c:pt idx="128">
                  <c:v>40968</c:v>
                </c:pt>
                <c:pt idx="129">
                  <c:v>40999</c:v>
                </c:pt>
                <c:pt idx="130">
                  <c:v>41029</c:v>
                </c:pt>
                <c:pt idx="131">
                  <c:v>41060</c:v>
                </c:pt>
                <c:pt idx="132">
                  <c:v>41090</c:v>
                </c:pt>
                <c:pt idx="133">
                  <c:v>41121</c:v>
                </c:pt>
                <c:pt idx="134">
                  <c:v>41152</c:v>
                </c:pt>
                <c:pt idx="135">
                  <c:v>41182</c:v>
                </c:pt>
                <c:pt idx="136">
                  <c:v>41213</c:v>
                </c:pt>
                <c:pt idx="137">
                  <c:v>41243</c:v>
                </c:pt>
                <c:pt idx="138">
                  <c:v>41274</c:v>
                </c:pt>
                <c:pt idx="139">
                  <c:v>41305</c:v>
                </c:pt>
                <c:pt idx="140">
                  <c:v>41333</c:v>
                </c:pt>
                <c:pt idx="141">
                  <c:v>41364</c:v>
                </c:pt>
                <c:pt idx="142">
                  <c:v>41394</c:v>
                </c:pt>
                <c:pt idx="143">
                  <c:v>41425</c:v>
                </c:pt>
                <c:pt idx="144">
                  <c:v>41455</c:v>
                </c:pt>
                <c:pt idx="145">
                  <c:v>41486</c:v>
                </c:pt>
                <c:pt idx="146">
                  <c:v>41517</c:v>
                </c:pt>
                <c:pt idx="147">
                  <c:v>41547</c:v>
                </c:pt>
                <c:pt idx="148">
                  <c:v>41578</c:v>
                </c:pt>
                <c:pt idx="149">
                  <c:v>41608</c:v>
                </c:pt>
                <c:pt idx="150">
                  <c:v>41639</c:v>
                </c:pt>
                <c:pt idx="151">
                  <c:v>41670</c:v>
                </c:pt>
                <c:pt idx="152">
                  <c:v>41698</c:v>
                </c:pt>
                <c:pt idx="153">
                  <c:v>41729</c:v>
                </c:pt>
                <c:pt idx="154">
                  <c:v>41759</c:v>
                </c:pt>
                <c:pt idx="155">
                  <c:v>41790</c:v>
                </c:pt>
                <c:pt idx="156">
                  <c:v>41820</c:v>
                </c:pt>
                <c:pt idx="157">
                  <c:v>41851</c:v>
                </c:pt>
                <c:pt idx="158">
                  <c:v>41882</c:v>
                </c:pt>
                <c:pt idx="159">
                  <c:v>41912</c:v>
                </c:pt>
                <c:pt idx="160">
                  <c:v>41943</c:v>
                </c:pt>
                <c:pt idx="161">
                  <c:v>41973</c:v>
                </c:pt>
                <c:pt idx="162">
                  <c:v>42004</c:v>
                </c:pt>
                <c:pt idx="163">
                  <c:v>42035</c:v>
                </c:pt>
                <c:pt idx="164">
                  <c:v>42063</c:v>
                </c:pt>
                <c:pt idx="165">
                  <c:v>42094</c:v>
                </c:pt>
                <c:pt idx="166">
                  <c:v>42124</c:v>
                </c:pt>
                <c:pt idx="167">
                  <c:v>42155</c:v>
                </c:pt>
                <c:pt idx="168">
                  <c:v>42185</c:v>
                </c:pt>
                <c:pt idx="169">
                  <c:v>42216</c:v>
                </c:pt>
                <c:pt idx="170">
                  <c:v>42247</c:v>
                </c:pt>
                <c:pt idx="171">
                  <c:v>42277</c:v>
                </c:pt>
                <c:pt idx="172">
                  <c:v>42308</c:v>
                </c:pt>
                <c:pt idx="173">
                  <c:v>42338</c:v>
                </c:pt>
                <c:pt idx="174">
                  <c:v>42369</c:v>
                </c:pt>
                <c:pt idx="175">
                  <c:v>42400</c:v>
                </c:pt>
                <c:pt idx="176">
                  <c:v>42429</c:v>
                </c:pt>
                <c:pt idx="177">
                  <c:v>42460</c:v>
                </c:pt>
                <c:pt idx="178">
                  <c:v>42490</c:v>
                </c:pt>
                <c:pt idx="179">
                  <c:v>42521</c:v>
                </c:pt>
                <c:pt idx="180">
                  <c:v>42551</c:v>
                </c:pt>
                <c:pt idx="181">
                  <c:v>42582</c:v>
                </c:pt>
                <c:pt idx="182">
                  <c:v>42613</c:v>
                </c:pt>
                <c:pt idx="183">
                  <c:v>42643</c:v>
                </c:pt>
                <c:pt idx="184">
                  <c:v>42674</c:v>
                </c:pt>
                <c:pt idx="185">
                  <c:v>42704</c:v>
                </c:pt>
                <c:pt idx="186">
                  <c:v>42735</c:v>
                </c:pt>
                <c:pt idx="187">
                  <c:v>42766</c:v>
                </c:pt>
                <c:pt idx="188">
                  <c:v>42794</c:v>
                </c:pt>
                <c:pt idx="189">
                  <c:v>42825</c:v>
                </c:pt>
                <c:pt idx="190">
                  <c:v>42855</c:v>
                </c:pt>
                <c:pt idx="191">
                  <c:v>42886</c:v>
                </c:pt>
                <c:pt idx="192">
                  <c:v>42916</c:v>
                </c:pt>
                <c:pt idx="193">
                  <c:v>42947</c:v>
                </c:pt>
                <c:pt idx="194">
                  <c:v>42978</c:v>
                </c:pt>
                <c:pt idx="195">
                  <c:v>43008</c:v>
                </c:pt>
                <c:pt idx="196">
                  <c:v>43039</c:v>
                </c:pt>
                <c:pt idx="197">
                  <c:v>43069</c:v>
                </c:pt>
                <c:pt idx="198">
                  <c:v>43100</c:v>
                </c:pt>
                <c:pt idx="199">
                  <c:v>43131</c:v>
                </c:pt>
                <c:pt idx="200">
                  <c:v>43159</c:v>
                </c:pt>
                <c:pt idx="201">
                  <c:v>43190</c:v>
                </c:pt>
                <c:pt idx="202">
                  <c:v>43220</c:v>
                </c:pt>
                <c:pt idx="203">
                  <c:v>43251</c:v>
                </c:pt>
                <c:pt idx="204">
                  <c:v>43281</c:v>
                </c:pt>
                <c:pt idx="205">
                  <c:v>43312</c:v>
                </c:pt>
                <c:pt idx="206">
                  <c:v>43343</c:v>
                </c:pt>
                <c:pt idx="207">
                  <c:v>43373</c:v>
                </c:pt>
                <c:pt idx="208">
                  <c:v>43404</c:v>
                </c:pt>
                <c:pt idx="209">
                  <c:v>43434</c:v>
                </c:pt>
                <c:pt idx="210">
                  <c:v>43465</c:v>
                </c:pt>
                <c:pt idx="211">
                  <c:v>43496</c:v>
                </c:pt>
                <c:pt idx="212">
                  <c:v>43524</c:v>
                </c:pt>
                <c:pt idx="213">
                  <c:v>43555</c:v>
                </c:pt>
                <c:pt idx="214">
                  <c:v>43585</c:v>
                </c:pt>
                <c:pt idx="215">
                  <c:v>43616</c:v>
                </c:pt>
                <c:pt idx="216">
                  <c:v>43646</c:v>
                </c:pt>
                <c:pt idx="217">
                  <c:v>43677</c:v>
                </c:pt>
                <c:pt idx="218">
                  <c:v>43708</c:v>
                </c:pt>
                <c:pt idx="219">
                  <c:v>43738</c:v>
                </c:pt>
                <c:pt idx="220">
                  <c:v>43769</c:v>
                </c:pt>
                <c:pt idx="221">
                  <c:v>43799</c:v>
                </c:pt>
                <c:pt idx="222">
                  <c:v>43830</c:v>
                </c:pt>
                <c:pt idx="223">
                  <c:v>43861</c:v>
                </c:pt>
                <c:pt idx="224">
                  <c:v>43890</c:v>
                </c:pt>
                <c:pt idx="225">
                  <c:v>43921</c:v>
                </c:pt>
                <c:pt idx="226">
                  <c:v>43951</c:v>
                </c:pt>
                <c:pt idx="227">
                  <c:v>43982</c:v>
                </c:pt>
                <c:pt idx="228">
                  <c:v>44012</c:v>
                </c:pt>
                <c:pt idx="229">
                  <c:v>44043</c:v>
                </c:pt>
                <c:pt idx="230">
                  <c:v>44074</c:v>
                </c:pt>
                <c:pt idx="231">
                  <c:v>44104</c:v>
                </c:pt>
                <c:pt idx="232">
                  <c:v>44135</c:v>
                </c:pt>
                <c:pt idx="233">
                  <c:v>44165</c:v>
                </c:pt>
                <c:pt idx="234">
                  <c:v>44196</c:v>
                </c:pt>
                <c:pt idx="235">
                  <c:v>44227</c:v>
                </c:pt>
                <c:pt idx="236">
                  <c:v>44255</c:v>
                </c:pt>
                <c:pt idx="237">
                  <c:v>44286</c:v>
                </c:pt>
                <c:pt idx="238">
                  <c:v>44316</c:v>
                </c:pt>
                <c:pt idx="239">
                  <c:v>44347</c:v>
                </c:pt>
                <c:pt idx="240">
                  <c:v>44377</c:v>
                </c:pt>
                <c:pt idx="241">
                  <c:v>44408</c:v>
                </c:pt>
                <c:pt idx="242">
                  <c:v>44439</c:v>
                </c:pt>
                <c:pt idx="243">
                  <c:v>44469</c:v>
                </c:pt>
                <c:pt idx="244">
                  <c:v>44500</c:v>
                </c:pt>
                <c:pt idx="245">
                  <c:v>44530</c:v>
                </c:pt>
                <c:pt idx="246">
                  <c:v>44561</c:v>
                </c:pt>
                <c:pt idx="247">
                  <c:v>44592</c:v>
                </c:pt>
                <c:pt idx="248">
                  <c:v>44620</c:v>
                </c:pt>
                <c:pt idx="249">
                  <c:v>44651</c:v>
                </c:pt>
                <c:pt idx="250">
                  <c:v>44681</c:v>
                </c:pt>
                <c:pt idx="251">
                  <c:v>44712</c:v>
                </c:pt>
                <c:pt idx="252">
                  <c:v>44742</c:v>
                </c:pt>
                <c:pt idx="253">
                  <c:v>44773</c:v>
                </c:pt>
                <c:pt idx="254">
                  <c:v>44804</c:v>
                </c:pt>
                <c:pt idx="255">
                  <c:v>44834</c:v>
                </c:pt>
                <c:pt idx="256">
                  <c:v>44865</c:v>
                </c:pt>
                <c:pt idx="257">
                  <c:v>44895</c:v>
                </c:pt>
                <c:pt idx="258">
                  <c:v>44926</c:v>
                </c:pt>
                <c:pt idx="259">
                  <c:v>44957</c:v>
                </c:pt>
                <c:pt idx="260">
                  <c:v>44985</c:v>
                </c:pt>
                <c:pt idx="261">
                  <c:v>45016</c:v>
                </c:pt>
                <c:pt idx="262">
                  <c:v>45046</c:v>
                </c:pt>
                <c:pt idx="263">
                  <c:v>45077</c:v>
                </c:pt>
                <c:pt idx="264">
                  <c:v>45107</c:v>
                </c:pt>
                <c:pt idx="265">
                  <c:v>45138</c:v>
                </c:pt>
                <c:pt idx="266">
                  <c:v>45169</c:v>
                </c:pt>
                <c:pt idx="267">
                  <c:v>45199</c:v>
                </c:pt>
                <c:pt idx="268">
                  <c:v>45230</c:v>
                </c:pt>
                <c:pt idx="269">
                  <c:v>45260</c:v>
                </c:pt>
                <c:pt idx="270">
                  <c:v>45291</c:v>
                </c:pt>
                <c:pt idx="271">
                  <c:v>45322</c:v>
                </c:pt>
                <c:pt idx="272">
                  <c:v>45351</c:v>
                </c:pt>
                <c:pt idx="273">
                  <c:v>45382</c:v>
                </c:pt>
                <c:pt idx="274">
                  <c:v>45412</c:v>
                </c:pt>
                <c:pt idx="275">
                  <c:v>45443</c:v>
                </c:pt>
                <c:pt idx="276">
                  <c:v>45473</c:v>
                </c:pt>
                <c:pt idx="277">
                  <c:v>45504</c:v>
                </c:pt>
                <c:pt idx="278">
                  <c:v>45535</c:v>
                </c:pt>
                <c:pt idx="279">
                  <c:v>45565</c:v>
                </c:pt>
                <c:pt idx="280">
                  <c:v>45596</c:v>
                </c:pt>
                <c:pt idx="281">
                  <c:v>45626</c:v>
                </c:pt>
                <c:pt idx="282">
                  <c:v>45657</c:v>
                </c:pt>
                <c:pt idx="283">
                  <c:v>45688</c:v>
                </c:pt>
                <c:pt idx="284">
                  <c:v>45716</c:v>
                </c:pt>
                <c:pt idx="285">
                  <c:v>45747</c:v>
                </c:pt>
                <c:pt idx="286">
                  <c:v>45777</c:v>
                </c:pt>
                <c:pt idx="287">
                  <c:v>45808</c:v>
                </c:pt>
                <c:pt idx="288">
                  <c:v>45838</c:v>
                </c:pt>
                <c:pt idx="289">
                  <c:v>45869</c:v>
                </c:pt>
                <c:pt idx="290">
                  <c:v>45900</c:v>
                </c:pt>
                <c:pt idx="291">
                  <c:v>45930</c:v>
                </c:pt>
                <c:pt idx="292">
                  <c:v>45961</c:v>
                </c:pt>
                <c:pt idx="293">
                  <c:v>45991</c:v>
                </c:pt>
                <c:pt idx="294">
                  <c:v>46022</c:v>
                </c:pt>
                <c:pt idx="295">
                  <c:v>46053</c:v>
                </c:pt>
                <c:pt idx="296">
                  <c:v>46081</c:v>
                </c:pt>
              </c:numCache>
            </c:numRef>
          </c:cat>
          <c:val>
            <c:numRef>
              <c:f>'Chart 2.10.2 data'!$E$19:$E$488</c:f>
              <c:numCache>
                <c:formatCode>0</c:formatCode>
                <c:ptCount val="470"/>
                <c:pt idx="0">
                  <c:v>1447964</c:v>
                </c:pt>
                <c:pt idx="1">
                  <c:v>1443124</c:v>
                </c:pt>
                <c:pt idx="2">
                  <c:v>1417408</c:v>
                </c:pt>
                <c:pt idx="3">
                  <c:v>1428978</c:v>
                </c:pt>
                <c:pt idx="4">
                  <c:v>1600829</c:v>
                </c:pt>
                <c:pt idx="5">
                  <c:v>1664878</c:v>
                </c:pt>
                <c:pt idx="6">
                  <c:v>1780250</c:v>
                </c:pt>
                <c:pt idx="7">
                  <c:v>1790816</c:v>
                </c:pt>
                <c:pt idx="8">
                  <c:v>1936266</c:v>
                </c:pt>
                <c:pt idx="9">
                  <c:v>1973879</c:v>
                </c:pt>
                <c:pt idx="10">
                  <c:v>1891346</c:v>
                </c:pt>
                <c:pt idx="11">
                  <c:v>1813350</c:v>
                </c:pt>
                <c:pt idx="12">
                  <c:v>1850421</c:v>
                </c:pt>
                <c:pt idx="13">
                  <c:v>1887093</c:v>
                </c:pt>
                <c:pt idx="14">
                  <c:v>1981615</c:v>
                </c:pt>
                <c:pt idx="15">
                  <c:v>2077851</c:v>
                </c:pt>
                <c:pt idx="16">
                  <c:v>1949970</c:v>
                </c:pt>
                <c:pt idx="17">
                  <c:v>2006665</c:v>
                </c:pt>
                <c:pt idx="18">
                  <c:v>1850446</c:v>
                </c:pt>
                <c:pt idx="19">
                  <c:v>1863233</c:v>
                </c:pt>
                <c:pt idx="20">
                  <c:v>1884925</c:v>
                </c:pt>
                <c:pt idx="21">
                  <c:v>1913502</c:v>
                </c:pt>
                <c:pt idx="22">
                  <c:v>1911613</c:v>
                </c:pt>
                <c:pt idx="23">
                  <c:v>2063813</c:v>
                </c:pt>
                <c:pt idx="24">
                  <c:v>2116035</c:v>
                </c:pt>
                <c:pt idx="25">
                  <c:v>2110395</c:v>
                </c:pt>
                <c:pt idx="26">
                  <c:v>2291715</c:v>
                </c:pt>
                <c:pt idx="27">
                  <c:v>2169582</c:v>
                </c:pt>
                <c:pt idx="28">
                  <c:v>2152836</c:v>
                </c:pt>
                <c:pt idx="29">
                  <c:v>2048681</c:v>
                </c:pt>
                <c:pt idx="30">
                  <c:v>2154413</c:v>
                </c:pt>
                <c:pt idx="31">
                  <c:v>2245467</c:v>
                </c:pt>
                <c:pt idx="32">
                  <c:v>2113594</c:v>
                </c:pt>
                <c:pt idx="33">
                  <c:v>2072454</c:v>
                </c:pt>
                <c:pt idx="34">
                  <c:v>2157688</c:v>
                </c:pt>
                <c:pt idx="35">
                  <c:v>2146255</c:v>
                </c:pt>
                <c:pt idx="36">
                  <c:v>2125152</c:v>
                </c:pt>
                <c:pt idx="37">
                  <c:v>2272711</c:v>
                </c:pt>
                <c:pt idx="38">
                  <c:v>2060137</c:v>
                </c:pt>
                <c:pt idx="39">
                  <c:v>2121017</c:v>
                </c:pt>
                <c:pt idx="40">
                  <c:v>2152385</c:v>
                </c:pt>
                <c:pt idx="41">
                  <c:v>2206303</c:v>
                </c:pt>
                <c:pt idx="42">
                  <c:v>2089413</c:v>
                </c:pt>
                <c:pt idx="43">
                  <c:v>2017601</c:v>
                </c:pt>
                <c:pt idx="44">
                  <c:v>1969458</c:v>
                </c:pt>
                <c:pt idx="45">
                  <c:v>1850835</c:v>
                </c:pt>
                <c:pt idx="46">
                  <c:v>1884850</c:v>
                </c:pt>
                <c:pt idx="47">
                  <c:v>1761634</c:v>
                </c:pt>
                <c:pt idx="48">
                  <c:v>1810946</c:v>
                </c:pt>
                <c:pt idx="49">
                  <c:v>1756179</c:v>
                </c:pt>
                <c:pt idx="50">
                  <c:v>1796316</c:v>
                </c:pt>
                <c:pt idx="51">
                  <c:v>1854305</c:v>
                </c:pt>
                <c:pt idx="52">
                  <c:v>1967457</c:v>
                </c:pt>
                <c:pt idx="53">
                  <c:v>2221633</c:v>
                </c:pt>
                <c:pt idx="54">
                  <c:v>2278400</c:v>
                </c:pt>
                <c:pt idx="55">
                  <c:v>2322246</c:v>
                </c:pt>
                <c:pt idx="56">
                  <c:v>2373178</c:v>
                </c:pt>
                <c:pt idx="57">
                  <c:v>2696089</c:v>
                </c:pt>
                <c:pt idx="58">
                  <c:v>2593873</c:v>
                </c:pt>
                <c:pt idx="59">
                  <c:v>2645679</c:v>
                </c:pt>
                <c:pt idx="60">
                  <c:v>2641786</c:v>
                </c:pt>
                <c:pt idx="61">
                  <c:v>2756092</c:v>
                </c:pt>
                <c:pt idx="62">
                  <c:v>2749189</c:v>
                </c:pt>
                <c:pt idx="63">
                  <c:v>2735785</c:v>
                </c:pt>
                <c:pt idx="64">
                  <c:v>2734452</c:v>
                </c:pt>
                <c:pt idx="65">
                  <c:v>2496695</c:v>
                </c:pt>
                <c:pt idx="66">
                  <c:v>2719801</c:v>
                </c:pt>
                <c:pt idx="67">
                  <c:v>3177277</c:v>
                </c:pt>
                <c:pt idx="68">
                  <c:v>3333761</c:v>
                </c:pt>
                <c:pt idx="69">
                  <c:v>3602795</c:v>
                </c:pt>
                <c:pt idx="70">
                  <c:v>3707572</c:v>
                </c:pt>
                <c:pt idx="71">
                  <c:v>3768768</c:v>
                </c:pt>
                <c:pt idx="72">
                  <c:v>3894495</c:v>
                </c:pt>
                <c:pt idx="73">
                  <c:v>3728029</c:v>
                </c:pt>
                <c:pt idx="74">
                  <c:v>3748705</c:v>
                </c:pt>
                <c:pt idx="75">
                  <c:v>4010557</c:v>
                </c:pt>
                <c:pt idx="76">
                  <c:v>4641619</c:v>
                </c:pt>
                <c:pt idx="77">
                  <c:v>4690804</c:v>
                </c:pt>
                <c:pt idx="78">
                  <c:v>4499181</c:v>
                </c:pt>
                <c:pt idx="79">
                  <c:v>4387052</c:v>
                </c:pt>
                <c:pt idx="80">
                  <c:v>4325832</c:v>
                </c:pt>
                <c:pt idx="81">
                  <c:v>4123704</c:v>
                </c:pt>
                <c:pt idx="82">
                  <c:v>4069792</c:v>
                </c:pt>
                <c:pt idx="83">
                  <c:v>4230508</c:v>
                </c:pt>
                <c:pt idx="84">
                  <c:v>4230996</c:v>
                </c:pt>
                <c:pt idx="85">
                  <c:v>4378489</c:v>
                </c:pt>
                <c:pt idx="86">
                  <c:v>4485360</c:v>
                </c:pt>
                <c:pt idx="87">
                  <c:v>4328442</c:v>
                </c:pt>
                <c:pt idx="88">
                  <c:v>3670799</c:v>
                </c:pt>
                <c:pt idx="89">
                  <c:v>3628225</c:v>
                </c:pt>
                <c:pt idx="90">
                  <c:v>3588013</c:v>
                </c:pt>
                <c:pt idx="91">
                  <c:v>3227258</c:v>
                </c:pt>
                <c:pt idx="92">
                  <c:v>3077965</c:v>
                </c:pt>
                <c:pt idx="93">
                  <c:v>2751898</c:v>
                </c:pt>
                <c:pt idx="94">
                  <c:v>2729588</c:v>
                </c:pt>
                <c:pt idx="95">
                  <c:v>2428803</c:v>
                </c:pt>
                <c:pt idx="96">
                  <c:v>2426346</c:v>
                </c:pt>
                <c:pt idx="97">
                  <c:v>2303683</c:v>
                </c:pt>
                <c:pt idx="98">
                  <c:v>2114085</c:v>
                </c:pt>
                <c:pt idx="99">
                  <c:v>1998399</c:v>
                </c:pt>
                <c:pt idx="100">
                  <c:v>1942989</c:v>
                </c:pt>
                <c:pt idx="101">
                  <c:v>1973025</c:v>
                </c:pt>
                <c:pt idx="102">
                  <c:v>1920025</c:v>
                </c:pt>
                <c:pt idx="103">
                  <c:v>1880957</c:v>
                </c:pt>
                <c:pt idx="104">
                  <c:v>1968458</c:v>
                </c:pt>
                <c:pt idx="105">
                  <c:v>1971122</c:v>
                </c:pt>
                <c:pt idx="106">
                  <c:v>1973639</c:v>
                </c:pt>
                <c:pt idx="107">
                  <c:v>2063675</c:v>
                </c:pt>
                <c:pt idx="108">
                  <c:v>1893560</c:v>
                </c:pt>
                <c:pt idx="109">
                  <c:v>1912898</c:v>
                </c:pt>
                <c:pt idx="110">
                  <c:v>2126289</c:v>
                </c:pt>
                <c:pt idx="111">
                  <c:v>2135796</c:v>
                </c:pt>
                <c:pt idx="112">
                  <c:v>2139916</c:v>
                </c:pt>
                <c:pt idx="113">
                  <c:v>2112809</c:v>
                </c:pt>
                <c:pt idx="114">
                  <c:v>2409680</c:v>
                </c:pt>
                <c:pt idx="115">
                  <c:v>2444396</c:v>
                </c:pt>
                <c:pt idx="116">
                  <c:v>2656423</c:v>
                </c:pt>
                <c:pt idx="117">
                  <c:v>2648361</c:v>
                </c:pt>
                <c:pt idx="118">
                  <c:v>2717137</c:v>
                </c:pt>
                <c:pt idx="119">
                  <c:v>2762372</c:v>
                </c:pt>
                <c:pt idx="120">
                  <c:v>2808962</c:v>
                </c:pt>
                <c:pt idx="121">
                  <c:v>3206780</c:v>
                </c:pt>
                <c:pt idx="122">
                  <c:v>3239425</c:v>
                </c:pt>
                <c:pt idx="123">
                  <c:v>3211676</c:v>
                </c:pt>
                <c:pt idx="124">
                  <c:v>3150636</c:v>
                </c:pt>
                <c:pt idx="125">
                  <c:v>3145633</c:v>
                </c:pt>
                <c:pt idx="126">
                  <c:v>2881183</c:v>
                </c:pt>
                <c:pt idx="127">
                  <c:v>3380595</c:v>
                </c:pt>
                <c:pt idx="128">
                  <c:v>3416238</c:v>
                </c:pt>
                <c:pt idx="129">
                  <c:v>3519179</c:v>
                </c:pt>
                <c:pt idx="130">
                  <c:v>3502850</c:v>
                </c:pt>
                <c:pt idx="131">
                  <c:v>3702437</c:v>
                </c:pt>
                <c:pt idx="132">
                  <c:v>3632563</c:v>
                </c:pt>
                <c:pt idx="133">
                  <c:v>3306947</c:v>
                </c:pt>
                <c:pt idx="134">
                  <c:v>3188966</c:v>
                </c:pt>
                <c:pt idx="135">
                  <c:v>3220460</c:v>
                </c:pt>
                <c:pt idx="136">
                  <c:v>3575206</c:v>
                </c:pt>
                <c:pt idx="137">
                  <c:v>3633163</c:v>
                </c:pt>
                <c:pt idx="138">
                  <c:v>3663290</c:v>
                </c:pt>
                <c:pt idx="139">
                  <c:v>3423248</c:v>
                </c:pt>
                <c:pt idx="140">
                  <c:v>3151291</c:v>
                </c:pt>
                <c:pt idx="141">
                  <c:v>3104990</c:v>
                </c:pt>
                <c:pt idx="142">
                  <c:v>3068171</c:v>
                </c:pt>
                <c:pt idx="143">
                  <c:v>2876746</c:v>
                </c:pt>
                <c:pt idx="144">
                  <c:v>3024414</c:v>
                </c:pt>
                <c:pt idx="145">
                  <c:v>3005044</c:v>
                </c:pt>
                <c:pt idx="146">
                  <c:v>2971332</c:v>
                </c:pt>
                <c:pt idx="147">
                  <c:v>2980435</c:v>
                </c:pt>
                <c:pt idx="148">
                  <c:v>3126097</c:v>
                </c:pt>
                <c:pt idx="149">
                  <c:v>3149530</c:v>
                </c:pt>
                <c:pt idx="150">
                  <c:v>3259412</c:v>
                </c:pt>
                <c:pt idx="151">
                  <c:v>3334459</c:v>
                </c:pt>
                <c:pt idx="152">
                  <c:v>3693137</c:v>
                </c:pt>
                <c:pt idx="153">
                  <c:v>3975192</c:v>
                </c:pt>
                <c:pt idx="154">
                  <c:v>3950509</c:v>
                </c:pt>
                <c:pt idx="155">
                  <c:v>3835300</c:v>
                </c:pt>
                <c:pt idx="156">
                  <c:v>3691281</c:v>
                </c:pt>
                <c:pt idx="157">
                  <c:v>3606859</c:v>
                </c:pt>
                <c:pt idx="158">
                  <c:v>3569895</c:v>
                </c:pt>
                <c:pt idx="159">
                  <c:v>3871371</c:v>
                </c:pt>
                <c:pt idx="160">
                  <c:v>3473312</c:v>
                </c:pt>
                <c:pt idx="161">
                  <c:v>3358695</c:v>
                </c:pt>
                <c:pt idx="162">
                  <c:v>3410642</c:v>
                </c:pt>
                <c:pt idx="163">
                  <c:v>3307778</c:v>
                </c:pt>
                <c:pt idx="164">
                  <c:v>3157984</c:v>
                </c:pt>
                <c:pt idx="165">
                  <c:v>2855497</c:v>
                </c:pt>
                <c:pt idx="166">
                  <c:v>2859038</c:v>
                </c:pt>
                <c:pt idx="167">
                  <c:v>2975866</c:v>
                </c:pt>
                <c:pt idx="168">
                  <c:v>3009925</c:v>
                </c:pt>
                <c:pt idx="169">
                  <c:v>3055490</c:v>
                </c:pt>
                <c:pt idx="170">
                  <c:v>3091008</c:v>
                </c:pt>
                <c:pt idx="171">
                  <c:v>2793672</c:v>
                </c:pt>
                <c:pt idx="172">
                  <c:v>2799355</c:v>
                </c:pt>
                <c:pt idx="173">
                  <c:v>2796273</c:v>
                </c:pt>
                <c:pt idx="174">
                  <c:v>2806629</c:v>
                </c:pt>
                <c:pt idx="175">
                  <c:v>2610995</c:v>
                </c:pt>
                <c:pt idx="176">
                  <c:v>2428008</c:v>
                </c:pt>
                <c:pt idx="177">
                  <c:v>2429648</c:v>
                </c:pt>
                <c:pt idx="178">
                  <c:v>2561706</c:v>
                </c:pt>
                <c:pt idx="179">
                  <c:v>2524877</c:v>
                </c:pt>
                <c:pt idx="180">
                  <c:v>2668512</c:v>
                </c:pt>
                <c:pt idx="181">
                  <c:v>2646231</c:v>
                </c:pt>
                <c:pt idx="182">
                  <c:v>2913784</c:v>
                </c:pt>
                <c:pt idx="183">
                  <c:v>3259625</c:v>
                </c:pt>
                <c:pt idx="184">
                  <c:v>3208386</c:v>
                </c:pt>
                <c:pt idx="185">
                  <c:v>3278004</c:v>
                </c:pt>
                <c:pt idx="186">
                  <c:v>3210547</c:v>
                </c:pt>
                <c:pt idx="187">
                  <c:v>3164742</c:v>
                </c:pt>
                <c:pt idx="188">
                  <c:v>3430777</c:v>
                </c:pt>
                <c:pt idx="189">
                  <c:v>3494121</c:v>
                </c:pt>
                <c:pt idx="190">
                  <c:v>3831141</c:v>
                </c:pt>
                <c:pt idx="191">
                  <c:v>4089651</c:v>
                </c:pt>
                <c:pt idx="192">
                  <c:v>4556013</c:v>
                </c:pt>
                <c:pt idx="193">
                  <c:v>5014432</c:v>
                </c:pt>
                <c:pt idx="194">
                  <c:v>4998686</c:v>
                </c:pt>
                <c:pt idx="195">
                  <c:v>5473980</c:v>
                </c:pt>
                <c:pt idx="196">
                  <c:v>5659150</c:v>
                </c:pt>
                <c:pt idx="197">
                  <c:v>5745811</c:v>
                </c:pt>
                <c:pt idx="198">
                  <c:v>5740927</c:v>
                </c:pt>
                <c:pt idx="199">
                  <c:v>5894908</c:v>
                </c:pt>
                <c:pt idx="200">
                  <c:v>5972998</c:v>
                </c:pt>
                <c:pt idx="201">
                  <c:v>5960742</c:v>
                </c:pt>
                <c:pt idx="202">
                  <c:v>5571753</c:v>
                </c:pt>
                <c:pt idx="203">
                  <c:v>5640711</c:v>
                </c:pt>
                <c:pt idx="204">
                  <c:v>5163337</c:v>
                </c:pt>
                <c:pt idx="205">
                  <c:v>5151069</c:v>
                </c:pt>
                <c:pt idx="206">
                  <c:v>5078787</c:v>
                </c:pt>
                <c:pt idx="207">
                  <c:v>4361905</c:v>
                </c:pt>
                <c:pt idx="208">
                  <c:v>4341470</c:v>
                </c:pt>
                <c:pt idx="209">
                  <c:v>4500318</c:v>
                </c:pt>
                <c:pt idx="210">
                  <c:v>4445364</c:v>
                </c:pt>
                <c:pt idx="211">
                  <c:v>4447860</c:v>
                </c:pt>
                <c:pt idx="212">
                  <c:v>4375685</c:v>
                </c:pt>
                <c:pt idx="213">
                  <c:v>4414521</c:v>
                </c:pt>
                <c:pt idx="214">
                  <c:v>4463885</c:v>
                </c:pt>
                <c:pt idx="215">
                  <c:v>4206140</c:v>
                </c:pt>
                <c:pt idx="216">
                  <c:v>4261612</c:v>
                </c:pt>
                <c:pt idx="217">
                  <c:v>3976092</c:v>
                </c:pt>
                <c:pt idx="218">
                  <c:v>4052164</c:v>
                </c:pt>
                <c:pt idx="219">
                  <c:v>4149054</c:v>
                </c:pt>
                <c:pt idx="220">
                  <c:v>4234307</c:v>
                </c:pt>
                <c:pt idx="221">
                  <c:v>4410182</c:v>
                </c:pt>
                <c:pt idx="222">
                  <c:v>4564469</c:v>
                </c:pt>
                <c:pt idx="223">
                  <c:v>4474979</c:v>
                </c:pt>
                <c:pt idx="224">
                  <c:v>5038572</c:v>
                </c:pt>
                <c:pt idx="225">
                  <c:v>5216311</c:v>
                </c:pt>
                <c:pt idx="226">
                  <c:v>5352105</c:v>
                </c:pt>
                <c:pt idx="227">
                  <c:v>5638177</c:v>
                </c:pt>
                <c:pt idx="228">
                  <c:v>5551133</c:v>
                </c:pt>
                <c:pt idx="229">
                  <c:v>5582801</c:v>
                </c:pt>
                <c:pt idx="230">
                  <c:v>5374885</c:v>
                </c:pt>
                <c:pt idx="231">
                  <c:v>5216158</c:v>
                </c:pt>
                <c:pt idx="232">
                  <c:v>4967790</c:v>
                </c:pt>
                <c:pt idx="233">
                  <c:v>4622148</c:v>
                </c:pt>
                <c:pt idx="234">
                  <c:v>4455559</c:v>
                </c:pt>
                <c:pt idx="235">
                  <c:v>4536877</c:v>
                </c:pt>
                <c:pt idx="236">
                  <c:v>3664011</c:v>
                </c:pt>
                <c:pt idx="237">
                  <c:v>3503448</c:v>
                </c:pt>
                <c:pt idx="238">
                  <c:v>3400202</c:v>
                </c:pt>
                <c:pt idx="239">
                  <c:v>3081226</c:v>
                </c:pt>
                <c:pt idx="240">
                  <c:v>3081495</c:v>
                </c:pt>
                <c:pt idx="241">
                  <c:v>3165931</c:v>
                </c:pt>
                <c:pt idx="242">
                  <c:v>3645802</c:v>
                </c:pt>
                <c:pt idx="243">
                  <c:v>3592704</c:v>
                </c:pt>
                <c:pt idx="244">
                  <c:v>4163363</c:v>
                </c:pt>
                <c:pt idx="245">
                  <c:v>4210051</c:v>
                </c:pt>
                <c:pt idx="246">
                  <c:v>4447678</c:v>
                </c:pt>
                <c:pt idx="247">
                  <c:v>4480770</c:v>
                </c:pt>
                <c:pt idx="248">
                  <c:v>4834087</c:v>
                </c:pt>
                <c:pt idx="249">
                  <c:v>5194134</c:v>
                </c:pt>
                <c:pt idx="250">
                  <c:v>5455576</c:v>
                </c:pt>
                <c:pt idx="251">
                  <c:v>5516889</c:v>
                </c:pt>
                <c:pt idx="252">
                  <c:v>5610313</c:v>
                </c:pt>
                <c:pt idx="253">
                  <c:v>5574596</c:v>
                </c:pt>
                <c:pt idx="254">
                  <c:v>5339760</c:v>
                </c:pt>
                <c:pt idx="255">
                  <c:v>6097480</c:v>
                </c:pt>
                <c:pt idx="256">
                  <c:v>6367266</c:v>
                </c:pt>
                <c:pt idx="257">
                  <c:v>6673679</c:v>
                </c:pt>
                <c:pt idx="258">
                  <c:v>6878664</c:v>
                </c:pt>
                <c:pt idx="259">
                  <c:v>6896253</c:v>
                </c:pt>
                <c:pt idx="260">
                  <c:v>6789107</c:v>
                </c:pt>
                <c:pt idx="261">
                  <c:v>6554842</c:v>
                </c:pt>
                <c:pt idx="262">
                  <c:v>6423518</c:v>
                </c:pt>
                <c:pt idx="263">
                  <c:v>6746571</c:v>
                </c:pt>
                <c:pt idx="264">
                  <c:v>6699141</c:v>
                </c:pt>
                <c:pt idx="265">
                  <c:v>6690686</c:v>
                </c:pt>
                <c:pt idx="266">
                  <c:v>6570259</c:v>
                </c:pt>
                <c:pt idx="267">
                  <c:v>5886579</c:v>
                </c:pt>
                <c:pt idx="268">
                  <c:v>5248148</c:v>
                </c:pt>
                <c:pt idx="269">
                  <c:v>5391104</c:v>
                </c:pt>
                <c:pt idx="270">
                  <c:v>5185443</c:v>
                </c:pt>
                <c:pt idx="271">
                  <c:v>5452382</c:v>
                </c:pt>
                <c:pt idx="272">
                  <c:v>5490208</c:v>
                </c:pt>
                <c:pt idx="273">
                  <c:v>5634858</c:v>
                </c:pt>
                <c:pt idx="274">
                  <c:v>5641250</c:v>
                </c:pt>
                <c:pt idx="275">
                  <c:v>5981839</c:v>
                </c:pt>
                <c:pt idx="276">
                  <c:v>5985774</c:v>
                </c:pt>
                <c:pt idx="277">
                  <c:v>6032871</c:v>
                </c:pt>
                <c:pt idx="278">
                  <c:v>6226172</c:v>
                </c:pt>
                <c:pt idx="279">
                  <c:v>6462026</c:v>
                </c:pt>
                <c:pt idx="280">
                  <c:v>6630665</c:v>
                </c:pt>
                <c:pt idx="281">
                  <c:v>6460459</c:v>
                </c:pt>
                <c:pt idx="282">
                  <c:v>6438162</c:v>
                </c:pt>
                <c:pt idx="283">
                  <c:v>6374788</c:v>
                </c:pt>
                <c:pt idx="284">
                  <c:v>6169394</c:v>
                </c:pt>
                <c:pt idx="285">
                  <c:v>7177464</c:v>
                </c:pt>
                <c:pt idx="286">
                  <c:v>7350301</c:v>
                </c:pt>
                <c:pt idx="287">
                  <c:v>8277241</c:v>
                </c:pt>
                <c:pt idx="288">
                  <c:v>9168565</c:v>
                </c:pt>
                <c:pt idx="289">
                  <c:v>10061839</c:v>
                </c:pt>
                <c:pt idx="290">
                  <c:v>10436671</c:v>
                </c:pt>
                <c:pt idx="291">
                  <c:v>10333175</c:v>
                </c:pt>
                <c:pt idx="292">
                  <c:v>10608823</c:v>
                </c:pt>
                <c:pt idx="293">
                  <c:v>11267679</c:v>
                </c:pt>
                <c:pt idx="294">
                  <c:v>12136091</c:v>
                </c:pt>
                <c:pt idx="295">
                  <c:v>12949570</c:v>
                </c:pt>
                <c:pt idx="296">
                  <c:v>13029608</c:v>
                </c:pt>
              </c:numCache>
            </c:numRef>
          </c:val>
          <c:smooth val="0"/>
          <c:extLst>
            <c:ext xmlns:c16="http://schemas.microsoft.com/office/drawing/2014/chart" uri="{C3380CC4-5D6E-409C-BE32-E72D297353CC}">
              <c16:uniqueId val="{00000000-2912-4BF4-B7ED-FEE6B3F19AAF}"/>
            </c:ext>
          </c:extLst>
        </c:ser>
        <c:ser>
          <c:idx val="3"/>
          <c:order val="1"/>
          <c:tx>
            <c:strRef>
              <c:f>'Chart 2.10.2 data'!$H$3</c:f>
              <c:strCache>
                <c:ptCount val="1"/>
                <c:pt idx="0">
                  <c:v>Data centres (c)</c:v>
                </c:pt>
              </c:strCache>
            </c:strRef>
          </c:tx>
          <c:spPr>
            <a:ln w="22225" cap="rnd">
              <a:solidFill>
                <a:schemeClr val="bg1">
                  <a:lumMod val="75000"/>
                </a:schemeClr>
              </a:solidFill>
              <a:round/>
            </a:ln>
            <a:effectLst/>
          </c:spPr>
          <c:marker>
            <c:symbol val="none"/>
          </c:marker>
          <c:cat>
            <c:numRef>
              <c:f>'Chart 2.10.2 data'!$C$19:$C$488</c:f>
              <c:numCache>
                <c:formatCode>mmm"-"yyyy</c:formatCode>
                <c:ptCount val="470"/>
                <c:pt idx="0">
                  <c:v>37072</c:v>
                </c:pt>
                <c:pt idx="1">
                  <c:v>37103</c:v>
                </c:pt>
                <c:pt idx="2">
                  <c:v>37134</c:v>
                </c:pt>
                <c:pt idx="3">
                  <c:v>37164</c:v>
                </c:pt>
                <c:pt idx="4">
                  <c:v>37195</c:v>
                </c:pt>
                <c:pt idx="5">
                  <c:v>37225</c:v>
                </c:pt>
                <c:pt idx="6">
                  <c:v>37256</c:v>
                </c:pt>
                <c:pt idx="7">
                  <c:v>37287</c:v>
                </c:pt>
                <c:pt idx="8">
                  <c:v>37315</c:v>
                </c:pt>
                <c:pt idx="9">
                  <c:v>37346</c:v>
                </c:pt>
                <c:pt idx="10">
                  <c:v>37376</c:v>
                </c:pt>
                <c:pt idx="11">
                  <c:v>37407</c:v>
                </c:pt>
                <c:pt idx="12">
                  <c:v>37437</c:v>
                </c:pt>
                <c:pt idx="13">
                  <c:v>37468</c:v>
                </c:pt>
                <c:pt idx="14">
                  <c:v>37499</c:v>
                </c:pt>
                <c:pt idx="15">
                  <c:v>37529</c:v>
                </c:pt>
                <c:pt idx="16">
                  <c:v>37560</c:v>
                </c:pt>
                <c:pt idx="17">
                  <c:v>37590</c:v>
                </c:pt>
                <c:pt idx="18">
                  <c:v>37621</c:v>
                </c:pt>
                <c:pt idx="19">
                  <c:v>37652</c:v>
                </c:pt>
                <c:pt idx="20">
                  <c:v>37680</c:v>
                </c:pt>
                <c:pt idx="21">
                  <c:v>37711</c:v>
                </c:pt>
                <c:pt idx="22">
                  <c:v>37741</c:v>
                </c:pt>
                <c:pt idx="23">
                  <c:v>37772</c:v>
                </c:pt>
                <c:pt idx="24">
                  <c:v>37802</c:v>
                </c:pt>
                <c:pt idx="25">
                  <c:v>37833</c:v>
                </c:pt>
                <c:pt idx="26">
                  <c:v>37864</c:v>
                </c:pt>
                <c:pt idx="27">
                  <c:v>37894</c:v>
                </c:pt>
                <c:pt idx="28">
                  <c:v>37925</c:v>
                </c:pt>
                <c:pt idx="29">
                  <c:v>37955</c:v>
                </c:pt>
                <c:pt idx="30">
                  <c:v>37986</c:v>
                </c:pt>
                <c:pt idx="31">
                  <c:v>38017</c:v>
                </c:pt>
                <c:pt idx="32">
                  <c:v>38046</c:v>
                </c:pt>
                <c:pt idx="33">
                  <c:v>38077</c:v>
                </c:pt>
                <c:pt idx="34">
                  <c:v>38107</c:v>
                </c:pt>
                <c:pt idx="35">
                  <c:v>38138</c:v>
                </c:pt>
                <c:pt idx="36">
                  <c:v>38168</c:v>
                </c:pt>
                <c:pt idx="37">
                  <c:v>38199</c:v>
                </c:pt>
                <c:pt idx="38">
                  <c:v>38230</c:v>
                </c:pt>
                <c:pt idx="39">
                  <c:v>38260</c:v>
                </c:pt>
                <c:pt idx="40">
                  <c:v>38291</c:v>
                </c:pt>
                <c:pt idx="41">
                  <c:v>38321</c:v>
                </c:pt>
                <c:pt idx="42">
                  <c:v>38352</c:v>
                </c:pt>
                <c:pt idx="43">
                  <c:v>38383</c:v>
                </c:pt>
                <c:pt idx="44">
                  <c:v>38411</c:v>
                </c:pt>
                <c:pt idx="45">
                  <c:v>38442</c:v>
                </c:pt>
                <c:pt idx="46">
                  <c:v>38472</c:v>
                </c:pt>
                <c:pt idx="47">
                  <c:v>38503</c:v>
                </c:pt>
                <c:pt idx="48">
                  <c:v>38533</c:v>
                </c:pt>
                <c:pt idx="49">
                  <c:v>38564</c:v>
                </c:pt>
                <c:pt idx="50">
                  <c:v>38595</c:v>
                </c:pt>
                <c:pt idx="51">
                  <c:v>38625</c:v>
                </c:pt>
                <c:pt idx="52">
                  <c:v>38656</c:v>
                </c:pt>
                <c:pt idx="53">
                  <c:v>38686</c:v>
                </c:pt>
                <c:pt idx="54">
                  <c:v>38717</c:v>
                </c:pt>
                <c:pt idx="55">
                  <c:v>38748</c:v>
                </c:pt>
                <c:pt idx="56">
                  <c:v>38776</c:v>
                </c:pt>
                <c:pt idx="57">
                  <c:v>38807</c:v>
                </c:pt>
                <c:pt idx="58">
                  <c:v>38837</c:v>
                </c:pt>
                <c:pt idx="59">
                  <c:v>38868</c:v>
                </c:pt>
                <c:pt idx="60">
                  <c:v>38898</c:v>
                </c:pt>
                <c:pt idx="61">
                  <c:v>38929</c:v>
                </c:pt>
                <c:pt idx="62">
                  <c:v>38960</c:v>
                </c:pt>
                <c:pt idx="63">
                  <c:v>38990</c:v>
                </c:pt>
                <c:pt idx="64">
                  <c:v>39021</c:v>
                </c:pt>
                <c:pt idx="65">
                  <c:v>39051</c:v>
                </c:pt>
                <c:pt idx="66">
                  <c:v>39082</c:v>
                </c:pt>
                <c:pt idx="67">
                  <c:v>39113</c:v>
                </c:pt>
                <c:pt idx="68">
                  <c:v>39141</c:v>
                </c:pt>
                <c:pt idx="69">
                  <c:v>39172</c:v>
                </c:pt>
                <c:pt idx="70">
                  <c:v>39202</c:v>
                </c:pt>
                <c:pt idx="71">
                  <c:v>39233</c:v>
                </c:pt>
                <c:pt idx="72">
                  <c:v>39263</c:v>
                </c:pt>
                <c:pt idx="73">
                  <c:v>39294</c:v>
                </c:pt>
                <c:pt idx="74">
                  <c:v>39325</c:v>
                </c:pt>
                <c:pt idx="75">
                  <c:v>39355</c:v>
                </c:pt>
                <c:pt idx="76">
                  <c:v>39386</c:v>
                </c:pt>
                <c:pt idx="77">
                  <c:v>39416</c:v>
                </c:pt>
                <c:pt idx="78">
                  <c:v>39447</c:v>
                </c:pt>
                <c:pt idx="79">
                  <c:v>39478</c:v>
                </c:pt>
                <c:pt idx="80">
                  <c:v>39507</c:v>
                </c:pt>
                <c:pt idx="81">
                  <c:v>39538</c:v>
                </c:pt>
                <c:pt idx="82">
                  <c:v>39568</c:v>
                </c:pt>
                <c:pt idx="83">
                  <c:v>39599</c:v>
                </c:pt>
                <c:pt idx="84">
                  <c:v>39629</c:v>
                </c:pt>
                <c:pt idx="85">
                  <c:v>39660</c:v>
                </c:pt>
                <c:pt idx="86">
                  <c:v>39691</c:v>
                </c:pt>
                <c:pt idx="87">
                  <c:v>39721</c:v>
                </c:pt>
                <c:pt idx="88">
                  <c:v>39752</c:v>
                </c:pt>
                <c:pt idx="89">
                  <c:v>39782</c:v>
                </c:pt>
                <c:pt idx="90">
                  <c:v>39813</c:v>
                </c:pt>
                <c:pt idx="91">
                  <c:v>39844</c:v>
                </c:pt>
                <c:pt idx="92">
                  <c:v>39872</c:v>
                </c:pt>
                <c:pt idx="93">
                  <c:v>39903</c:v>
                </c:pt>
                <c:pt idx="94">
                  <c:v>39933</c:v>
                </c:pt>
                <c:pt idx="95">
                  <c:v>39964</c:v>
                </c:pt>
                <c:pt idx="96">
                  <c:v>39994</c:v>
                </c:pt>
                <c:pt idx="97">
                  <c:v>40025</c:v>
                </c:pt>
                <c:pt idx="98">
                  <c:v>40056</c:v>
                </c:pt>
                <c:pt idx="99">
                  <c:v>40086</c:v>
                </c:pt>
                <c:pt idx="100">
                  <c:v>40117</c:v>
                </c:pt>
                <c:pt idx="101">
                  <c:v>40147</c:v>
                </c:pt>
                <c:pt idx="102">
                  <c:v>40178</c:v>
                </c:pt>
                <c:pt idx="103">
                  <c:v>40209</c:v>
                </c:pt>
                <c:pt idx="104">
                  <c:v>40237</c:v>
                </c:pt>
                <c:pt idx="105">
                  <c:v>40268</c:v>
                </c:pt>
                <c:pt idx="106">
                  <c:v>40298</c:v>
                </c:pt>
                <c:pt idx="107">
                  <c:v>40329</c:v>
                </c:pt>
                <c:pt idx="108">
                  <c:v>40359</c:v>
                </c:pt>
                <c:pt idx="109">
                  <c:v>40390</c:v>
                </c:pt>
                <c:pt idx="110">
                  <c:v>40421</c:v>
                </c:pt>
                <c:pt idx="111">
                  <c:v>40451</c:v>
                </c:pt>
                <c:pt idx="112">
                  <c:v>40482</c:v>
                </c:pt>
                <c:pt idx="113">
                  <c:v>40512</c:v>
                </c:pt>
                <c:pt idx="114">
                  <c:v>40543</c:v>
                </c:pt>
                <c:pt idx="115">
                  <c:v>40574</c:v>
                </c:pt>
                <c:pt idx="116">
                  <c:v>40602</c:v>
                </c:pt>
                <c:pt idx="117">
                  <c:v>40633</c:v>
                </c:pt>
                <c:pt idx="118">
                  <c:v>40663</c:v>
                </c:pt>
                <c:pt idx="119">
                  <c:v>40694</c:v>
                </c:pt>
                <c:pt idx="120">
                  <c:v>40724</c:v>
                </c:pt>
                <c:pt idx="121">
                  <c:v>40755</c:v>
                </c:pt>
                <c:pt idx="122">
                  <c:v>40786</c:v>
                </c:pt>
                <c:pt idx="123">
                  <c:v>40816</c:v>
                </c:pt>
                <c:pt idx="124">
                  <c:v>40847</c:v>
                </c:pt>
                <c:pt idx="125">
                  <c:v>40877</c:v>
                </c:pt>
                <c:pt idx="126">
                  <c:v>40908</c:v>
                </c:pt>
                <c:pt idx="127">
                  <c:v>40939</c:v>
                </c:pt>
                <c:pt idx="128">
                  <c:v>40968</c:v>
                </c:pt>
                <c:pt idx="129">
                  <c:v>40999</c:v>
                </c:pt>
                <c:pt idx="130">
                  <c:v>41029</c:v>
                </c:pt>
                <c:pt idx="131">
                  <c:v>41060</c:v>
                </c:pt>
                <c:pt idx="132">
                  <c:v>41090</c:v>
                </c:pt>
                <c:pt idx="133">
                  <c:v>41121</c:v>
                </c:pt>
                <c:pt idx="134">
                  <c:v>41152</c:v>
                </c:pt>
                <c:pt idx="135">
                  <c:v>41182</c:v>
                </c:pt>
                <c:pt idx="136">
                  <c:v>41213</c:v>
                </c:pt>
                <c:pt idx="137">
                  <c:v>41243</c:v>
                </c:pt>
                <c:pt idx="138">
                  <c:v>41274</c:v>
                </c:pt>
                <c:pt idx="139">
                  <c:v>41305</c:v>
                </c:pt>
                <c:pt idx="140">
                  <c:v>41333</c:v>
                </c:pt>
                <c:pt idx="141">
                  <c:v>41364</c:v>
                </c:pt>
                <c:pt idx="142">
                  <c:v>41394</c:v>
                </c:pt>
                <c:pt idx="143">
                  <c:v>41425</c:v>
                </c:pt>
                <c:pt idx="144">
                  <c:v>41455</c:v>
                </c:pt>
                <c:pt idx="145">
                  <c:v>41486</c:v>
                </c:pt>
                <c:pt idx="146">
                  <c:v>41517</c:v>
                </c:pt>
                <c:pt idx="147">
                  <c:v>41547</c:v>
                </c:pt>
                <c:pt idx="148">
                  <c:v>41578</c:v>
                </c:pt>
                <c:pt idx="149">
                  <c:v>41608</c:v>
                </c:pt>
                <c:pt idx="150">
                  <c:v>41639</c:v>
                </c:pt>
                <c:pt idx="151">
                  <c:v>41670</c:v>
                </c:pt>
                <c:pt idx="152">
                  <c:v>41698</c:v>
                </c:pt>
                <c:pt idx="153">
                  <c:v>41729</c:v>
                </c:pt>
                <c:pt idx="154">
                  <c:v>41759</c:v>
                </c:pt>
                <c:pt idx="155">
                  <c:v>41790</c:v>
                </c:pt>
                <c:pt idx="156">
                  <c:v>41820</c:v>
                </c:pt>
                <c:pt idx="157">
                  <c:v>41851</c:v>
                </c:pt>
                <c:pt idx="158">
                  <c:v>41882</c:v>
                </c:pt>
                <c:pt idx="159">
                  <c:v>41912</c:v>
                </c:pt>
                <c:pt idx="160">
                  <c:v>41943</c:v>
                </c:pt>
                <c:pt idx="161">
                  <c:v>41973</c:v>
                </c:pt>
                <c:pt idx="162">
                  <c:v>42004</c:v>
                </c:pt>
                <c:pt idx="163">
                  <c:v>42035</c:v>
                </c:pt>
                <c:pt idx="164">
                  <c:v>42063</c:v>
                </c:pt>
                <c:pt idx="165">
                  <c:v>42094</c:v>
                </c:pt>
                <c:pt idx="166">
                  <c:v>42124</c:v>
                </c:pt>
                <c:pt idx="167">
                  <c:v>42155</c:v>
                </c:pt>
                <c:pt idx="168">
                  <c:v>42185</c:v>
                </c:pt>
                <c:pt idx="169">
                  <c:v>42216</c:v>
                </c:pt>
                <c:pt idx="170">
                  <c:v>42247</c:v>
                </c:pt>
                <c:pt idx="171">
                  <c:v>42277</c:v>
                </c:pt>
                <c:pt idx="172">
                  <c:v>42308</c:v>
                </c:pt>
                <c:pt idx="173">
                  <c:v>42338</c:v>
                </c:pt>
                <c:pt idx="174">
                  <c:v>42369</c:v>
                </c:pt>
                <c:pt idx="175">
                  <c:v>42400</c:v>
                </c:pt>
                <c:pt idx="176">
                  <c:v>42429</c:v>
                </c:pt>
                <c:pt idx="177">
                  <c:v>42460</c:v>
                </c:pt>
                <c:pt idx="178">
                  <c:v>42490</c:v>
                </c:pt>
                <c:pt idx="179">
                  <c:v>42521</c:v>
                </c:pt>
                <c:pt idx="180">
                  <c:v>42551</c:v>
                </c:pt>
                <c:pt idx="181">
                  <c:v>42582</c:v>
                </c:pt>
                <c:pt idx="182">
                  <c:v>42613</c:v>
                </c:pt>
                <c:pt idx="183">
                  <c:v>42643</c:v>
                </c:pt>
                <c:pt idx="184">
                  <c:v>42674</c:v>
                </c:pt>
                <c:pt idx="185">
                  <c:v>42704</c:v>
                </c:pt>
                <c:pt idx="186">
                  <c:v>42735</c:v>
                </c:pt>
                <c:pt idx="187">
                  <c:v>42766</c:v>
                </c:pt>
                <c:pt idx="188">
                  <c:v>42794</c:v>
                </c:pt>
                <c:pt idx="189">
                  <c:v>42825</c:v>
                </c:pt>
                <c:pt idx="190">
                  <c:v>42855</c:v>
                </c:pt>
                <c:pt idx="191">
                  <c:v>42886</c:v>
                </c:pt>
                <c:pt idx="192">
                  <c:v>42916</c:v>
                </c:pt>
                <c:pt idx="193">
                  <c:v>42947</c:v>
                </c:pt>
                <c:pt idx="194">
                  <c:v>42978</c:v>
                </c:pt>
                <c:pt idx="195">
                  <c:v>43008</c:v>
                </c:pt>
                <c:pt idx="196">
                  <c:v>43039</c:v>
                </c:pt>
                <c:pt idx="197">
                  <c:v>43069</c:v>
                </c:pt>
                <c:pt idx="198">
                  <c:v>43100</c:v>
                </c:pt>
                <c:pt idx="199">
                  <c:v>43131</c:v>
                </c:pt>
                <c:pt idx="200">
                  <c:v>43159</c:v>
                </c:pt>
                <c:pt idx="201">
                  <c:v>43190</c:v>
                </c:pt>
                <c:pt idx="202">
                  <c:v>43220</c:v>
                </c:pt>
                <c:pt idx="203">
                  <c:v>43251</c:v>
                </c:pt>
                <c:pt idx="204">
                  <c:v>43281</c:v>
                </c:pt>
                <c:pt idx="205">
                  <c:v>43312</c:v>
                </c:pt>
                <c:pt idx="206">
                  <c:v>43343</c:v>
                </c:pt>
                <c:pt idx="207">
                  <c:v>43373</c:v>
                </c:pt>
                <c:pt idx="208">
                  <c:v>43404</c:v>
                </c:pt>
                <c:pt idx="209">
                  <c:v>43434</c:v>
                </c:pt>
                <c:pt idx="210">
                  <c:v>43465</c:v>
                </c:pt>
                <c:pt idx="211">
                  <c:v>43496</c:v>
                </c:pt>
                <c:pt idx="212">
                  <c:v>43524</c:v>
                </c:pt>
                <c:pt idx="213">
                  <c:v>43555</c:v>
                </c:pt>
                <c:pt idx="214">
                  <c:v>43585</c:v>
                </c:pt>
                <c:pt idx="215">
                  <c:v>43616</c:v>
                </c:pt>
                <c:pt idx="216">
                  <c:v>43646</c:v>
                </c:pt>
                <c:pt idx="217">
                  <c:v>43677</c:v>
                </c:pt>
                <c:pt idx="218">
                  <c:v>43708</c:v>
                </c:pt>
                <c:pt idx="219">
                  <c:v>43738</c:v>
                </c:pt>
                <c:pt idx="220">
                  <c:v>43769</c:v>
                </c:pt>
                <c:pt idx="221">
                  <c:v>43799</c:v>
                </c:pt>
                <c:pt idx="222">
                  <c:v>43830</c:v>
                </c:pt>
                <c:pt idx="223">
                  <c:v>43861</c:v>
                </c:pt>
                <c:pt idx="224">
                  <c:v>43890</c:v>
                </c:pt>
                <c:pt idx="225">
                  <c:v>43921</c:v>
                </c:pt>
                <c:pt idx="226">
                  <c:v>43951</c:v>
                </c:pt>
                <c:pt idx="227">
                  <c:v>43982</c:v>
                </c:pt>
                <c:pt idx="228">
                  <c:v>44012</c:v>
                </c:pt>
                <c:pt idx="229">
                  <c:v>44043</c:v>
                </c:pt>
                <c:pt idx="230">
                  <c:v>44074</c:v>
                </c:pt>
                <c:pt idx="231">
                  <c:v>44104</c:v>
                </c:pt>
                <c:pt idx="232">
                  <c:v>44135</c:v>
                </c:pt>
                <c:pt idx="233">
                  <c:v>44165</c:v>
                </c:pt>
                <c:pt idx="234">
                  <c:v>44196</c:v>
                </c:pt>
                <c:pt idx="235">
                  <c:v>44227</c:v>
                </c:pt>
                <c:pt idx="236">
                  <c:v>44255</c:v>
                </c:pt>
                <c:pt idx="237">
                  <c:v>44286</c:v>
                </c:pt>
                <c:pt idx="238">
                  <c:v>44316</c:v>
                </c:pt>
                <c:pt idx="239">
                  <c:v>44347</c:v>
                </c:pt>
                <c:pt idx="240">
                  <c:v>44377</c:v>
                </c:pt>
                <c:pt idx="241">
                  <c:v>44408</c:v>
                </c:pt>
                <c:pt idx="242">
                  <c:v>44439</c:v>
                </c:pt>
                <c:pt idx="243">
                  <c:v>44469</c:v>
                </c:pt>
                <c:pt idx="244">
                  <c:v>44500</c:v>
                </c:pt>
                <c:pt idx="245">
                  <c:v>44530</c:v>
                </c:pt>
                <c:pt idx="246">
                  <c:v>44561</c:v>
                </c:pt>
                <c:pt idx="247">
                  <c:v>44592</c:v>
                </c:pt>
                <c:pt idx="248">
                  <c:v>44620</c:v>
                </c:pt>
                <c:pt idx="249">
                  <c:v>44651</c:v>
                </c:pt>
                <c:pt idx="250">
                  <c:v>44681</c:v>
                </c:pt>
                <c:pt idx="251">
                  <c:v>44712</c:v>
                </c:pt>
                <c:pt idx="252">
                  <c:v>44742</c:v>
                </c:pt>
                <c:pt idx="253">
                  <c:v>44773</c:v>
                </c:pt>
                <c:pt idx="254">
                  <c:v>44804</c:v>
                </c:pt>
                <c:pt idx="255">
                  <c:v>44834</c:v>
                </c:pt>
                <c:pt idx="256">
                  <c:v>44865</c:v>
                </c:pt>
                <c:pt idx="257">
                  <c:v>44895</c:v>
                </c:pt>
                <c:pt idx="258">
                  <c:v>44926</c:v>
                </c:pt>
                <c:pt idx="259">
                  <c:v>44957</c:v>
                </c:pt>
                <c:pt idx="260">
                  <c:v>44985</c:v>
                </c:pt>
                <c:pt idx="261">
                  <c:v>45016</c:v>
                </c:pt>
                <c:pt idx="262">
                  <c:v>45046</c:v>
                </c:pt>
                <c:pt idx="263">
                  <c:v>45077</c:v>
                </c:pt>
                <c:pt idx="264">
                  <c:v>45107</c:v>
                </c:pt>
                <c:pt idx="265">
                  <c:v>45138</c:v>
                </c:pt>
                <c:pt idx="266">
                  <c:v>45169</c:v>
                </c:pt>
                <c:pt idx="267">
                  <c:v>45199</c:v>
                </c:pt>
                <c:pt idx="268">
                  <c:v>45230</c:v>
                </c:pt>
                <c:pt idx="269">
                  <c:v>45260</c:v>
                </c:pt>
                <c:pt idx="270">
                  <c:v>45291</c:v>
                </c:pt>
                <c:pt idx="271">
                  <c:v>45322</c:v>
                </c:pt>
                <c:pt idx="272">
                  <c:v>45351</c:v>
                </c:pt>
                <c:pt idx="273">
                  <c:v>45382</c:v>
                </c:pt>
                <c:pt idx="274">
                  <c:v>45412</c:v>
                </c:pt>
                <c:pt idx="275">
                  <c:v>45443</c:v>
                </c:pt>
                <c:pt idx="276">
                  <c:v>45473</c:v>
                </c:pt>
                <c:pt idx="277">
                  <c:v>45504</c:v>
                </c:pt>
                <c:pt idx="278">
                  <c:v>45535</c:v>
                </c:pt>
                <c:pt idx="279">
                  <c:v>45565</c:v>
                </c:pt>
                <c:pt idx="280">
                  <c:v>45596</c:v>
                </c:pt>
                <c:pt idx="281">
                  <c:v>45626</c:v>
                </c:pt>
                <c:pt idx="282">
                  <c:v>45657</c:v>
                </c:pt>
                <c:pt idx="283">
                  <c:v>45688</c:v>
                </c:pt>
                <c:pt idx="284">
                  <c:v>45716</c:v>
                </c:pt>
                <c:pt idx="285">
                  <c:v>45747</c:v>
                </c:pt>
                <c:pt idx="286">
                  <c:v>45777</c:v>
                </c:pt>
                <c:pt idx="287">
                  <c:v>45808</c:v>
                </c:pt>
                <c:pt idx="288">
                  <c:v>45838</c:v>
                </c:pt>
                <c:pt idx="289">
                  <c:v>45869</c:v>
                </c:pt>
                <c:pt idx="290">
                  <c:v>45900</c:v>
                </c:pt>
                <c:pt idx="291">
                  <c:v>45930</c:v>
                </c:pt>
                <c:pt idx="292">
                  <c:v>45961</c:v>
                </c:pt>
                <c:pt idx="293">
                  <c:v>45991</c:v>
                </c:pt>
                <c:pt idx="294">
                  <c:v>46022</c:v>
                </c:pt>
                <c:pt idx="295">
                  <c:v>46053</c:v>
                </c:pt>
                <c:pt idx="296">
                  <c:v>46081</c:v>
                </c:pt>
              </c:numCache>
            </c:numRef>
          </c:cat>
          <c:val>
            <c:numRef>
              <c:f>'Chart 2.10.2 data'!$H$19:$H$488</c:f>
              <c:numCache>
                <c:formatCode>0</c:formatCode>
                <c:ptCount val="470"/>
                <c:pt idx="0">
                  <c:v>#N/A</c:v>
                </c:pt>
                <c:pt idx="1">
                  <c:v>21464</c:v>
                </c:pt>
                <c:pt idx="2">
                  <c:v>22568</c:v>
                </c:pt>
                <c:pt idx="3">
                  <c:v>26183</c:v>
                </c:pt>
                <c:pt idx="4">
                  <c:v>27059</c:v>
                </c:pt>
                <c:pt idx="5">
                  <c:v>25610</c:v>
                </c:pt>
                <c:pt idx="6">
                  <c:v>25360</c:v>
                </c:pt>
                <c:pt idx="7">
                  <c:v>24172</c:v>
                </c:pt>
                <c:pt idx="8">
                  <c:v>23776</c:v>
                </c:pt>
                <c:pt idx="9">
                  <c:v>16535</c:v>
                </c:pt>
                <c:pt idx="10">
                  <c:v>20874</c:v>
                </c:pt>
                <c:pt idx="11">
                  <c:v>24453</c:v>
                </c:pt>
                <c:pt idx="12">
                  <c:v>23384</c:v>
                </c:pt>
                <c:pt idx="13">
                  <c:v>23890</c:v>
                </c:pt>
                <c:pt idx="14">
                  <c:v>28541</c:v>
                </c:pt>
                <c:pt idx="15">
                  <c:v>25746</c:v>
                </c:pt>
                <c:pt idx="16">
                  <c:v>24900</c:v>
                </c:pt>
                <c:pt idx="17">
                  <c:v>25495</c:v>
                </c:pt>
                <c:pt idx="18">
                  <c:v>54015</c:v>
                </c:pt>
                <c:pt idx="19">
                  <c:v>53095</c:v>
                </c:pt>
                <c:pt idx="20">
                  <c:v>52589</c:v>
                </c:pt>
                <c:pt idx="21">
                  <c:v>52311</c:v>
                </c:pt>
                <c:pt idx="22">
                  <c:v>48807</c:v>
                </c:pt>
                <c:pt idx="23">
                  <c:v>45186</c:v>
                </c:pt>
                <c:pt idx="24">
                  <c:v>45472</c:v>
                </c:pt>
                <c:pt idx="25">
                  <c:v>46282</c:v>
                </c:pt>
                <c:pt idx="26">
                  <c:v>40848</c:v>
                </c:pt>
                <c:pt idx="27">
                  <c:v>41143</c:v>
                </c:pt>
                <c:pt idx="28">
                  <c:v>40699</c:v>
                </c:pt>
                <c:pt idx="29">
                  <c:v>42054</c:v>
                </c:pt>
                <c:pt idx="30">
                  <c:v>12595</c:v>
                </c:pt>
                <c:pt idx="31">
                  <c:v>12545</c:v>
                </c:pt>
                <c:pt idx="32">
                  <c:v>14035</c:v>
                </c:pt>
                <c:pt idx="33">
                  <c:v>14963</c:v>
                </c:pt>
                <c:pt idx="34">
                  <c:v>13413</c:v>
                </c:pt>
                <c:pt idx="35">
                  <c:v>13200</c:v>
                </c:pt>
                <c:pt idx="36">
                  <c:v>14798</c:v>
                </c:pt>
                <c:pt idx="37">
                  <c:v>16917</c:v>
                </c:pt>
                <c:pt idx="38">
                  <c:v>17248</c:v>
                </c:pt>
                <c:pt idx="39">
                  <c:v>17033</c:v>
                </c:pt>
                <c:pt idx="40">
                  <c:v>17650</c:v>
                </c:pt>
                <c:pt idx="41">
                  <c:v>17476</c:v>
                </c:pt>
                <c:pt idx="42">
                  <c:v>17842</c:v>
                </c:pt>
                <c:pt idx="43">
                  <c:v>18097</c:v>
                </c:pt>
                <c:pt idx="44">
                  <c:v>21163</c:v>
                </c:pt>
                <c:pt idx="45">
                  <c:v>24425</c:v>
                </c:pt>
                <c:pt idx="46">
                  <c:v>25875</c:v>
                </c:pt>
                <c:pt idx="47">
                  <c:v>26630</c:v>
                </c:pt>
                <c:pt idx="48">
                  <c:v>25784</c:v>
                </c:pt>
                <c:pt idx="49">
                  <c:v>28027</c:v>
                </c:pt>
                <c:pt idx="50">
                  <c:v>28681</c:v>
                </c:pt>
                <c:pt idx="51">
                  <c:v>29374</c:v>
                </c:pt>
                <c:pt idx="52">
                  <c:v>31214</c:v>
                </c:pt>
                <c:pt idx="53">
                  <c:v>31415</c:v>
                </c:pt>
                <c:pt idx="54">
                  <c:v>32670</c:v>
                </c:pt>
                <c:pt idx="55">
                  <c:v>32281</c:v>
                </c:pt>
                <c:pt idx="56">
                  <c:v>37273</c:v>
                </c:pt>
                <c:pt idx="57">
                  <c:v>41150</c:v>
                </c:pt>
                <c:pt idx="58">
                  <c:v>43032</c:v>
                </c:pt>
                <c:pt idx="59">
                  <c:v>45208</c:v>
                </c:pt>
                <c:pt idx="60">
                  <c:v>46014</c:v>
                </c:pt>
                <c:pt idx="61">
                  <c:v>40956</c:v>
                </c:pt>
                <c:pt idx="62">
                  <c:v>42638</c:v>
                </c:pt>
                <c:pt idx="63">
                  <c:v>48910</c:v>
                </c:pt>
                <c:pt idx="64">
                  <c:v>56460</c:v>
                </c:pt>
                <c:pt idx="65">
                  <c:v>54788</c:v>
                </c:pt>
                <c:pt idx="66">
                  <c:v>53713</c:v>
                </c:pt>
                <c:pt idx="67">
                  <c:v>54542</c:v>
                </c:pt>
                <c:pt idx="68">
                  <c:v>45047</c:v>
                </c:pt>
                <c:pt idx="69">
                  <c:v>37818</c:v>
                </c:pt>
                <c:pt idx="70">
                  <c:v>40753</c:v>
                </c:pt>
                <c:pt idx="71">
                  <c:v>39428</c:v>
                </c:pt>
                <c:pt idx="72">
                  <c:v>38054</c:v>
                </c:pt>
                <c:pt idx="73">
                  <c:v>37541</c:v>
                </c:pt>
                <c:pt idx="74">
                  <c:v>36461</c:v>
                </c:pt>
                <c:pt idx="75">
                  <c:v>35691</c:v>
                </c:pt>
                <c:pt idx="76">
                  <c:v>26146</c:v>
                </c:pt>
                <c:pt idx="77">
                  <c:v>32812</c:v>
                </c:pt>
                <c:pt idx="78">
                  <c:v>35257</c:v>
                </c:pt>
                <c:pt idx="79">
                  <c:v>37765</c:v>
                </c:pt>
                <c:pt idx="80">
                  <c:v>38243</c:v>
                </c:pt>
                <c:pt idx="81">
                  <c:v>38773</c:v>
                </c:pt>
                <c:pt idx="82">
                  <c:v>35136</c:v>
                </c:pt>
                <c:pt idx="83">
                  <c:v>33280</c:v>
                </c:pt>
                <c:pt idx="84">
                  <c:v>33244</c:v>
                </c:pt>
                <c:pt idx="85">
                  <c:v>33798</c:v>
                </c:pt>
                <c:pt idx="86">
                  <c:v>40103</c:v>
                </c:pt>
                <c:pt idx="87">
                  <c:v>35210</c:v>
                </c:pt>
                <c:pt idx="88">
                  <c:v>37361</c:v>
                </c:pt>
                <c:pt idx="89">
                  <c:v>31930</c:v>
                </c:pt>
                <c:pt idx="90">
                  <c:v>30851</c:v>
                </c:pt>
                <c:pt idx="91">
                  <c:v>36730</c:v>
                </c:pt>
                <c:pt idx="92">
                  <c:v>37763</c:v>
                </c:pt>
                <c:pt idx="93">
                  <c:v>38747</c:v>
                </c:pt>
                <c:pt idx="94">
                  <c:v>41008</c:v>
                </c:pt>
                <c:pt idx="95">
                  <c:v>41288</c:v>
                </c:pt>
                <c:pt idx="96">
                  <c:v>42358</c:v>
                </c:pt>
                <c:pt idx="97">
                  <c:v>44581</c:v>
                </c:pt>
                <c:pt idx="98">
                  <c:v>37611</c:v>
                </c:pt>
                <c:pt idx="99">
                  <c:v>36671</c:v>
                </c:pt>
                <c:pt idx="100">
                  <c:v>33750</c:v>
                </c:pt>
                <c:pt idx="101">
                  <c:v>40860</c:v>
                </c:pt>
                <c:pt idx="102">
                  <c:v>42335</c:v>
                </c:pt>
                <c:pt idx="103">
                  <c:v>36907</c:v>
                </c:pt>
                <c:pt idx="104">
                  <c:v>39830</c:v>
                </c:pt>
                <c:pt idx="105">
                  <c:v>38924</c:v>
                </c:pt>
                <c:pt idx="106">
                  <c:v>35999</c:v>
                </c:pt>
                <c:pt idx="107">
                  <c:v>36484</c:v>
                </c:pt>
                <c:pt idx="108">
                  <c:v>37816</c:v>
                </c:pt>
                <c:pt idx="109">
                  <c:v>37941</c:v>
                </c:pt>
                <c:pt idx="110">
                  <c:v>40687</c:v>
                </c:pt>
                <c:pt idx="111">
                  <c:v>41695</c:v>
                </c:pt>
                <c:pt idx="112">
                  <c:v>49498</c:v>
                </c:pt>
                <c:pt idx="113">
                  <c:v>43178</c:v>
                </c:pt>
                <c:pt idx="114">
                  <c:v>40604</c:v>
                </c:pt>
                <c:pt idx="115">
                  <c:v>41450</c:v>
                </c:pt>
                <c:pt idx="116">
                  <c:v>38859</c:v>
                </c:pt>
                <c:pt idx="117">
                  <c:v>40051</c:v>
                </c:pt>
                <c:pt idx="118">
                  <c:v>40467</c:v>
                </c:pt>
                <c:pt idx="119">
                  <c:v>44391</c:v>
                </c:pt>
                <c:pt idx="120">
                  <c:v>42255</c:v>
                </c:pt>
                <c:pt idx="121">
                  <c:v>47527</c:v>
                </c:pt>
                <c:pt idx="122">
                  <c:v>54248</c:v>
                </c:pt>
                <c:pt idx="123">
                  <c:v>55756</c:v>
                </c:pt>
                <c:pt idx="124">
                  <c:v>50752</c:v>
                </c:pt>
                <c:pt idx="125">
                  <c:v>50481</c:v>
                </c:pt>
                <c:pt idx="126">
                  <c:v>50846</c:v>
                </c:pt>
                <c:pt idx="127">
                  <c:v>46561</c:v>
                </c:pt>
                <c:pt idx="128">
                  <c:v>50974</c:v>
                </c:pt>
                <c:pt idx="129">
                  <c:v>58900</c:v>
                </c:pt>
                <c:pt idx="130">
                  <c:v>58610</c:v>
                </c:pt>
                <c:pt idx="131">
                  <c:v>57900</c:v>
                </c:pt>
                <c:pt idx="132">
                  <c:v>61812</c:v>
                </c:pt>
                <c:pt idx="133">
                  <c:v>54422</c:v>
                </c:pt>
                <c:pt idx="134">
                  <c:v>46065</c:v>
                </c:pt>
                <c:pt idx="135">
                  <c:v>47822</c:v>
                </c:pt>
                <c:pt idx="136">
                  <c:v>53205</c:v>
                </c:pt>
                <c:pt idx="137">
                  <c:v>52506</c:v>
                </c:pt>
                <c:pt idx="138">
                  <c:v>54261</c:v>
                </c:pt>
                <c:pt idx="139">
                  <c:v>53966</c:v>
                </c:pt>
                <c:pt idx="140">
                  <c:v>53936</c:v>
                </c:pt>
                <c:pt idx="141">
                  <c:v>45650</c:v>
                </c:pt>
                <c:pt idx="142">
                  <c:v>46163</c:v>
                </c:pt>
                <c:pt idx="143">
                  <c:v>50762</c:v>
                </c:pt>
                <c:pt idx="144">
                  <c:v>48508</c:v>
                </c:pt>
                <c:pt idx="145">
                  <c:v>49393</c:v>
                </c:pt>
                <c:pt idx="146">
                  <c:v>48803</c:v>
                </c:pt>
                <c:pt idx="147">
                  <c:v>48097</c:v>
                </c:pt>
                <c:pt idx="148">
                  <c:v>42117</c:v>
                </c:pt>
                <c:pt idx="149">
                  <c:v>41137</c:v>
                </c:pt>
                <c:pt idx="150">
                  <c:v>48343</c:v>
                </c:pt>
                <c:pt idx="151">
                  <c:v>49693</c:v>
                </c:pt>
                <c:pt idx="152">
                  <c:v>62445</c:v>
                </c:pt>
                <c:pt idx="153">
                  <c:v>64917</c:v>
                </c:pt>
                <c:pt idx="154">
                  <c:v>63652</c:v>
                </c:pt>
                <c:pt idx="155">
                  <c:v>59059</c:v>
                </c:pt>
                <c:pt idx="156">
                  <c:v>67756</c:v>
                </c:pt>
                <c:pt idx="157">
                  <c:v>68140</c:v>
                </c:pt>
                <c:pt idx="158">
                  <c:v>73535</c:v>
                </c:pt>
                <c:pt idx="159">
                  <c:v>68885</c:v>
                </c:pt>
                <c:pt idx="160">
                  <c:v>69692</c:v>
                </c:pt>
                <c:pt idx="161">
                  <c:v>73919</c:v>
                </c:pt>
                <c:pt idx="162">
                  <c:v>64359</c:v>
                </c:pt>
                <c:pt idx="163">
                  <c:v>106463</c:v>
                </c:pt>
                <c:pt idx="164">
                  <c:v>98108</c:v>
                </c:pt>
                <c:pt idx="165">
                  <c:v>93806</c:v>
                </c:pt>
                <c:pt idx="166">
                  <c:v>94066</c:v>
                </c:pt>
                <c:pt idx="167">
                  <c:v>91984</c:v>
                </c:pt>
                <c:pt idx="168">
                  <c:v>86759</c:v>
                </c:pt>
                <c:pt idx="169">
                  <c:v>94830</c:v>
                </c:pt>
                <c:pt idx="170">
                  <c:v>87210</c:v>
                </c:pt>
                <c:pt idx="171">
                  <c:v>88308</c:v>
                </c:pt>
                <c:pt idx="172">
                  <c:v>91139</c:v>
                </c:pt>
                <c:pt idx="173">
                  <c:v>91032</c:v>
                </c:pt>
                <c:pt idx="174">
                  <c:v>111280</c:v>
                </c:pt>
                <c:pt idx="175">
                  <c:v>68376</c:v>
                </c:pt>
                <c:pt idx="176">
                  <c:v>64750</c:v>
                </c:pt>
                <c:pt idx="177">
                  <c:v>63865</c:v>
                </c:pt>
                <c:pt idx="178">
                  <c:v>76768</c:v>
                </c:pt>
                <c:pt idx="179">
                  <c:v>77822</c:v>
                </c:pt>
                <c:pt idx="180">
                  <c:v>74517</c:v>
                </c:pt>
                <c:pt idx="181">
                  <c:v>67513</c:v>
                </c:pt>
                <c:pt idx="182">
                  <c:v>75906</c:v>
                </c:pt>
                <c:pt idx="183">
                  <c:v>76746</c:v>
                </c:pt>
                <c:pt idx="184">
                  <c:v>77020</c:v>
                </c:pt>
                <c:pt idx="185">
                  <c:v>78330</c:v>
                </c:pt>
                <c:pt idx="186">
                  <c:v>64685</c:v>
                </c:pt>
                <c:pt idx="187">
                  <c:v>64265</c:v>
                </c:pt>
                <c:pt idx="188">
                  <c:v>67424</c:v>
                </c:pt>
                <c:pt idx="189">
                  <c:v>94611</c:v>
                </c:pt>
                <c:pt idx="190">
                  <c:v>82945</c:v>
                </c:pt>
                <c:pt idx="191">
                  <c:v>86608</c:v>
                </c:pt>
                <c:pt idx="192">
                  <c:v>89630</c:v>
                </c:pt>
                <c:pt idx="193">
                  <c:v>98967</c:v>
                </c:pt>
                <c:pt idx="194">
                  <c:v>96879</c:v>
                </c:pt>
                <c:pt idx="195">
                  <c:v>104117</c:v>
                </c:pt>
                <c:pt idx="196">
                  <c:v>131770</c:v>
                </c:pt>
                <c:pt idx="197">
                  <c:v>182370</c:v>
                </c:pt>
                <c:pt idx="198">
                  <c:v>188344</c:v>
                </c:pt>
                <c:pt idx="199">
                  <c:v>193243</c:v>
                </c:pt>
                <c:pt idx="200">
                  <c:v>190732</c:v>
                </c:pt>
                <c:pt idx="201">
                  <c:v>170823</c:v>
                </c:pt>
                <c:pt idx="202">
                  <c:v>177472</c:v>
                </c:pt>
                <c:pt idx="203">
                  <c:v>180796</c:v>
                </c:pt>
                <c:pt idx="204">
                  <c:v>184624</c:v>
                </c:pt>
                <c:pt idx="205">
                  <c:v>180562</c:v>
                </c:pt>
                <c:pt idx="206">
                  <c:v>175481</c:v>
                </c:pt>
                <c:pt idx="207">
                  <c:v>176284</c:v>
                </c:pt>
                <c:pt idx="208">
                  <c:v>149382</c:v>
                </c:pt>
                <c:pt idx="209">
                  <c:v>106691</c:v>
                </c:pt>
                <c:pt idx="210">
                  <c:v>96986</c:v>
                </c:pt>
                <c:pt idx="211">
                  <c:v>95597</c:v>
                </c:pt>
                <c:pt idx="212">
                  <c:v>87928</c:v>
                </c:pt>
                <c:pt idx="213">
                  <c:v>82810</c:v>
                </c:pt>
                <c:pt idx="214">
                  <c:v>74989</c:v>
                </c:pt>
                <c:pt idx="215">
                  <c:v>65819</c:v>
                </c:pt>
                <c:pt idx="216">
                  <c:v>58553</c:v>
                </c:pt>
                <c:pt idx="217">
                  <c:v>51229</c:v>
                </c:pt>
                <c:pt idx="218">
                  <c:v>57871</c:v>
                </c:pt>
                <c:pt idx="219">
                  <c:v>49323</c:v>
                </c:pt>
                <c:pt idx="220">
                  <c:v>44403</c:v>
                </c:pt>
                <c:pt idx="221">
                  <c:v>32065</c:v>
                </c:pt>
                <c:pt idx="222">
                  <c:v>29462</c:v>
                </c:pt>
                <c:pt idx="223">
                  <c:v>28907</c:v>
                </c:pt>
                <c:pt idx="224">
                  <c:v>31029</c:v>
                </c:pt>
                <c:pt idx="225">
                  <c:v>31249</c:v>
                </c:pt>
                <c:pt idx="226">
                  <c:v>33658</c:v>
                </c:pt>
                <c:pt idx="227">
                  <c:v>36502</c:v>
                </c:pt>
                <c:pt idx="228">
                  <c:v>87036</c:v>
                </c:pt>
                <c:pt idx="229">
                  <c:v>92288</c:v>
                </c:pt>
                <c:pt idx="230">
                  <c:v>86437</c:v>
                </c:pt>
                <c:pt idx="231">
                  <c:v>88926</c:v>
                </c:pt>
                <c:pt idx="232">
                  <c:v>95831</c:v>
                </c:pt>
                <c:pt idx="233">
                  <c:v>133181</c:v>
                </c:pt>
                <c:pt idx="234">
                  <c:v>136072</c:v>
                </c:pt>
                <c:pt idx="235">
                  <c:v>133846</c:v>
                </c:pt>
                <c:pt idx="236">
                  <c:v>136880</c:v>
                </c:pt>
                <c:pt idx="237">
                  <c:v>134789</c:v>
                </c:pt>
                <c:pt idx="238">
                  <c:v>139231</c:v>
                </c:pt>
                <c:pt idx="239">
                  <c:v>141740</c:v>
                </c:pt>
                <c:pt idx="240">
                  <c:v>97814</c:v>
                </c:pt>
                <c:pt idx="241">
                  <c:v>95270</c:v>
                </c:pt>
                <c:pt idx="242">
                  <c:v>337103</c:v>
                </c:pt>
                <c:pt idx="243">
                  <c:v>338471</c:v>
                </c:pt>
                <c:pt idx="244">
                  <c:v>341113</c:v>
                </c:pt>
                <c:pt idx="245">
                  <c:v>332234</c:v>
                </c:pt>
                <c:pt idx="246">
                  <c:v>332830</c:v>
                </c:pt>
                <c:pt idx="247">
                  <c:v>337324</c:v>
                </c:pt>
                <c:pt idx="248">
                  <c:v>347536</c:v>
                </c:pt>
                <c:pt idx="249">
                  <c:v>473896</c:v>
                </c:pt>
                <c:pt idx="250">
                  <c:v>489560</c:v>
                </c:pt>
                <c:pt idx="251">
                  <c:v>488693</c:v>
                </c:pt>
                <c:pt idx="252">
                  <c:v>484331</c:v>
                </c:pt>
                <c:pt idx="253">
                  <c:v>656860</c:v>
                </c:pt>
                <c:pt idx="254">
                  <c:v>460354</c:v>
                </c:pt>
                <c:pt idx="255">
                  <c:v>723798</c:v>
                </c:pt>
                <c:pt idx="256">
                  <c:v>995781</c:v>
                </c:pt>
                <c:pt idx="257">
                  <c:v>967585</c:v>
                </c:pt>
                <c:pt idx="258">
                  <c:v>965465</c:v>
                </c:pt>
                <c:pt idx="259">
                  <c:v>1085026</c:v>
                </c:pt>
                <c:pt idx="260">
                  <c:v>1074547</c:v>
                </c:pt>
                <c:pt idx="261">
                  <c:v>950587</c:v>
                </c:pt>
                <c:pt idx="262">
                  <c:v>928064</c:v>
                </c:pt>
                <c:pt idx="263">
                  <c:v>1196168</c:v>
                </c:pt>
                <c:pt idx="264">
                  <c:v>1231507</c:v>
                </c:pt>
                <c:pt idx="265">
                  <c:v>1061471</c:v>
                </c:pt>
                <c:pt idx="266">
                  <c:v>1027932</c:v>
                </c:pt>
                <c:pt idx="267">
                  <c:v>769708</c:v>
                </c:pt>
                <c:pt idx="268">
                  <c:v>498998</c:v>
                </c:pt>
                <c:pt idx="269">
                  <c:v>536468</c:v>
                </c:pt>
                <c:pt idx="270">
                  <c:v>535583</c:v>
                </c:pt>
                <c:pt idx="271">
                  <c:v>667506</c:v>
                </c:pt>
                <c:pt idx="272">
                  <c:v>746541</c:v>
                </c:pt>
                <c:pt idx="273">
                  <c:v>762923</c:v>
                </c:pt>
                <c:pt idx="274">
                  <c:v>884433</c:v>
                </c:pt>
                <c:pt idx="275">
                  <c:v>1198859</c:v>
                </c:pt>
                <c:pt idx="276">
                  <c:v>1161934</c:v>
                </c:pt>
                <c:pt idx="277">
                  <c:v>1211790</c:v>
                </c:pt>
                <c:pt idx="278">
                  <c:v>1202488</c:v>
                </c:pt>
                <c:pt idx="279">
                  <c:v>1206376</c:v>
                </c:pt>
                <c:pt idx="280">
                  <c:v>1209365</c:v>
                </c:pt>
                <c:pt idx="281">
                  <c:v>1418659</c:v>
                </c:pt>
                <c:pt idx="282">
                  <c:v>1429875</c:v>
                </c:pt>
                <c:pt idx="283">
                  <c:v>1506035</c:v>
                </c:pt>
                <c:pt idx="284">
                  <c:v>1445333</c:v>
                </c:pt>
                <c:pt idx="285">
                  <c:v>2773151</c:v>
                </c:pt>
                <c:pt idx="286">
                  <c:v>2654736</c:v>
                </c:pt>
                <c:pt idx="287">
                  <c:v>3308769</c:v>
                </c:pt>
                <c:pt idx="288">
                  <c:v>4138370</c:v>
                </c:pt>
                <c:pt idx="289">
                  <c:v>5062930</c:v>
                </c:pt>
                <c:pt idx="290">
                  <c:v>5615857</c:v>
                </c:pt>
                <c:pt idx="291">
                  <c:v>5614955</c:v>
                </c:pt>
                <c:pt idx="292">
                  <c:v>5631676</c:v>
                </c:pt>
                <c:pt idx="293">
                  <c:v>6312388</c:v>
                </c:pt>
                <c:pt idx="294">
                  <c:v>7242829</c:v>
                </c:pt>
                <c:pt idx="295">
                  <c:v>8114264</c:v>
                </c:pt>
                <c:pt idx="296">
                  <c:v>8095446</c:v>
                </c:pt>
              </c:numCache>
            </c:numRef>
          </c:val>
          <c:smooth val="0"/>
          <c:extLst>
            <c:ext xmlns:c16="http://schemas.microsoft.com/office/drawing/2014/chart" uri="{C3380CC4-5D6E-409C-BE32-E72D297353CC}">
              <c16:uniqueId val="{00000001-2912-4BF4-B7ED-FEE6B3F19AAF}"/>
            </c:ext>
          </c:extLst>
        </c:ser>
        <c:ser>
          <c:idx val="4"/>
          <c:order val="2"/>
          <c:tx>
            <c:strRef>
              <c:f>'Chart 2.10.2 data'!$I$3</c:f>
              <c:strCache>
                <c:ptCount val="1"/>
                <c:pt idx="0">
                  <c:v>Commercial excl. data centres</c:v>
                </c:pt>
              </c:strCache>
            </c:strRef>
          </c:tx>
          <c:spPr>
            <a:ln w="22225" cap="rnd">
              <a:solidFill>
                <a:schemeClr val="tx1">
                  <a:lumMod val="50000"/>
                  <a:lumOff val="50000"/>
                </a:schemeClr>
              </a:solidFill>
              <a:round/>
            </a:ln>
            <a:effectLst/>
          </c:spPr>
          <c:marker>
            <c:symbol val="none"/>
          </c:marker>
          <c:cat>
            <c:numRef>
              <c:f>'Chart 2.10.2 data'!$C$19:$C$488</c:f>
              <c:numCache>
                <c:formatCode>mmm"-"yyyy</c:formatCode>
                <c:ptCount val="470"/>
                <c:pt idx="0">
                  <c:v>37072</c:v>
                </c:pt>
                <c:pt idx="1">
                  <c:v>37103</c:v>
                </c:pt>
                <c:pt idx="2">
                  <c:v>37134</c:v>
                </c:pt>
                <c:pt idx="3">
                  <c:v>37164</c:v>
                </c:pt>
                <c:pt idx="4">
                  <c:v>37195</c:v>
                </c:pt>
                <c:pt idx="5">
                  <c:v>37225</c:v>
                </c:pt>
                <c:pt idx="6">
                  <c:v>37256</c:v>
                </c:pt>
                <c:pt idx="7">
                  <c:v>37287</c:v>
                </c:pt>
                <c:pt idx="8">
                  <c:v>37315</c:v>
                </c:pt>
                <c:pt idx="9">
                  <c:v>37346</c:v>
                </c:pt>
                <c:pt idx="10">
                  <c:v>37376</c:v>
                </c:pt>
                <c:pt idx="11">
                  <c:v>37407</c:v>
                </c:pt>
                <c:pt idx="12">
                  <c:v>37437</c:v>
                </c:pt>
                <c:pt idx="13">
                  <c:v>37468</c:v>
                </c:pt>
                <c:pt idx="14">
                  <c:v>37499</c:v>
                </c:pt>
                <c:pt idx="15">
                  <c:v>37529</c:v>
                </c:pt>
                <c:pt idx="16">
                  <c:v>37560</c:v>
                </c:pt>
                <c:pt idx="17">
                  <c:v>37590</c:v>
                </c:pt>
                <c:pt idx="18">
                  <c:v>37621</c:v>
                </c:pt>
                <c:pt idx="19">
                  <c:v>37652</c:v>
                </c:pt>
                <c:pt idx="20">
                  <c:v>37680</c:v>
                </c:pt>
                <c:pt idx="21">
                  <c:v>37711</c:v>
                </c:pt>
                <c:pt idx="22">
                  <c:v>37741</c:v>
                </c:pt>
                <c:pt idx="23">
                  <c:v>37772</c:v>
                </c:pt>
                <c:pt idx="24">
                  <c:v>37802</c:v>
                </c:pt>
                <c:pt idx="25">
                  <c:v>37833</c:v>
                </c:pt>
                <c:pt idx="26">
                  <c:v>37864</c:v>
                </c:pt>
                <c:pt idx="27">
                  <c:v>37894</c:v>
                </c:pt>
                <c:pt idx="28">
                  <c:v>37925</c:v>
                </c:pt>
                <c:pt idx="29">
                  <c:v>37955</c:v>
                </c:pt>
                <c:pt idx="30">
                  <c:v>37986</c:v>
                </c:pt>
                <c:pt idx="31">
                  <c:v>38017</c:v>
                </c:pt>
                <c:pt idx="32">
                  <c:v>38046</c:v>
                </c:pt>
                <c:pt idx="33">
                  <c:v>38077</c:v>
                </c:pt>
                <c:pt idx="34">
                  <c:v>38107</c:v>
                </c:pt>
                <c:pt idx="35">
                  <c:v>38138</c:v>
                </c:pt>
                <c:pt idx="36">
                  <c:v>38168</c:v>
                </c:pt>
                <c:pt idx="37">
                  <c:v>38199</c:v>
                </c:pt>
                <c:pt idx="38">
                  <c:v>38230</c:v>
                </c:pt>
                <c:pt idx="39">
                  <c:v>38260</c:v>
                </c:pt>
                <c:pt idx="40">
                  <c:v>38291</c:v>
                </c:pt>
                <c:pt idx="41">
                  <c:v>38321</c:v>
                </c:pt>
                <c:pt idx="42">
                  <c:v>38352</c:v>
                </c:pt>
                <c:pt idx="43">
                  <c:v>38383</c:v>
                </c:pt>
                <c:pt idx="44">
                  <c:v>38411</c:v>
                </c:pt>
                <c:pt idx="45">
                  <c:v>38442</c:v>
                </c:pt>
                <c:pt idx="46">
                  <c:v>38472</c:v>
                </c:pt>
                <c:pt idx="47">
                  <c:v>38503</c:v>
                </c:pt>
                <c:pt idx="48">
                  <c:v>38533</c:v>
                </c:pt>
                <c:pt idx="49">
                  <c:v>38564</c:v>
                </c:pt>
                <c:pt idx="50">
                  <c:v>38595</c:v>
                </c:pt>
                <c:pt idx="51">
                  <c:v>38625</c:v>
                </c:pt>
                <c:pt idx="52">
                  <c:v>38656</c:v>
                </c:pt>
                <c:pt idx="53">
                  <c:v>38686</c:v>
                </c:pt>
                <c:pt idx="54">
                  <c:v>38717</c:v>
                </c:pt>
                <c:pt idx="55">
                  <c:v>38748</c:v>
                </c:pt>
                <c:pt idx="56">
                  <c:v>38776</c:v>
                </c:pt>
                <c:pt idx="57">
                  <c:v>38807</c:v>
                </c:pt>
                <c:pt idx="58">
                  <c:v>38837</c:v>
                </c:pt>
                <c:pt idx="59">
                  <c:v>38868</c:v>
                </c:pt>
                <c:pt idx="60">
                  <c:v>38898</c:v>
                </c:pt>
                <c:pt idx="61">
                  <c:v>38929</c:v>
                </c:pt>
                <c:pt idx="62">
                  <c:v>38960</c:v>
                </c:pt>
                <c:pt idx="63">
                  <c:v>38990</c:v>
                </c:pt>
                <c:pt idx="64">
                  <c:v>39021</c:v>
                </c:pt>
                <c:pt idx="65">
                  <c:v>39051</c:v>
                </c:pt>
                <c:pt idx="66">
                  <c:v>39082</c:v>
                </c:pt>
                <c:pt idx="67">
                  <c:v>39113</c:v>
                </c:pt>
                <c:pt idx="68">
                  <c:v>39141</c:v>
                </c:pt>
                <c:pt idx="69">
                  <c:v>39172</c:v>
                </c:pt>
                <c:pt idx="70">
                  <c:v>39202</c:v>
                </c:pt>
                <c:pt idx="71">
                  <c:v>39233</c:v>
                </c:pt>
                <c:pt idx="72">
                  <c:v>39263</c:v>
                </c:pt>
                <c:pt idx="73">
                  <c:v>39294</c:v>
                </c:pt>
                <c:pt idx="74">
                  <c:v>39325</c:v>
                </c:pt>
                <c:pt idx="75">
                  <c:v>39355</c:v>
                </c:pt>
                <c:pt idx="76">
                  <c:v>39386</c:v>
                </c:pt>
                <c:pt idx="77">
                  <c:v>39416</c:v>
                </c:pt>
                <c:pt idx="78">
                  <c:v>39447</c:v>
                </c:pt>
                <c:pt idx="79">
                  <c:v>39478</c:v>
                </c:pt>
                <c:pt idx="80">
                  <c:v>39507</c:v>
                </c:pt>
                <c:pt idx="81">
                  <c:v>39538</c:v>
                </c:pt>
                <c:pt idx="82">
                  <c:v>39568</c:v>
                </c:pt>
                <c:pt idx="83">
                  <c:v>39599</c:v>
                </c:pt>
                <c:pt idx="84">
                  <c:v>39629</c:v>
                </c:pt>
                <c:pt idx="85">
                  <c:v>39660</c:v>
                </c:pt>
                <c:pt idx="86">
                  <c:v>39691</c:v>
                </c:pt>
                <c:pt idx="87">
                  <c:v>39721</c:v>
                </c:pt>
                <c:pt idx="88">
                  <c:v>39752</c:v>
                </c:pt>
                <c:pt idx="89">
                  <c:v>39782</c:v>
                </c:pt>
                <c:pt idx="90">
                  <c:v>39813</c:v>
                </c:pt>
                <c:pt idx="91">
                  <c:v>39844</c:v>
                </c:pt>
                <c:pt idx="92">
                  <c:v>39872</c:v>
                </c:pt>
                <c:pt idx="93">
                  <c:v>39903</c:v>
                </c:pt>
                <c:pt idx="94">
                  <c:v>39933</c:v>
                </c:pt>
                <c:pt idx="95">
                  <c:v>39964</c:v>
                </c:pt>
                <c:pt idx="96">
                  <c:v>39994</c:v>
                </c:pt>
                <c:pt idx="97">
                  <c:v>40025</c:v>
                </c:pt>
                <c:pt idx="98">
                  <c:v>40056</c:v>
                </c:pt>
                <c:pt idx="99">
                  <c:v>40086</c:v>
                </c:pt>
                <c:pt idx="100">
                  <c:v>40117</c:v>
                </c:pt>
                <c:pt idx="101">
                  <c:v>40147</c:v>
                </c:pt>
                <c:pt idx="102">
                  <c:v>40178</c:v>
                </c:pt>
                <c:pt idx="103">
                  <c:v>40209</c:v>
                </c:pt>
                <c:pt idx="104">
                  <c:v>40237</c:v>
                </c:pt>
                <c:pt idx="105">
                  <c:v>40268</c:v>
                </c:pt>
                <c:pt idx="106">
                  <c:v>40298</c:v>
                </c:pt>
                <c:pt idx="107">
                  <c:v>40329</c:v>
                </c:pt>
                <c:pt idx="108">
                  <c:v>40359</c:v>
                </c:pt>
                <c:pt idx="109">
                  <c:v>40390</c:v>
                </c:pt>
                <c:pt idx="110">
                  <c:v>40421</c:v>
                </c:pt>
                <c:pt idx="111">
                  <c:v>40451</c:v>
                </c:pt>
                <c:pt idx="112">
                  <c:v>40482</c:v>
                </c:pt>
                <c:pt idx="113">
                  <c:v>40512</c:v>
                </c:pt>
                <c:pt idx="114">
                  <c:v>40543</c:v>
                </c:pt>
                <c:pt idx="115">
                  <c:v>40574</c:v>
                </c:pt>
                <c:pt idx="116">
                  <c:v>40602</c:v>
                </c:pt>
                <c:pt idx="117">
                  <c:v>40633</c:v>
                </c:pt>
                <c:pt idx="118">
                  <c:v>40663</c:v>
                </c:pt>
                <c:pt idx="119">
                  <c:v>40694</c:v>
                </c:pt>
                <c:pt idx="120">
                  <c:v>40724</c:v>
                </c:pt>
                <c:pt idx="121">
                  <c:v>40755</c:v>
                </c:pt>
                <c:pt idx="122">
                  <c:v>40786</c:v>
                </c:pt>
                <c:pt idx="123">
                  <c:v>40816</c:v>
                </c:pt>
                <c:pt idx="124">
                  <c:v>40847</c:v>
                </c:pt>
                <c:pt idx="125">
                  <c:v>40877</c:v>
                </c:pt>
                <c:pt idx="126">
                  <c:v>40908</c:v>
                </c:pt>
                <c:pt idx="127">
                  <c:v>40939</c:v>
                </c:pt>
                <c:pt idx="128">
                  <c:v>40968</c:v>
                </c:pt>
                <c:pt idx="129">
                  <c:v>40999</c:v>
                </c:pt>
                <c:pt idx="130">
                  <c:v>41029</c:v>
                </c:pt>
                <c:pt idx="131">
                  <c:v>41060</c:v>
                </c:pt>
                <c:pt idx="132">
                  <c:v>41090</c:v>
                </c:pt>
                <c:pt idx="133">
                  <c:v>41121</c:v>
                </c:pt>
                <c:pt idx="134">
                  <c:v>41152</c:v>
                </c:pt>
                <c:pt idx="135">
                  <c:v>41182</c:v>
                </c:pt>
                <c:pt idx="136">
                  <c:v>41213</c:v>
                </c:pt>
                <c:pt idx="137">
                  <c:v>41243</c:v>
                </c:pt>
                <c:pt idx="138">
                  <c:v>41274</c:v>
                </c:pt>
                <c:pt idx="139">
                  <c:v>41305</c:v>
                </c:pt>
                <c:pt idx="140">
                  <c:v>41333</c:v>
                </c:pt>
                <c:pt idx="141">
                  <c:v>41364</c:v>
                </c:pt>
                <c:pt idx="142">
                  <c:v>41394</c:v>
                </c:pt>
                <c:pt idx="143">
                  <c:v>41425</c:v>
                </c:pt>
                <c:pt idx="144">
                  <c:v>41455</c:v>
                </c:pt>
                <c:pt idx="145">
                  <c:v>41486</c:v>
                </c:pt>
                <c:pt idx="146">
                  <c:v>41517</c:v>
                </c:pt>
                <c:pt idx="147">
                  <c:v>41547</c:v>
                </c:pt>
                <c:pt idx="148">
                  <c:v>41578</c:v>
                </c:pt>
                <c:pt idx="149">
                  <c:v>41608</c:v>
                </c:pt>
                <c:pt idx="150">
                  <c:v>41639</c:v>
                </c:pt>
                <c:pt idx="151">
                  <c:v>41670</c:v>
                </c:pt>
                <c:pt idx="152">
                  <c:v>41698</c:v>
                </c:pt>
                <c:pt idx="153">
                  <c:v>41729</c:v>
                </c:pt>
                <c:pt idx="154">
                  <c:v>41759</c:v>
                </c:pt>
                <c:pt idx="155">
                  <c:v>41790</c:v>
                </c:pt>
                <c:pt idx="156">
                  <c:v>41820</c:v>
                </c:pt>
                <c:pt idx="157">
                  <c:v>41851</c:v>
                </c:pt>
                <c:pt idx="158">
                  <c:v>41882</c:v>
                </c:pt>
                <c:pt idx="159">
                  <c:v>41912</c:v>
                </c:pt>
                <c:pt idx="160">
                  <c:v>41943</c:v>
                </c:pt>
                <c:pt idx="161">
                  <c:v>41973</c:v>
                </c:pt>
                <c:pt idx="162">
                  <c:v>42004</c:v>
                </c:pt>
                <c:pt idx="163">
                  <c:v>42035</c:v>
                </c:pt>
                <c:pt idx="164">
                  <c:v>42063</c:v>
                </c:pt>
                <c:pt idx="165">
                  <c:v>42094</c:v>
                </c:pt>
                <c:pt idx="166">
                  <c:v>42124</c:v>
                </c:pt>
                <c:pt idx="167">
                  <c:v>42155</c:v>
                </c:pt>
                <c:pt idx="168">
                  <c:v>42185</c:v>
                </c:pt>
                <c:pt idx="169">
                  <c:v>42216</c:v>
                </c:pt>
                <c:pt idx="170">
                  <c:v>42247</c:v>
                </c:pt>
                <c:pt idx="171">
                  <c:v>42277</c:v>
                </c:pt>
                <c:pt idx="172">
                  <c:v>42308</c:v>
                </c:pt>
                <c:pt idx="173">
                  <c:v>42338</c:v>
                </c:pt>
                <c:pt idx="174">
                  <c:v>42369</c:v>
                </c:pt>
                <c:pt idx="175">
                  <c:v>42400</c:v>
                </c:pt>
                <c:pt idx="176">
                  <c:v>42429</c:v>
                </c:pt>
                <c:pt idx="177">
                  <c:v>42460</c:v>
                </c:pt>
                <c:pt idx="178">
                  <c:v>42490</c:v>
                </c:pt>
                <c:pt idx="179">
                  <c:v>42521</c:v>
                </c:pt>
                <c:pt idx="180">
                  <c:v>42551</c:v>
                </c:pt>
                <c:pt idx="181">
                  <c:v>42582</c:v>
                </c:pt>
                <c:pt idx="182">
                  <c:v>42613</c:v>
                </c:pt>
                <c:pt idx="183">
                  <c:v>42643</c:v>
                </c:pt>
                <c:pt idx="184">
                  <c:v>42674</c:v>
                </c:pt>
                <c:pt idx="185">
                  <c:v>42704</c:v>
                </c:pt>
                <c:pt idx="186">
                  <c:v>42735</c:v>
                </c:pt>
                <c:pt idx="187">
                  <c:v>42766</c:v>
                </c:pt>
                <c:pt idx="188">
                  <c:v>42794</c:v>
                </c:pt>
                <c:pt idx="189">
                  <c:v>42825</c:v>
                </c:pt>
                <c:pt idx="190">
                  <c:v>42855</c:v>
                </c:pt>
                <c:pt idx="191">
                  <c:v>42886</c:v>
                </c:pt>
                <c:pt idx="192">
                  <c:v>42916</c:v>
                </c:pt>
                <c:pt idx="193">
                  <c:v>42947</c:v>
                </c:pt>
                <c:pt idx="194">
                  <c:v>42978</c:v>
                </c:pt>
                <c:pt idx="195">
                  <c:v>43008</c:v>
                </c:pt>
                <c:pt idx="196">
                  <c:v>43039</c:v>
                </c:pt>
                <c:pt idx="197">
                  <c:v>43069</c:v>
                </c:pt>
                <c:pt idx="198">
                  <c:v>43100</c:v>
                </c:pt>
                <c:pt idx="199">
                  <c:v>43131</c:v>
                </c:pt>
                <c:pt idx="200">
                  <c:v>43159</c:v>
                </c:pt>
                <c:pt idx="201">
                  <c:v>43190</c:v>
                </c:pt>
                <c:pt idx="202">
                  <c:v>43220</c:v>
                </c:pt>
                <c:pt idx="203">
                  <c:v>43251</c:v>
                </c:pt>
                <c:pt idx="204">
                  <c:v>43281</c:v>
                </c:pt>
                <c:pt idx="205">
                  <c:v>43312</c:v>
                </c:pt>
                <c:pt idx="206">
                  <c:v>43343</c:v>
                </c:pt>
                <c:pt idx="207">
                  <c:v>43373</c:v>
                </c:pt>
                <c:pt idx="208">
                  <c:v>43404</c:v>
                </c:pt>
                <c:pt idx="209">
                  <c:v>43434</c:v>
                </c:pt>
                <c:pt idx="210">
                  <c:v>43465</c:v>
                </c:pt>
                <c:pt idx="211">
                  <c:v>43496</c:v>
                </c:pt>
                <c:pt idx="212">
                  <c:v>43524</c:v>
                </c:pt>
                <c:pt idx="213">
                  <c:v>43555</c:v>
                </c:pt>
                <c:pt idx="214">
                  <c:v>43585</c:v>
                </c:pt>
                <c:pt idx="215">
                  <c:v>43616</c:v>
                </c:pt>
                <c:pt idx="216">
                  <c:v>43646</c:v>
                </c:pt>
                <c:pt idx="217">
                  <c:v>43677</c:v>
                </c:pt>
                <c:pt idx="218">
                  <c:v>43708</c:v>
                </c:pt>
                <c:pt idx="219">
                  <c:v>43738</c:v>
                </c:pt>
                <c:pt idx="220">
                  <c:v>43769</c:v>
                </c:pt>
                <c:pt idx="221">
                  <c:v>43799</c:v>
                </c:pt>
                <c:pt idx="222">
                  <c:v>43830</c:v>
                </c:pt>
                <c:pt idx="223">
                  <c:v>43861</c:v>
                </c:pt>
                <c:pt idx="224">
                  <c:v>43890</c:v>
                </c:pt>
                <c:pt idx="225">
                  <c:v>43921</c:v>
                </c:pt>
                <c:pt idx="226">
                  <c:v>43951</c:v>
                </c:pt>
                <c:pt idx="227">
                  <c:v>43982</c:v>
                </c:pt>
                <c:pt idx="228">
                  <c:v>44012</c:v>
                </c:pt>
                <c:pt idx="229">
                  <c:v>44043</c:v>
                </c:pt>
                <c:pt idx="230">
                  <c:v>44074</c:v>
                </c:pt>
                <c:pt idx="231">
                  <c:v>44104</c:v>
                </c:pt>
                <c:pt idx="232">
                  <c:v>44135</c:v>
                </c:pt>
                <c:pt idx="233">
                  <c:v>44165</c:v>
                </c:pt>
                <c:pt idx="234">
                  <c:v>44196</c:v>
                </c:pt>
                <c:pt idx="235">
                  <c:v>44227</c:v>
                </c:pt>
                <c:pt idx="236">
                  <c:v>44255</c:v>
                </c:pt>
                <c:pt idx="237">
                  <c:v>44286</c:v>
                </c:pt>
                <c:pt idx="238">
                  <c:v>44316</c:v>
                </c:pt>
                <c:pt idx="239">
                  <c:v>44347</c:v>
                </c:pt>
                <c:pt idx="240">
                  <c:v>44377</c:v>
                </c:pt>
                <c:pt idx="241">
                  <c:v>44408</c:v>
                </c:pt>
                <c:pt idx="242">
                  <c:v>44439</c:v>
                </c:pt>
                <c:pt idx="243">
                  <c:v>44469</c:v>
                </c:pt>
                <c:pt idx="244">
                  <c:v>44500</c:v>
                </c:pt>
                <c:pt idx="245">
                  <c:v>44530</c:v>
                </c:pt>
                <c:pt idx="246">
                  <c:v>44561</c:v>
                </c:pt>
                <c:pt idx="247">
                  <c:v>44592</c:v>
                </c:pt>
                <c:pt idx="248">
                  <c:v>44620</c:v>
                </c:pt>
                <c:pt idx="249">
                  <c:v>44651</c:v>
                </c:pt>
                <c:pt idx="250">
                  <c:v>44681</c:v>
                </c:pt>
                <c:pt idx="251">
                  <c:v>44712</c:v>
                </c:pt>
                <c:pt idx="252">
                  <c:v>44742</c:v>
                </c:pt>
                <c:pt idx="253">
                  <c:v>44773</c:v>
                </c:pt>
                <c:pt idx="254">
                  <c:v>44804</c:v>
                </c:pt>
                <c:pt idx="255">
                  <c:v>44834</c:v>
                </c:pt>
                <c:pt idx="256">
                  <c:v>44865</c:v>
                </c:pt>
                <c:pt idx="257">
                  <c:v>44895</c:v>
                </c:pt>
                <c:pt idx="258">
                  <c:v>44926</c:v>
                </c:pt>
                <c:pt idx="259">
                  <c:v>44957</c:v>
                </c:pt>
                <c:pt idx="260">
                  <c:v>44985</c:v>
                </c:pt>
                <c:pt idx="261">
                  <c:v>45016</c:v>
                </c:pt>
                <c:pt idx="262">
                  <c:v>45046</c:v>
                </c:pt>
                <c:pt idx="263">
                  <c:v>45077</c:v>
                </c:pt>
                <c:pt idx="264">
                  <c:v>45107</c:v>
                </c:pt>
                <c:pt idx="265">
                  <c:v>45138</c:v>
                </c:pt>
                <c:pt idx="266">
                  <c:v>45169</c:v>
                </c:pt>
                <c:pt idx="267">
                  <c:v>45199</c:v>
                </c:pt>
                <c:pt idx="268">
                  <c:v>45230</c:v>
                </c:pt>
                <c:pt idx="269">
                  <c:v>45260</c:v>
                </c:pt>
                <c:pt idx="270">
                  <c:v>45291</c:v>
                </c:pt>
                <c:pt idx="271">
                  <c:v>45322</c:v>
                </c:pt>
                <c:pt idx="272">
                  <c:v>45351</c:v>
                </c:pt>
                <c:pt idx="273">
                  <c:v>45382</c:v>
                </c:pt>
                <c:pt idx="274">
                  <c:v>45412</c:v>
                </c:pt>
                <c:pt idx="275">
                  <c:v>45443</c:v>
                </c:pt>
                <c:pt idx="276">
                  <c:v>45473</c:v>
                </c:pt>
                <c:pt idx="277">
                  <c:v>45504</c:v>
                </c:pt>
                <c:pt idx="278">
                  <c:v>45535</c:v>
                </c:pt>
                <c:pt idx="279">
                  <c:v>45565</c:v>
                </c:pt>
                <c:pt idx="280">
                  <c:v>45596</c:v>
                </c:pt>
                <c:pt idx="281">
                  <c:v>45626</c:v>
                </c:pt>
                <c:pt idx="282">
                  <c:v>45657</c:v>
                </c:pt>
                <c:pt idx="283">
                  <c:v>45688</c:v>
                </c:pt>
                <c:pt idx="284">
                  <c:v>45716</c:v>
                </c:pt>
                <c:pt idx="285">
                  <c:v>45747</c:v>
                </c:pt>
                <c:pt idx="286">
                  <c:v>45777</c:v>
                </c:pt>
                <c:pt idx="287">
                  <c:v>45808</c:v>
                </c:pt>
                <c:pt idx="288">
                  <c:v>45838</c:v>
                </c:pt>
                <c:pt idx="289">
                  <c:v>45869</c:v>
                </c:pt>
                <c:pt idx="290">
                  <c:v>45900</c:v>
                </c:pt>
                <c:pt idx="291">
                  <c:v>45930</c:v>
                </c:pt>
                <c:pt idx="292">
                  <c:v>45961</c:v>
                </c:pt>
                <c:pt idx="293">
                  <c:v>45991</c:v>
                </c:pt>
                <c:pt idx="294">
                  <c:v>46022</c:v>
                </c:pt>
                <c:pt idx="295">
                  <c:v>46053</c:v>
                </c:pt>
                <c:pt idx="296">
                  <c:v>46081</c:v>
                </c:pt>
              </c:numCache>
            </c:numRef>
          </c:cat>
          <c:val>
            <c:numRef>
              <c:f>'Chart 2.10.2 data'!$I$19:$I$488</c:f>
              <c:numCache>
                <c:formatCode>0</c:formatCode>
                <c:ptCount val="470"/>
                <c:pt idx="0">
                  <c:v>#N/A</c:v>
                </c:pt>
                <c:pt idx="1">
                  <c:v>1421660</c:v>
                </c:pt>
                <c:pt idx="2">
                  <c:v>1394840</c:v>
                </c:pt>
                <c:pt idx="3">
                  <c:v>1402795</c:v>
                </c:pt>
                <c:pt idx="4">
                  <c:v>1573770</c:v>
                </c:pt>
                <c:pt idx="5">
                  <c:v>1639268</c:v>
                </c:pt>
                <c:pt idx="6">
                  <c:v>1754890</c:v>
                </c:pt>
                <c:pt idx="7">
                  <c:v>1766644</c:v>
                </c:pt>
                <c:pt idx="8">
                  <c:v>1912490</c:v>
                </c:pt>
                <c:pt idx="9">
                  <c:v>1957344</c:v>
                </c:pt>
                <c:pt idx="10">
                  <c:v>1870472</c:v>
                </c:pt>
                <c:pt idx="11">
                  <c:v>1788897</c:v>
                </c:pt>
                <c:pt idx="12">
                  <c:v>1827037</c:v>
                </c:pt>
                <c:pt idx="13">
                  <c:v>1863203</c:v>
                </c:pt>
                <c:pt idx="14">
                  <c:v>1953074</c:v>
                </c:pt>
                <c:pt idx="15">
                  <c:v>2052105</c:v>
                </c:pt>
                <c:pt idx="16">
                  <c:v>1925070</c:v>
                </c:pt>
                <c:pt idx="17">
                  <c:v>1981170</c:v>
                </c:pt>
                <c:pt idx="18">
                  <c:v>1796431</c:v>
                </c:pt>
                <c:pt idx="19">
                  <c:v>1810138</c:v>
                </c:pt>
                <c:pt idx="20">
                  <c:v>1832336</c:v>
                </c:pt>
                <c:pt idx="21">
                  <c:v>1861191</c:v>
                </c:pt>
                <c:pt idx="22">
                  <c:v>1862806</c:v>
                </c:pt>
                <c:pt idx="23">
                  <c:v>2018627</c:v>
                </c:pt>
                <c:pt idx="24">
                  <c:v>2070563</c:v>
                </c:pt>
                <c:pt idx="25">
                  <c:v>2064113</c:v>
                </c:pt>
                <c:pt idx="26">
                  <c:v>2250867</c:v>
                </c:pt>
                <c:pt idx="27">
                  <c:v>2128439</c:v>
                </c:pt>
                <c:pt idx="28">
                  <c:v>2112137</c:v>
                </c:pt>
                <c:pt idx="29">
                  <c:v>2006627</c:v>
                </c:pt>
                <c:pt idx="30">
                  <c:v>2141818</c:v>
                </c:pt>
                <c:pt idx="31">
                  <c:v>2232922</c:v>
                </c:pt>
                <c:pt idx="32">
                  <c:v>2099559</c:v>
                </c:pt>
                <c:pt idx="33">
                  <c:v>2057491</c:v>
                </c:pt>
                <c:pt idx="34">
                  <c:v>2144275</c:v>
                </c:pt>
                <c:pt idx="35">
                  <c:v>2133055</c:v>
                </c:pt>
                <c:pt idx="36">
                  <c:v>2110354</c:v>
                </c:pt>
                <c:pt idx="37">
                  <c:v>2255794</c:v>
                </c:pt>
                <c:pt idx="38">
                  <c:v>2042889</c:v>
                </c:pt>
                <c:pt idx="39">
                  <c:v>2103984</c:v>
                </c:pt>
                <c:pt idx="40">
                  <c:v>2134735</c:v>
                </c:pt>
                <c:pt idx="41">
                  <c:v>2188827</c:v>
                </c:pt>
                <c:pt idx="42">
                  <c:v>2071571</c:v>
                </c:pt>
                <c:pt idx="43">
                  <c:v>1999504</c:v>
                </c:pt>
                <c:pt idx="44">
                  <c:v>1948295</c:v>
                </c:pt>
                <c:pt idx="45">
                  <c:v>1826410</c:v>
                </c:pt>
                <c:pt idx="46">
                  <c:v>1858975</c:v>
                </c:pt>
                <c:pt idx="47">
                  <c:v>1735004</c:v>
                </c:pt>
                <c:pt idx="48">
                  <c:v>1785162</c:v>
                </c:pt>
                <c:pt idx="49">
                  <c:v>1728152</c:v>
                </c:pt>
                <c:pt idx="50">
                  <c:v>1767635</c:v>
                </c:pt>
                <c:pt idx="51">
                  <c:v>1824931</c:v>
                </c:pt>
                <c:pt idx="52">
                  <c:v>1936243</c:v>
                </c:pt>
                <c:pt idx="53">
                  <c:v>2190218</c:v>
                </c:pt>
                <c:pt idx="54">
                  <c:v>2245730</c:v>
                </c:pt>
                <c:pt idx="55">
                  <c:v>2289965</c:v>
                </c:pt>
                <c:pt idx="56">
                  <c:v>2335905</c:v>
                </c:pt>
                <c:pt idx="57">
                  <c:v>2654939</c:v>
                </c:pt>
                <c:pt idx="58">
                  <c:v>2550841</c:v>
                </c:pt>
                <c:pt idx="59">
                  <c:v>2600471</c:v>
                </c:pt>
                <c:pt idx="60">
                  <c:v>2595772</c:v>
                </c:pt>
                <c:pt idx="61">
                  <c:v>2715136</c:v>
                </c:pt>
                <c:pt idx="62">
                  <c:v>2706551</c:v>
                </c:pt>
                <c:pt idx="63">
                  <c:v>2686875</c:v>
                </c:pt>
                <c:pt idx="64">
                  <c:v>2677992</c:v>
                </c:pt>
                <c:pt idx="65">
                  <c:v>2441907</c:v>
                </c:pt>
                <c:pt idx="66">
                  <c:v>2666088</c:v>
                </c:pt>
                <c:pt idx="67">
                  <c:v>3122735</c:v>
                </c:pt>
                <c:pt idx="68">
                  <c:v>3288714</c:v>
                </c:pt>
                <c:pt idx="69">
                  <c:v>3564977</c:v>
                </c:pt>
                <c:pt idx="70">
                  <c:v>3666819</c:v>
                </c:pt>
                <c:pt idx="71">
                  <c:v>3729340</c:v>
                </c:pt>
                <c:pt idx="72">
                  <c:v>3856441</c:v>
                </c:pt>
                <c:pt idx="73">
                  <c:v>3690488</c:v>
                </c:pt>
                <c:pt idx="74">
                  <c:v>3712244</c:v>
                </c:pt>
                <c:pt idx="75">
                  <c:v>3974866</c:v>
                </c:pt>
                <c:pt idx="76">
                  <c:v>4615473</c:v>
                </c:pt>
                <c:pt idx="77">
                  <c:v>4657992</c:v>
                </c:pt>
                <c:pt idx="78">
                  <c:v>4463924</c:v>
                </c:pt>
                <c:pt idx="79">
                  <c:v>4349287</c:v>
                </c:pt>
                <c:pt idx="80">
                  <c:v>4287589</c:v>
                </c:pt>
                <c:pt idx="81">
                  <c:v>4084931</c:v>
                </c:pt>
                <c:pt idx="82">
                  <c:v>4034656</c:v>
                </c:pt>
                <c:pt idx="83">
                  <c:v>4197228</c:v>
                </c:pt>
                <c:pt idx="84">
                  <c:v>4197752</c:v>
                </c:pt>
                <c:pt idx="85">
                  <c:v>4344691</c:v>
                </c:pt>
                <c:pt idx="86">
                  <c:v>4445257</c:v>
                </c:pt>
                <c:pt idx="87">
                  <c:v>4293232</c:v>
                </c:pt>
                <c:pt idx="88">
                  <c:v>3633438</c:v>
                </c:pt>
                <c:pt idx="89">
                  <c:v>3596295</c:v>
                </c:pt>
                <c:pt idx="90">
                  <c:v>3557162</c:v>
                </c:pt>
                <c:pt idx="91">
                  <c:v>3190528</c:v>
                </c:pt>
                <c:pt idx="92">
                  <c:v>3040202</c:v>
                </c:pt>
                <c:pt idx="93">
                  <c:v>2713151</c:v>
                </c:pt>
                <c:pt idx="94">
                  <c:v>2688580</c:v>
                </c:pt>
                <c:pt idx="95">
                  <c:v>2387515</c:v>
                </c:pt>
                <c:pt idx="96">
                  <c:v>2383988</c:v>
                </c:pt>
                <c:pt idx="97">
                  <c:v>2259102</c:v>
                </c:pt>
                <c:pt idx="98">
                  <c:v>2076474</c:v>
                </c:pt>
                <c:pt idx="99">
                  <c:v>1961728</c:v>
                </c:pt>
                <c:pt idx="100">
                  <c:v>1909239</c:v>
                </c:pt>
                <c:pt idx="101">
                  <c:v>1932165</c:v>
                </c:pt>
                <c:pt idx="102">
                  <c:v>1877690</c:v>
                </c:pt>
                <c:pt idx="103">
                  <c:v>1844050</c:v>
                </c:pt>
                <c:pt idx="104">
                  <c:v>1928628</c:v>
                </c:pt>
                <c:pt idx="105">
                  <c:v>1932198</c:v>
                </c:pt>
                <c:pt idx="106">
                  <c:v>1937640</c:v>
                </c:pt>
                <c:pt idx="107">
                  <c:v>2027191</c:v>
                </c:pt>
                <c:pt idx="108">
                  <c:v>1855744</c:v>
                </c:pt>
                <c:pt idx="109">
                  <c:v>1874957</c:v>
                </c:pt>
                <c:pt idx="110">
                  <c:v>2085602</c:v>
                </c:pt>
                <c:pt idx="111">
                  <c:v>2094101</c:v>
                </c:pt>
                <c:pt idx="112">
                  <c:v>2090418</c:v>
                </c:pt>
                <c:pt idx="113">
                  <c:v>2069631</c:v>
                </c:pt>
                <c:pt idx="114">
                  <c:v>2369076</c:v>
                </c:pt>
                <c:pt idx="115">
                  <c:v>2402946</c:v>
                </c:pt>
                <c:pt idx="116">
                  <c:v>2617564</c:v>
                </c:pt>
                <c:pt idx="117">
                  <c:v>2608310</c:v>
                </c:pt>
                <c:pt idx="118">
                  <c:v>2676670</c:v>
                </c:pt>
                <c:pt idx="119">
                  <c:v>2717981</c:v>
                </c:pt>
                <c:pt idx="120">
                  <c:v>2766707</c:v>
                </c:pt>
                <c:pt idx="121">
                  <c:v>3159253</c:v>
                </c:pt>
                <c:pt idx="122">
                  <c:v>3185177</c:v>
                </c:pt>
                <c:pt idx="123">
                  <c:v>3155920</c:v>
                </c:pt>
                <c:pt idx="124">
                  <c:v>3099884</c:v>
                </c:pt>
                <c:pt idx="125">
                  <c:v>3095152</c:v>
                </c:pt>
                <c:pt idx="126">
                  <c:v>2830337</c:v>
                </c:pt>
                <c:pt idx="127">
                  <c:v>3334034</c:v>
                </c:pt>
                <c:pt idx="128">
                  <c:v>3365264</c:v>
                </c:pt>
                <c:pt idx="129">
                  <c:v>3460279</c:v>
                </c:pt>
                <c:pt idx="130">
                  <c:v>3444240</c:v>
                </c:pt>
                <c:pt idx="131">
                  <c:v>3644537</c:v>
                </c:pt>
                <c:pt idx="132">
                  <c:v>3570751</c:v>
                </c:pt>
                <c:pt idx="133">
                  <c:v>3252525</c:v>
                </c:pt>
                <c:pt idx="134">
                  <c:v>3142901</c:v>
                </c:pt>
                <c:pt idx="135">
                  <c:v>3172638</c:v>
                </c:pt>
                <c:pt idx="136">
                  <c:v>3522001</c:v>
                </c:pt>
                <c:pt idx="137">
                  <c:v>3580657</c:v>
                </c:pt>
                <c:pt idx="138">
                  <c:v>3609029</c:v>
                </c:pt>
                <c:pt idx="139">
                  <c:v>3369282</c:v>
                </c:pt>
                <c:pt idx="140">
                  <c:v>3097355</c:v>
                </c:pt>
                <c:pt idx="141">
                  <c:v>3059340</c:v>
                </c:pt>
                <c:pt idx="142">
                  <c:v>3022008</c:v>
                </c:pt>
                <c:pt idx="143">
                  <c:v>2825984</c:v>
                </c:pt>
                <c:pt idx="144">
                  <c:v>2975906</c:v>
                </c:pt>
                <c:pt idx="145">
                  <c:v>2955651</c:v>
                </c:pt>
                <c:pt idx="146">
                  <c:v>2922529</c:v>
                </c:pt>
                <c:pt idx="147">
                  <c:v>2932338</c:v>
                </c:pt>
                <c:pt idx="148">
                  <c:v>3083980</c:v>
                </c:pt>
                <c:pt idx="149">
                  <c:v>3108393</c:v>
                </c:pt>
                <c:pt idx="150">
                  <c:v>3211069</c:v>
                </c:pt>
                <c:pt idx="151">
                  <c:v>3284766</c:v>
                </c:pt>
                <c:pt idx="152">
                  <c:v>3630692</c:v>
                </c:pt>
                <c:pt idx="153">
                  <c:v>3910275</c:v>
                </c:pt>
                <c:pt idx="154">
                  <c:v>3886857</c:v>
                </c:pt>
                <c:pt idx="155">
                  <c:v>3776241</c:v>
                </c:pt>
                <c:pt idx="156">
                  <c:v>3623525</c:v>
                </c:pt>
                <c:pt idx="157">
                  <c:v>3538719</c:v>
                </c:pt>
                <c:pt idx="158">
                  <c:v>3496360</c:v>
                </c:pt>
                <c:pt idx="159">
                  <c:v>3802486</c:v>
                </c:pt>
                <c:pt idx="160">
                  <c:v>3403620</c:v>
                </c:pt>
                <c:pt idx="161">
                  <c:v>3284776</c:v>
                </c:pt>
                <c:pt idx="162">
                  <c:v>3346283</c:v>
                </c:pt>
                <c:pt idx="163">
                  <c:v>3201315</c:v>
                </c:pt>
                <c:pt idx="164">
                  <c:v>3059876</c:v>
                </c:pt>
                <c:pt idx="165">
                  <c:v>2761691</c:v>
                </c:pt>
                <c:pt idx="166">
                  <c:v>2764972</c:v>
                </c:pt>
                <c:pt idx="167">
                  <c:v>2883882</c:v>
                </c:pt>
                <c:pt idx="168">
                  <c:v>2923166</c:v>
                </c:pt>
                <c:pt idx="169">
                  <c:v>2960660</c:v>
                </c:pt>
                <c:pt idx="170">
                  <c:v>3003798</c:v>
                </c:pt>
                <c:pt idx="171">
                  <c:v>2705364</c:v>
                </c:pt>
                <c:pt idx="172">
                  <c:v>2708216</c:v>
                </c:pt>
                <c:pt idx="173">
                  <c:v>2705241</c:v>
                </c:pt>
                <c:pt idx="174">
                  <c:v>2695349</c:v>
                </c:pt>
                <c:pt idx="175">
                  <c:v>2542619</c:v>
                </c:pt>
                <c:pt idx="176">
                  <c:v>2363258</c:v>
                </c:pt>
                <c:pt idx="177">
                  <c:v>2365783</c:v>
                </c:pt>
                <c:pt idx="178">
                  <c:v>2484938</c:v>
                </c:pt>
                <c:pt idx="179">
                  <c:v>2447055</c:v>
                </c:pt>
                <c:pt idx="180">
                  <c:v>2593995</c:v>
                </c:pt>
                <c:pt idx="181">
                  <c:v>2578718</c:v>
                </c:pt>
                <c:pt idx="182">
                  <c:v>2837878</c:v>
                </c:pt>
                <c:pt idx="183">
                  <c:v>3182879</c:v>
                </c:pt>
                <c:pt idx="184">
                  <c:v>3131366</c:v>
                </c:pt>
                <c:pt idx="185">
                  <c:v>3199674</c:v>
                </c:pt>
                <c:pt idx="186">
                  <c:v>3145862</c:v>
                </c:pt>
                <c:pt idx="187">
                  <c:v>3100477</c:v>
                </c:pt>
                <c:pt idx="188">
                  <c:v>3363353</c:v>
                </c:pt>
                <c:pt idx="189">
                  <c:v>3399510</c:v>
                </c:pt>
                <c:pt idx="190">
                  <c:v>3748196</c:v>
                </c:pt>
                <c:pt idx="191">
                  <c:v>4003043</c:v>
                </c:pt>
                <c:pt idx="192">
                  <c:v>4466383</c:v>
                </c:pt>
                <c:pt idx="193">
                  <c:v>4915465</c:v>
                </c:pt>
                <c:pt idx="194">
                  <c:v>4901807</c:v>
                </c:pt>
                <c:pt idx="195">
                  <c:v>5369863</c:v>
                </c:pt>
                <c:pt idx="196">
                  <c:v>5527380</c:v>
                </c:pt>
                <c:pt idx="197">
                  <c:v>5563441</c:v>
                </c:pt>
                <c:pt idx="198">
                  <c:v>5552583</c:v>
                </c:pt>
                <c:pt idx="199">
                  <c:v>5701665</c:v>
                </c:pt>
                <c:pt idx="200">
                  <c:v>5782266</c:v>
                </c:pt>
                <c:pt idx="201">
                  <c:v>5789919</c:v>
                </c:pt>
                <c:pt idx="202">
                  <c:v>5394281</c:v>
                </c:pt>
                <c:pt idx="203">
                  <c:v>5459915</c:v>
                </c:pt>
                <c:pt idx="204">
                  <c:v>4978713</c:v>
                </c:pt>
                <c:pt idx="205">
                  <c:v>4970507</c:v>
                </c:pt>
                <c:pt idx="206">
                  <c:v>4903306</c:v>
                </c:pt>
                <c:pt idx="207">
                  <c:v>4185621</c:v>
                </c:pt>
                <c:pt idx="208">
                  <c:v>4192088</c:v>
                </c:pt>
                <c:pt idx="209">
                  <c:v>4393627</c:v>
                </c:pt>
                <c:pt idx="210">
                  <c:v>4348378</c:v>
                </c:pt>
                <c:pt idx="211">
                  <c:v>4352263</c:v>
                </c:pt>
                <c:pt idx="212">
                  <c:v>4287757</c:v>
                </c:pt>
                <c:pt idx="213">
                  <c:v>4331711</c:v>
                </c:pt>
                <c:pt idx="214">
                  <c:v>4388896</c:v>
                </c:pt>
                <c:pt idx="215">
                  <c:v>4140321</c:v>
                </c:pt>
                <c:pt idx="216">
                  <c:v>4203059</c:v>
                </c:pt>
                <c:pt idx="217">
                  <c:v>3924863</c:v>
                </c:pt>
                <c:pt idx="218">
                  <c:v>3994293</c:v>
                </c:pt>
                <c:pt idx="219">
                  <c:v>4099731</c:v>
                </c:pt>
                <c:pt idx="220">
                  <c:v>4189904</c:v>
                </c:pt>
                <c:pt idx="221">
                  <c:v>4378117</c:v>
                </c:pt>
                <c:pt idx="222">
                  <c:v>4535007</c:v>
                </c:pt>
                <c:pt idx="223">
                  <c:v>4446072</c:v>
                </c:pt>
                <c:pt idx="224">
                  <c:v>5007543</c:v>
                </c:pt>
                <c:pt idx="225">
                  <c:v>5185062</c:v>
                </c:pt>
                <c:pt idx="226">
                  <c:v>5318447</c:v>
                </c:pt>
                <c:pt idx="227">
                  <c:v>5601675</c:v>
                </c:pt>
                <c:pt idx="228">
                  <c:v>5464097</c:v>
                </c:pt>
                <c:pt idx="229">
                  <c:v>5490513</c:v>
                </c:pt>
                <c:pt idx="230">
                  <c:v>5288448</c:v>
                </c:pt>
                <c:pt idx="231">
                  <c:v>5127232</c:v>
                </c:pt>
                <c:pt idx="232">
                  <c:v>4871959</c:v>
                </c:pt>
                <c:pt idx="233">
                  <c:v>4488967</c:v>
                </c:pt>
                <c:pt idx="234">
                  <c:v>4319487</c:v>
                </c:pt>
                <c:pt idx="235">
                  <c:v>4403031</c:v>
                </c:pt>
                <c:pt idx="236">
                  <c:v>3527131</c:v>
                </c:pt>
                <c:pt idx="237">
                  <c:v>3368659</c:v>
                </c:pt>
                <c:pt idx="238">
                  <c:v>3260971</c:v>
                </c:pt>
                <c:pt idx="239">
                  <c:v>2939486</c:v>
                </c:pt>
                <c:pt idx="240">
                  <c:v>2983681</c:v>
                </c:pt>
                <c:pt idx="241">
                  <c:v>3070661</c:v>
                </c:pt>
                <c:pt idx="242">
                  <c:v>3308699</c:v>
                </c:pt>
                <c:pt idx="243">
                  <c:v>3254233</c:v>
                </c:pt>
                <c:pt idx="244">
                  <c:v>3822250</c:v>
                </c:pt>
                <c:pt idx="245">
                  <c:v>3877817</c:v>
                </c:pt>
                <c:pt idx="246">
                  <c:v>4114848</c:v>
                </c:pt>
                <c:pt idx="247">
                  <c:v>4143446</c:v>
                </c:pt>
                <c:pt idx="248">
                  <c:v>4486551</c:v>
                </c:pt>
                <c:pt idx="249">
                  <c:v>4720238</c:v>
                </c:pt>
                <c:pt idx="250">
                  <c:v>4966016</c:v>
                </c:pt>
                <c:pt idx="251">
                  <c:v>5028196</c:v>
                </c:pt>
                <c:pt idx="252">
                  <c:v>5125982</c:v>
                </c:pt>
                <c:pt idx="253">
                  <c:v>4917736</c:v>
                </c:pt>
                <c:pt idx="254">
                  <c:v>4879406</c:v>
                </c:pt>
                <c:pt idx="255">
                  <c:v>5373682</c:v>
                </c:pt>
                <c:pt idx="256">
                  <c:v>5371485</c:v>
                </c:pt>
                <c:pt idx="257">
                  <c:v>5706094</c:v>
                </c:pt>
                <c:pt idx="258">
                  <c:v>5913199</c:v>
                </c:pt>
                <c:pt idx="259">
                  <c:v>5811227</c:v>
                </c:pt>
                <c:pt idx="260">
                  <c:v>5714560</c:v>
                </c:pt>
                <c:pt idx="261">
                  <c:v>5604255</c:v>
                </c:pt>
                <c:pt idx="262">
                  <c:v>5495454</c:v>
                </c:pt>
                <c:pt idx="263">
                  <c:v>5550403</c:v>
                </c:pt>
                <c:pt idx="264">
                  <c:v>5467634</c:v>
                </c:pt>
                <c:pt idx="265">
                  <c:v>5629215</c:v>
                </c:pt>
                <c:pt idx="266">
                  <c:v>5542327</c:v>
                </c:pt>
                <c:pt idx="267">
                  <c:v>5116871</c:v>
                </c:pt>
                <c:pt idx="268">
                  <c:v>4749150</c:v>
                </c:pt>
                <c:pt idx="269">
                  <c:v>4854636</c:v>
                </c:pt>
                <c:pt idx="270">
                  <c:v>4649860</c:v>
                </c:pt>
                <c:pt idx="271">
                  <c:v>4784876</c:v>
                </c:pt>
                <c:pt idx="272">
                  <c:v>4743667</c:v>
                </c:pt>
                <c:pt idx="273">
                  <c:v>4871935</c:v>
                </c:pt>
                <c:pt idx="274">
                  <c:v>4756817</c:v>
                </c:pt>
                <c:pt idx="275">
                  <c:v>4782980</c:v>
                </c:pt>
                <c:pt idx="276">
                  <c:v>4823840</c:v>
                </c:pt>
                <c:pt idx="277">
                  <c:v>4821081</c:v>
                </c:pt>
                <c:pt idx="278">
                  <c:v>5023684</c:v>
                </c:pt>
                <c:pt idx="279">
                  <c:v>5255650</c:v>
                </c:pt>
                <c:pt idx="280">
                  <c:v>5421300</c:v>
                </c:pt>
                <c:pt idx="281">
                  <c:v>5041800</c:v>
                </c:pt>
                <c:pt idx="282">
                  <c:v>5008287</c:v>
                </c:pt>
                <c:pt idx="283">
                  <c:v>4868753</c:v>
                </c:pt>
                <c:pt idx="284">
                  <c:v>4724061</c:v>
                </c:pt>
                <c:pt idx="285">
                  <c:v>4404313</c:v>
                </c:pt>
                <c:pt idx="286">
                  <c:v>4695565</c:v>
                </c:pt>
                <c:pt idx="287">
                  <c:v>4968472</c:v>
                </c:pt>
                <c:pt idx="288">
                  <c:v>5030195</c:v>
                </c:pt>
                <c:pt idx="289">
                  <c:v>4998909</c:v>
                </c:pt>
                <c:pt idx="290">
                  <c:v>4820814</c:v>
                </c:pt>
                <c:pt idx="291">
                  <c:v>4718220</c:v>
                </c:pt>
                <c:pt idx="292">
                  <c:v>4977147</c:v>
                </c:pt>
                <c:pt idx="293">
                  <c:v>4955291</c:v>
                </c:pt>
                <c:pt idx="294">
                  <c:v>4893262</c:v>
                </c:pt>
                <c:pt idx="295">
                  <c:v>4835306</c:v>
                </c:pt>
                <c:pt idx="296">
                  <c:v>4934162</c:v>
                </c:pt>
              </c:numCache>
            </c:numRef>
          </c:val>
          <c:smooth val="0"/>
          <c:extLst>
            <c:ext xmlns:c16="http://schemas.microsoft.com/office/drawing/2014/chart" uri="{C3380CC4-5D6E-409C-BE32-E72D297353CC}">
              <c16:uniqueId val="{00000002-2912-4BF4-B7ED-FEE6B3F19AAF}"/>
            </c:ext>
          </c:extLst>
        </c:ser>
        <c:dLbls>
          <c:showLegendKey val="0"/>
          <c:showVal val="0"/>
          <c:showCatName val="0"/>
          <c:showSerName val="0"/>
          <c:showPercent val="0"/>
          <c:showBubbleSize val="0"/>
        </c:dLbls>
        <c:smooth val="0"/>
        <c:axId val="1205392728"/>
        <c:axId val="1205390568"/>
      </c:lineChart>
      <c:dateAx>
        <c:axId val="1205392728"/>
        <c:scaling>
          <c:orientation val="minMax"/>
          <c:min val="42005"/>
        </c:scaling>
        <c:delete val="0"/>
        <c:axPos val="b"/>
        <c:numFmt formatCode="yyyy" sourceLinked="0"/>
        <c:majorTickMark val="out"/>
        <c:minorTickMark val="none"/>
        <c:tickLblPos val="low"/>
        <c:spPr>
          <a:noFill/>
          <a:ln w="9525" cap="flat" cmpd="sng" algn="ctr">
            <a:solidFill>
              <a:schemeClr val="bg1">
                <a:lumMod val="50000"/>
              </a:schemeClr>
            </a:solidFill>
            <a:round/>
          </a:ln>
          <a:effectLst/>
        </c:spPr>
        <c:txPr>
          <a:bodyPr rot="0" spcFirstLastPara="1" vertOverflow="ellipsis" wrap="square" anchor="ctr" anchorCtr="1"/>
          <a:lstStyle/>
          <a:p>
            <a:pPr>
              <a:defRPr sz="700" b="0" i="0" u="none" strike="noStrike" kern="1200" baseline="0">
                <a:solidFill>
                  <a:schemeClr val="tx1">
                    <a:lumMod val="65000"/>
                    <a:lumOff val="35000"/>
                  </a:schemeClr>
                </a:solidFill>
                <a:latin typeface="Calibri" panose="020F0502020204030204" pitchFamily="34" charset="0"/>
                <a:ea typeface="Calibri" panose="020F0502020204030204" pitchFamily="34" charset="0"/>
                <a:cs typeface="Calibri" panose="020F0502020204030204" pitchFamily="34" charset="0"/>
              </a:defRPr>
            </a:pPr>
            <a:endParaRPr lang="en-US"/>
          </a:p>
        </c:txPr>
        <c:crossAx val="1205390568"/>
        <c:crosses val="autoZero"/>
        <c:auto val="1"/>
        <c:lblOffset val="100"/>
        <c:baseTimeUnit val="months"/>
        <c:majorUnit val="2"/>
        <c:majorTimeUnit val="years"/>
        <c:minorUnit val="1"/>
        <c:minorTimeUnit val="years"/>
      </c:dateAx>
      <c:valAx>
        <c:axId val="1205390568"/>
        <c:scaling>
          <c:orientation val="minMax"/>
        </c:scaling>
        <c:delete val="0"/>
        <c:axPos val="l"/>
        <c:majorGridlines>
          <c:spPr>
            <a:ln w="6350" cap="flat" cmpd="sng" algn="ctr">
              <a:solidFill>
                <a:sysClr val="window" lastClr="FFFFFF">
                  <a:lumMod val="85000"/>
                </a:sysClr>
              </a:solidFill>
              <a:prstDash val="dash"/>
              <a:round/>
              <a:headEnd type="none" w="med" len="med"/>
              <a:tailEnd type="none" w="med" len="med"/>
            </a:ln>
            <a:effectLst/>
          </c:spPr>
        </c:majorGridlines>
        <c:numFmt formatCode="#,##0" sourceLinked="0"/>
        <c:majorTickMark val="none"/>
        <c:minorTickMark val="none"/>
        <c:tickLblPos val="nextTo"/>
        <c:spPr>
          <a:noFill/>
          <a:ln>
            <a:solidFill>
              <a:schemeClr val="bg1">
                <a:lumMod val="50000"/>
              </a:schemeClr>
            </a:solid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Calibri" panose="020F0502020204030204" pitchFamily="34" charset="0"/>
                <a:ea typeface="Calibri" panose="020F0502020204030204" pitchFamily="34" charset="0"/>
                <a:cs typeface="Calibri" panose="020F0502020204030204" pitchFamily="34" charset="0"/>
              </a:defRPr>
            </a:pPr>
            <a:endParaRPr lang="en-US"/>
          </a:p>
        </c:txPr>
        <c:crossAx val="1205392728"/>
        <c:crosses val="autoZero"/>
        <c:crossBetween val="midCat"/>
        <c:dispUnits>
          <c:builtInUnit val="millions"/>
          <c:dispUnitsLbl>
            <c:layout>
              <c:manualLayout>
                <c:xMode val="edge"/>
                <c:yMode val="edge"/>
                <c:x val="5.6149932962488705E-3"/>
                <c:y val="0.35871344675793015"/>
              </c:manualLayout>
            </c:layout>
            <c:tx>
              <c:rich>
                <a:bodyPr rot="-5400000" spcFirstLastPara="1" vertOverflow="ellipsis" vert="horz" wrap="square" anchor="ctr" anchorCtr="1"/>
                <a:lstStyle/>
                <a:p>
                  <a:pPr>
                    <a:defRPr sz="700" b="0" i="0" u="none" strike="noStrike" kern="1200" baseline="0">
                      <a:solidFill>
                        <a:schemeClr val="tx1">
                          <a:lumMod val="65000"/>
                          <a:lumOff val="35000"/>
                        </a:schemeClr>
                      </a:solidFill>
                      <a:latin typeface="Calibri" panose="020F0502020204030204" pitchFamily="34" charset="0"/>
                      <a:ea typeface="Calibri" panose="020F0502020204030204" pitchFamily="34" charset="0"/>
                      <a:cs typeface="Calibri" panose="020F0502020204030204" pitchFamily="34" charset="0"/>
                    </a:defRPr>
                  </a:pPr>
                  <a:r>
                    <a:rPr lang="en-AU" i="1">
                      <a:latin typeface="Calibri" panose="020F0502020204030204" pitchFamily="34" charset="0"/>
                      <a:ea typeface="Calibri" panose="020F0502020204030204" pitchFamily="34" charset="0"/>
                      <a:cs typeface="Calibri" panose="020F0502020204030204" pitchFamily="34" charset="0"/>
                    </a:rPr>
                    <a:t>$ billion</a:t>
                  </a:r>
                </a:p>
              </c:rich>
            </c:tx>
            <c:spPr>
              <a:noFill/>
              <a:ln>
                <a:noFill/>
              </a:ln>
              <a:effectLst/>
            </c:spPr>
            <c:txPr>
              <a:bodyPr rot="-5400000" spcFirstLastPara="1" vertOverflow="ellipsis" vert="horz" wrap="square" anchor="ctr" anchorCtr="1"/>
              <a:lstStyle/>
              <a:p>
                <a:pPr>
                  <a:defRPr sz="700" b="0" i="0" u="none" strike="noStrike" kern="1200" baseline="0">
                    <a:solidFill>
                      <a:schemeClr val="tx1">
                        <a:lumMod val="65000"/>
                        <a:lumOff val="35000"/>
                      </a:schemeClr>
                    </a:solidFill>
                    <a:latin typeface="Calibri" panose="020F0502020204030204" pitchFamily="34" charset="0"/>
                    <a:ea typeface="Calibri" panose="020F0502020204030204" pitchFamily="34" charset="0"/>
                    <a:cs typeface="Calibri" panose="020F0502020204030204" pitchFamily="34" charset="0"/>
                  </a:defRPr>
                </a:pPr>
                <a:endParaRPr lang="en-US"/>
              </a:p>
            </c:txPr>
          </c:dispUnitsLbl>
        </c:dispUnits>
      </c:valAx>
      <c:spPr>
        <a:noFill/>
        <a:ln>
          <a:noFill/>
        </a:ln>
        <a:effectLst/>
        <a:extLst>
          <a:ext uri="{909E8E84-426E-40DD-AFC4-6F175D3DCCD1}">
            <a14:hiddenFill xmlns:a14="http://schemas.microsoft.com/office/drawing/2010/main">
              <a:noFill/>
            </a14:hiddenFill>
          </a:ext>
        </a:extLst>
      </c:spPr>
    </c:plotArea>
    <c:legend>
      <c:legendPos val="b"/>
      <c:layout>
        <c:manualLayout>
          <c:xMode val="edge"/>
          <c:yMode val="edge"/>
          <c:x val="0"/>
          <c:y val="0.92640012893737467"/>
          <c:w val="1"/>
          <c:h val="7.1892256706254473E-2"/>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Calibri" panose="020F0502020204030204" pitchFamily="34" charset="0"/>
              <a:ea typeface="Calibri" panose="020F0502020204030204" pitchFamily="34" charset="0"/>
              <a:cs typeface="Calibri" panose="020F0502020204030204" pitchFamily="34"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noFill/>
      <a:round/>
    </a:ln>
    <a:effectLst/>
    <a:extLst>
      <a:ext uri="{91240B29-F687-4F45-9708-019B960494DF}">
        <a14:hiddenLine xmlns:a14="http://schemas.microsoft.com/office/drawing/2010/main" w="9525" cap="flat" cmpd="sng" algn="ctr">
          <a:solidFill>
            <a:sysClr val="windowText" lastClr="000000">
              <a:lumMod val="15000"/>
              <a:lumOff val="85000"/>
            </a:sysClr>
          </a:solidFill>
          <a:round/>
        </a14:hiddenLine>
      </a:ext>
    </a:extLst>
  </c:spPr>
  <c:txPr>
    <a:bodyPr/>
    <a:lstStyle/>
    <a:p>
      <a:pPr>
        <a:defRPr sz="700">
          <a:latin typeface="+mn-lt"/>
        </a:defRPr>
      </a:pPr>
      <a:endParaRPr lang="en-US"/>
    </a:p>
  </c:txPr>
  <c:externalData r:id="rId3">
    <c:autoUpdate val="0"/>
  </c:externalData>
  <c:userShapes r:id="rId4"/>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0503489618142942E-2"/>
          <c:y val="2.3102080694171905E-2"/>
          <c:w val="0.89018925510802516"/>
          <c:h val="0.84120013710851749"/>
        </c:manualLayout>
      </c:layout>
      <c:lineChart>
        <c:grouping val="standard"/>
        <c:varyColors val="0"/>
        <c:ser>
          <c:idx val="0"/>
          <c:order val="0"/>
          <c:tx>
            <c:strRef>
              <c:f>'Chart 2.10.1 data'!$E$2</c:f>
              <c:strCache>
                <c:ptCount val="1"/>
                <c:pt idx="0">
                  <c:v>Commercial</c:v>
                </c:pt>
              </c:strCache>
            </c:strRef>
          </c:tx>
          <c:spPr>
            <a:ln w="22225" cap="rnd">
              <a:solidFill>
                <a:schemeClr val="bg2">
                  <a:lumMod val="10000"/>
                </a:schemeClr>
              </a:solidFill>
              <a:round/>
            </a:ln>
            <a:effectLst/>
          </c:spPr>
          <c:marker>
            <c:symbol val="none"/>
          </c:marker>
          <c:cat>
            <c:numRef>
              <c:f>'Chart 2.10.1 data'!$C$18:$C$304</c:f>
              <c:numCache>
                <c:formatCode>mmm"-"yyyy</c:formatCode>
                <c:ptCount val="287"/>
                <c:pt idx="0">
                  <c:v>37621</c:v>
                </c:pt>
                <c:pt idx="1">
                  <c:v>37711</c:v>
                </c:pt>
                <c:pt idx="2">
                  <c:v>37802</c:v>
                </c:pt>
                <c:pt idx="3">
                  <c:v>37894</c:v>
                </c:pt>
                <c:pt idx="4">
                  <c:v>37986</c:v>
                </c:pt>
                <c:pt idx="5">
                  <c:v>38077</c:v>
                </c:pt>
                <c:pt idx="6">
                  <c:v>38168</c:v>
                </c:pt>
                <c:pt idx="7">
                  <c:v>38260</c:v>
                </c:pt>
                <c:pt idx="8">
                  <c:v>38352</c:v>
                </c:pt>
                <c:pt idx="9">
                  <c:v>38442</c:v>
                </c:pt>
                <c:pt idx="10">
                  <c:v>38533</c:v>
                </c:pt>
                <c:pt idx="11">
                  <c:v>38625</c:v>
                </c:pt>
                <c:pt idx="12">
                  <c:v>38717</c:v>
                </c:pt>
                <c:pt idx="13">
                  <c:v>38807</c:v>
                </c:pt>
                <c:pt idx="14">
                  <c:v>38898</c:v>
                </c:pt>
                <c:pt idx="15">
                  <c:v>38990</c:v>
                </c:pt>
                <c:pt idx="16">
                  <c:v>39082</c:v>
                </c:pt>
                <c:pt idx="17">
                  <c:v>39172</c:v>
                </c:pt>
                <c:pt idx="18">
                  <c:v>39263</c:v>
                </c:pt>
                <c:pt idx="19">
                  <c:v>39355</c:v>
                </c:pt>
                <c:pt idx="20">
                  <c:v>39447</c:v>
                </c:pt>
                <c:pt idx="21">
                  <c:v>39538</c:v>
                </c:pt>
                <c:pt idx="22">
                  <c:v>39629</c:v>
                </c:pt>
                <c:pt idx="23">
                  <c:v>39721</c:v>
                </c:pt>
                <c:pt idx="24">
                  <c:v>39813</c:v>
                </c:pt>
                <c:pt idx="25">
                  <c:v>39903</c:v>
                </c:pt>
                <c:pt idx="26">
                  <c:v>39994</c:v>
                </c:pt>
                <c:pt idx="27">
                  <c:v>40086</c:v>
                </c:pt>
                <c:pt idx="28">
                  <c:v>40178</c:v>
                </c:pt>
                <c:pt idx="29">
                  <c:v>40268</c:v>
                </c:pt>
                <c:pt idx="30">
                  <c:v>40359</c:v>
                </c:pt>
                <c:pt idx="31">
                  <c:v>40451</c:v>
                </c:pt>
                <c:pt idx="32">
                  <c:v>40543</c:v>
                </c:pt>
                <c:pt idx="33">
                  <c:v>40633</c:v>
                </c:pt>
                <c:pt idx="34">
                  <c:v>40724</c:v>
                </c:pt>
                <c:pt idx="35">
                  <c:v>40816</c:v>
                </c:pt>
                <c:pt idx="36">
                  <c:v>40908</c:v>
                </c:pt>
                <c:pt idx="37">
                  <c:v>40999</c:v>
                </c:pt>
                <c:pt idx="38">
                  <c:v>41090</c:v>
                </c:pt>
                <c:pt idx="39">
                  <c:v>41182</c:v>
                </c:pt>
                <c:pt idx="40">
                  <c:v>41274</c:v>
                </c:pt>
                <c:pt idx="41">
                  <c:v>41364</c:v>
                </c:pt>
                <c:pt idx="42">
                  <c:v>41455</c:v>
                </c:pt>
                <c:pt idx="43">
                  <c:v>41547</c:v>
                </c:pt>
                <c:pt idx="44">
                  <c:v>41639</c:v>
                </c:pt>
                <c:pt idx="45">
                  <c:v>41729</c:v>
                </c:pt>
                <c:pt idx="46">
                  <c:v>41820</c:v>
                </c:pt>
                <c:pt idx="47">
                  <c:v>41912</c:v>
                </c:pt>
                <c:pt idx="48">
                  <c:v>42004</c:v>
                </c:pt>
                <c:pt idx="49">
                  <c:v>42094</c:v>
                </c:pt>
                <c:pt idx="50">
                  <c:v>42185</c:v>
                </c:pt>
                <c:pt idx="51">
                  <c:v>42277</c:v>
                </c:pt>
                <c:pt idx="52">
                  <c:v>42369</c:v>
                </c:pt>
                <c:pt idx="53">
                  <c:v>42460</c:v>
                </c:pt>
                <c:pt idx="54">
                  <c:v>42551</c:v>
                </c:pt>
                <c:pt idx="55">
                  <c:v>42643</c:v>
                </c:pt>
                <c:pt idx="56">
                  <c:v>42735</c:v>
                </c:pt>
                <c:pt idx="57">
                  <c:v>42825</c:v>
                </c:pt>
                <c:pt idx="58">
                  <c:v>42916</c:v>
                </c:pt>
                <c:pt idx="59">
                  <c:v>43008</c:v>
                </c:pt>
                <c:pt idx="60">
                  <c:v>43100</c:v>
                </c:pt>
                <c:pt idx="61">
                  <c:v>43190</c:v>
                </c:pt>
                <c:pt idx="62">
                  <c:v>43281</c:v>
                </c:pt>
                <c:pt idx="63">
                  <c:v>43373</c:v>
                </c:pt>
                <c:pt idx="64">
                  <c:v>43465</c:v>
                </c:pt>
                <c:pt idx="65">
                  <c:v>43555</c:v>
                </c:pt>
                <c:pt idx="66">
                  <c:v>43646</c:v>
                </c:pt>
                <c:pt idx="67">
                  <c:v>43738</c:v>
                </c:pt>
                <c:pt idx="68">
                  <c:v>43830</c:v>
                </c:pt>
                <c:pt idx="69">
                  <c:v>43921</c:v>
                </c:pt>
                <c:pt idx="70">
                  <c:v>44012</c:v>
                </c:pt>
                <c:pt idx="71">
                  <c:v>44104</c:v>
                </c:pt>
                <c:pt idx="72">
                  <c:v>44196</c:v>
                </c:pt>
                <c:pt idx="73">
                  <c:v>44286</c:v>
                </c:pt>
                <c:pt idx="74">
                  <c:v>44377</c:v>
                </c:pt>
                <c:pt idx="75">
                  <c:v>44469</c:v>
                </c:pt>
                <c:pt idx="76">
                  <c:v>44561</c:v>
                </c:pt>
                <c:pt idx="77">
                  <c:v>44651</c:v>
                </c:pt>
                <c:pt idx="78">
                  <c:v>44742</c:v>
                </c:pt>
                <c:pt idx="79">
                  <c:v>44834</c:v>
                </c:pt>
                <c:pt idx="80">
                  <c:v>44926</c:v>
                </c:pt>
                <c:pt idx="81">
                  <c:v>45016</c:v>
                </c:pt>
                <c:pt idx="82">
                  <c:v>45107</c:v>
                </c:pt>
                <c:pt idx="83">
                  <c:v>45199</c:v>
                </c:pt>
                <c:pt idx="84">
                  <c:v>45291</c:v>
                </c:pt>
                <c:pt idx="85">
                  <c:v>45382</c:v>
                </c:pt>
                <c:pt idx="86">
                  <c:v>45473</c:v>
                </c:pt>
                <c:pt idx="87">
                  <c:v>45565</c:v>
                </c:pt>
                <c:pt idx="88">
                  <c:v>45657</c:v>
                </c:pt>
                <c:pt idx="89">
                  <c:v>45747</c:v>
                </c:pt>
                <c:pt idx="90">
                  <c:v>45838</c:v>
                </c:pt>
                <c:pt idx="91">
                  <c:v>45930</c:v>
                </c:pt>
                <c:pt idx="92">
                  <c:v>46022</c:v>
                </c:pt>
              </c:numCache>
            </c:numRef>
          </c:cat>
          <c:val>
            <c:numRef>
              <c:f>'Chart 2.10.1 data'!$E$18:$E$304</c:f>
              <c:numCache>
                <c:formatCode>0</c:formatCode>
                <c:ptCount val="287"/>
                <c:pt idx="0">
                  <c:v>1751026</c:v>
                </c:pt>
                <c:pt idx="1">
                  <c:v>1807966</c:v>
                </c:pt>
                <c:pt idx="2">
                  <c:v>1809354</c:v>
                </c:pt>
                <c:pt idx="3">
                  <c:v>1778574</c:v>
                </c:pt>
                <c:pt idx="4">
                  <c:v>1903015</c:v>
                </c:pt>
                <c:pt idx="5">
                  <c:v>2039058</c:v>
                </c:pt>
                <c:pt idx="6">
                  <c:v>2281218</c:v>
                </c:pt>
                <c:pt idx="7">
                  <c:v>2387783</c:v>
                </c:pt>
                <c:pt idx="8">
                  <c:v>2474691</c:v>
                </c:pt>
                <c:pt idx="9">
                  <c:v>2479991</c:v>
                </c:pt>
                <c:pt idx="10">
                  <c:v>2386364</c:v>
                </c:pt>
                <c:pt idx="11">
                  <c:v>2479821</c:v>
                </c:pt>
                <c:pt idx="12">
                  <c:v>2426280</c:v>
                </c:pt>
                <c:pt idx="13">
                  <c:v>2375807</c:v>
                </c:pt>
                <c:pt idx="14">
                  <c:v>2384688</c:v>
                </c:pt>
                <c:pt idx="15">
                  <c:v>2405990</c:v>
                </c:pt>
                <c:pt idx="16">
                  <c:v>2534203</c:v>
                </c:pt>
                <c:pt idx="17">
                  <c:v>2665260</c:v>
                </c:pt>
                <c:pt idx="18">
                  <c:v>2931349</c:v>
                </c:pt>
                <c:pt idx="19">
                  <c:v>3433797</c:v>
                </c:pt>
                <c:pt idx="20">
                  <c:v>3781657</c:v>
                </c:pt>
                <c:pt idx="21">
                  <c:v>4184309</c:v>
                </c:pt>
                <c:pt idx="22">
                  <c:v>4532459</c:v>
                </c:pt>
                <c:pt idx="23">
                  <c:v>4585217</c:v>
                </c:pt>
                <c:pt idx="24">
                  <c:v>4639107</c:v>
                </c:pt>
                <c:pt idx="25">
                  <c:v>4471346</c:v>
                </c:pt>
                <c:pt idx="26">
                  <c:v>4188222</c:v>
                </c:pt>
                <c:pt idx="27">
                  <c:v>3661744</c:v>
                </c:pt>
                <c:pt idx="28">
                  <c:v>3234605</c:v>
                </c:pt>
                <c:pt idx="29">
                  <c:v>2803803</c:v>
                </c:pt>
                <c:pt idx="30">
                  <c:v>2391158</c:v>
                </c:pt>
                <c:pt idx="31">
                  <c:v>2243106</c:v>
                </c:pt>
                <c:pt idx="32">
                  <c:v>2133572</c:v>
                </c:pt>
                <c:pt idx="33">
                  <c:v>2216538</c:v>
                </c:pt>
                <c:pt idx="34">
                  <c:v>2424913</c:v>
                </c:pt>
                <c:pt idx="35">
                  <c:v>2699464</c:v>
                </c:pt>
                <c:pt idx="36">
                  <c:v>2862527</c:v>
                </c:pt>
                <c:pt idx="37">
                  <c:v>3028686</c:v>
                </c:pt>
                <c:pt idx="38">
                  <c:v>3119882</c:v>
                </c:pt>
                <c:pt idx="39">
                  <c:v>3180269</c:v>
                </c:pt>
                <c:pt idx="40">
                  <c:v>3408919</c:v>
                </c:pt>
                <c:pt idx="41">
                  <c:v>3527731</c:v>
                </c:pt>
                <c:pt idx="42">
                  <c:v>3486531</c:v>
                </c:pt>
                <c:pt idx="43">
                  <c:v>3481605</c:v>
                </c:pt>
                <c:pt idx="44">
                  <c:v>3397894</c:v>
                </c:pt>
                <c:pt idx="45">
                  <c:v>3288032</c:v>
                </c:pt>
                <c:pt idx="46">
                  <c:v>3341031</c:v>
                </c:pt>
                <c:pt idx="47">
                  <c:v>3277276</c:v>
                </c:pt>
                <c:pt idx="48">
                  <c:v>3170899</c:v>
                </c:pt>
                <c:pt idx="49">
                  <c:v>3229454</c:v>
                </c:pt>
                <c:pt idx="50">
                  <c:v>3261990</c:v>
                </c:pt>
                <c:pt idx="51">
                  <c:v>3349969</c:v>
                </c:pt>
                <c:pt idx="52">
                  <c:v>3479892</c:v>
                </c:pt>
                <c:pt idx="53">
                  <c:v>3524678</c:v>
                </c:pt>
                <c:pt idx="54">
                  <c:v>3493365</c:v>
                </c:pt>
                <c:pt idx="55">
                  <c:v>3431044</c:v>
                </c:pt>
                <c:pt idx="56">
                  <c:v>3331552</c:v>
                </c:pt>
                <c:pt idx="57">
                  <c:v>3352064</c:v>
                </c:pt>
                <c:pt idx="58">
                  <c:v>3386470</c:v>
                </c:pt>
                <c:pt idx="59">
                  <c:v>3687915</c:v>
                </c:pt>
                <c:pt idx="60">
                  <c:v>3852464</c:v>
                </c:pt>
                <c:pt idx="61">
                  <c:v>3904778</c:v>
                </c:pt>
                <c:pt idx="62">
                  <c:v>4118456</c:v>
                </c:pt>
                <c:pt idx="63">
                  <c:v>4215677</c:v>
                </c:pt>
                <c:pt idx="64">
                  <c:v>4542116</c:v>
                </c:pt>
                <c:pt idx="65">
                  <c:v>4845445</c:v>
                </c:pt>
                <c:pt idx="66">
                  <c:v>5028213</c:v>
                </c:pt>
                <c:pt idx="67">
                  <c:v>5153719</c:v>
                </c:pt>
                <c:pt idx="68">
                  <c:v>5158587</c:v>
                </c:pt>
                <c:pt idx="69">
                  <c:v>5177754</c:v>
                </c:pt>
                <c:pt idx="70">
                  <c:v>5156781</c:v>
                </c:pt>
                <c:pt idx="71">
                  <c:v>4806011</c:v>
                </c:pt>
                <c:pt idx="72">
                  <c:v>4582718</c:v>
                </c:pt>
                <c:pt idx="73">
                  <c:v>4182627</c:v>
                </c:pt>
                <c:pt idx="74">
                  <c:v>3991737</c:v>
                </c:pt>
                <c:pt idx="75">
                  <c:v>4119260</c:v>
                </c:pt>
                <c:pt idx="76">
                  <c:v>4047351</c:v>
                </c:pt>
                <c:pt idx="77">
                  <c:v>4237066</c:v>
                </c:pt>
                <c:pt idx="78">
                  <c:v>4572653</c:v>
                </c:pt>
                <c:pt idx="79">
                  <c:v>4782646</c:v>
                </c:pt>
                <c:pt idx="80">
                  <c:v>5160067</c:v>
                </c:pt>
                <c:pt idx="81">
                  <c:v>5496820</c:v>
                </c:pt>
                <c:pt idx="82">
                  <c:v>5564236</c:v>
                </c:pt>
                <c:pt idx="83">
                  <c:v>5624370</c:v>
                </c:pt>
                <c:pt idx="84">
                  <c:v>5897596</c:v>
                </c:pt>
                <c:pt idx="85">
                  <c:v>5951365</c:v>
                </c:pt>
                <c:pt idx="86">
                  <c:v>6231461</c:v>
                </c:pt>
                <c:pt idx="87">
                  <c:v>6568175</c:v>
                </c:pt>
                <c:pt idx="88">
                  <c:v>6571945</c:v>
                </c:pt>
                <c:pt idx="89">
                  <c:v>6701986</c:v>
                </c:pt>
                <c:pt idx="90">
                  <c:v>6518471</c:v>
                </c:pt>
                <c:pt idx="91">
                  <c:v>6651684</c:v>
                </c:pt>
                <c:pt idx="92">
                  <c:v>6986157</c:v>
                </c:pt>
              </c:numCache>
            </c:numRef>
          </c:val>
          <c:smooth val="0"/>
          <c:extLst>
            <c:ext xmlns:c16="http://schemas.microsoft.com/office/drawing/2014/chart" uri="{C3380CC4-5D6E-409C-BE32-E72D297353CC}">
              <c16:uniqueId val="{00000000-B57F-4737-9BAC-65B150CF818A}"/>
            </c:ext>
          </c:extLst>
        </c:ser>
        <c:ser>
          <c:idx val="3"/>
          <c:order val="1"/>
          <c:tx>
            <c:strRef>
              <c:f>'Chart 2.10.1 data'!$H$2</c:f>
              <c:strCache>
                <c:ptCount val="1"/>
                <c:pt idx="0">
                  <c:v>Data centres*</c:v>
                </c:pt>
              </c:strCache>
            </c:strRef>
          </c:tx>
          <c:spPr>
            <a:ln w="22225" cap="rnd">
              <a:solidFill>
                <a:schemeClr val="bg1">
                  <a:lumMod val="75000"/>
                </a:schemeClr>
              </a:solidFill>
              <a:round/>
            </a:ln>
            <a:effectLst/>
          </c:spPr>
          <c:marker>
            <c:symbol val="none"/>
          </c:marker>
          <c:cat>
            <c:numRef>
              <c:f>'Chart 2.10.1 data'!$C$18:$C$304</c:f>
              <c:numCache>
                <c:formatCode>mmm"-"yyyy</c:formatCode>
                <c:ptCount val="287"/>
                <c:pt idx="0">
                  <c:v>37621</c:v>
                </c:pt>
                <c:pt idx="1">
                  <c:v>37711</c:v>
                </c:pt>
                <c:pt idx="2">
                  <c:v>37802</c:v>
                </c:pt>
                <c:pt idx="3">
                  <c:v>37894</c:v>
                </c:pt>
                <c:pt idx="4">
                  <c:v>37986</c:v>
                </c:pt>
                <c:pt idx="5">
                  <c:v>38077</c:v>
                </c:pt>
                <c:pt idx="6">
                  <c:v>38168</c:v>
                </c:pt>
                <c:pt idx="7">
                  <c:v>38260</c:v>
                </c:pt>
                <c:pt idx="8">
                  <c:v>38352</c:v>
                </c:pt>
                <c:pt idx="9">
                  <c:v>38442</c:v>
                </c:pt>
                <c:pt idx="10">
                  <c:v>38533</c:v>
                </c:pt>
                <c:pt idx="11">
                  <c:v>38625</c:v>
                </c:pt>
                <c:pt idx="12">
                  <c:v>38717</c:v>
                </c:pt>
                <c:pt idx="13">
                  <c:v>38807</c:v>
                </c:pt>
                <c:pt idx="14">
                  <c:v>38898</c:v>
                </c:pt>
                <c:pt idx="15">
                  <c:v>38990</c:v>
                </c:pt>
                <c:pt idx="16">
                  <c:v>39082</c:v>
                </c:pt>
                <c:pt idx="17">
                  <c:v>39172</c:v>
                </c:pt>
                <c:pt idx="18">
                  <c:v>39263</c:v>
                </c:pt>
                <c:pt idx="19">
                  <c:v>39355</c:v>
                </c:pt>
                <c:pt idx="20">
                  <c:v>39447</c:v>
                </c:pt>
                <c:pt idx="21">
                  <c:v>39538</c:v>
                </c:pt>
                <c:pt idx="22">
                  <c:v>39629</c:v>
                </c:pt>
                <c:pt idx="23">
                  <c:v>39721</c:v>
                </c:pt>
                <c:pt idx="24">
                  <c:v>39813</c:v>
                </c:pt>
                <c:pt idx="25">
                  <c:v>39903</c:v>
                </c:pt>
                <c:pt idx="26">
                  <c:v>39994</c:v>
                </c:pt>
                <c:pt idx="27">
                  <c:v>40086</c:v>
                </c:pt>
                <c:pt idx="28">
                  <c:v>40178</c:v>
                </c:pt>
                <c:pt idx="29">
                  <c:v>40268</c:v>
                </c:pt>
                <c:pt idx="30">
                  <c:v>40359</c:v>
                </c:pt>
                <c:pt idx="31">
                  <c:v>40451</c:v>
                </c:pt>
                <c:pt idx="32">
                  <c:v>40543</c:v>
                </c:pt>
                <c:pt idx="33">
                  <c:v>40633</c:v>
                </c:pt>
                <c:pt idx="34">
                  <c:v>40724</c:v>
                </c:pt>
                <c:pt idx="35">
                  <c:v>40816</c:v>
                </c:pt>
                <c:pt idx="36">
                  <c:v>40908</c:v>
                </c:pt>
                <c:pt idx="37">
                  <c:v>40999</c:v>
                </c:pt>
                <c:pt idx="38">
                  <c:v>41090</c:v>
                </c:pt>
                <c:pt idx="39">
                  <c:v>41182</c:v>
                </c:pt>
                <c:pt idx="40">
                  <c:v>41274</c:v>
                </c:pt>
                <c:pt idx="41">
                  <c:v>41364</c:v>
                </c:pt>
                <c:pt idx="42">
                  <c:v>41455</c:v>
                </c:pt>
                <c:pt idx="43">
                  <c:v>41547</c:v>
                </c:pt>
                <c:pt idx="44">
                  <c:v>41639</c:v>
                </c:pt>
                <c:pt idx="45">
                  <c:v>41729</c:v>
                </c:pt>
                <c:pt idx="46">
                  <c:v>41820</c:v>
                </c:pt>
                <c:pt idx="47">
                  <c:v>41912</c:v>
                </c:pt>
                <c:pt idx="48">
                  <c:v>42004</c:v>
                </c:pt>
                <c:pt idx="49">
                  <c:v>42094</c:v>
                </c:pt>
                <c:pt idx="50">
                  <c:v>42185</c:v>
                </c:pt>
                <c:pt idx="51">
                  <c:v>42277</c:v>
                </c:pt>
                <c:pt idx="52">
                  <c:v>42369</c:v>
                </c:pt>
                <c:pt idx="53">
                  <c:v>42460</c:v>
                </c:pt>
                <c:pt idx="54">
                  <c:v>42551</c:v>
                </c:pt>
                <c:pt idx="55">
                  <c:v>42643</c:v>
                </c:pt>
                <c:pt idx="56">
                  <c:v>42735</c:v>
                </c:pt>
                <c:pt idx="57">
                  <c:v>42825</c:v>
                </c:pt>
                <c:pt idx="58">
                  <c:v>42916</c:v>
                </c:pt>
                <c:pt idx="59">
                  <c:v>43008</c:v>
                </c:pt>
                <c:pt idx="60">
                  <c:v>43100</c:v>
                </c:pt>
                <c:pt idx="61">
                  <c:v>43190</c:v>
                </c:pt>
                <c:pt idx="62">
                  <c:v>43281</c:v>
                </c:pt>
                <c:pt idx="63">
                  <c:v>43373</c:v>
                </c:pt>
                <c:pt idx="64">
                  <c:v>43465</c:v>
                </c:pt>
                <c:pt idx="65">
                  <c:v>43555</c:v>
                </c:pt>
                <c:pt idx="66">
                  <c:v>43646</c:v>
                </c:pt>
                <c:pt idx="67">
                  <c:v>43738</c:v>
                </c:pt>
                <c:pt idx="68">
                  <c:v>43830</c:v>
                </c:pt>
                <c:pt idx="69">
                  <c:v>43921</c:v>
                </c:pt>
                <c:pt idx="70">
                  <c:v>44012</c:v>
                </c:pt>
                <c:pt idx="71">
                  <c:v>44104</c:v>
                </c:pt>
                <c:pt idx="72">
                  <c:v>44196</c:v>
                </c:pt>
                <c:pt idx="73">
                  <c:v>44286</c:v>
                </c:pt>
                <c:pt idx="74">
                  <c:v>44377</c:v>
                </c:pt>
                <c:pt idx="75">
                  <c:v>44469</c:v>
                </c:pt>
                <c:pt idx="76">
                  <c:v>44561</c:v>
                </c:pt>
                <c:pt idx="77">
                  <c:v>44651</c:v>
                </c:pt>
                <c:pt idx="78">
                  <c:v>44742</c:v>
                </c:pt>
                <c:pt idx="79">
                  <c:v>44834</c:v>
                </c:pt>
                <c:pt idx="80">
                  <c:v>44926</c:v>
                </c:pt>
                <c:pt idx="81">
                  <c:v>45016</c:v>
                </c:pt>
                <c:pt idx="82">
                  <c:v>45107</c:v>
                </c:pt>
                <c:pt idx="83">
                  <c:v>45199</c:v>
                </c:pt>
                <c:pt idx="84">
                  <c:v>45291</c:v>
                </c:pt>
                <c:pt idx="85">
                  <c:v>45382</c:v>
                </c:pt>
                <c:pt idx="86">
                  <c:v>45473</c:v>
                </c:pt>
                <c:pt idx="87">
                  <c:v>45565</c:v>
                </c:pt>
                <c:pt idx="88">
                  <c:v>45657</c:v>
                </c:pt>
                <c:pt idx="89">
                  <c:v>45747</c:v>
                </c:pt>
                <c:pt idx="90">
                  <c:v>45838</c:v>
                </c:pt>
                <c:pt idx="91">
                  <c:v>45930</c:v>
                </c:pt>
                <c:pt idx="92">
                  <c:v>46022</c:v>
                </c:pt>
              </c:numCache>
            </c:numRef>
          </c:cat>
          <c:val>
            <c:numRef>
              <c:f>'Chart 2.10.1 data'!$H$18:$H$304</c:f>
              <c:numCache>
                <c:formatCode>0</c:formatCode>
                <c:ptCount val="287"/>
                <c:pt idx="0">
                  <c:v>23468</c:v>
                </c:pt>
                <c:pt idx="1">
                  <c:v>31508</c:v>
                </c:pt>
                <c:pt idx="2">
                  <c:v>36696</c:v>
                </c:pt>
                <c:pt idx="3">
                  <c:v>40529</c:v>
                </c:pt>
                <c:pt idx="4">
                  <c:v>41754</c:v>
                </c:pt>
                <c:pt idx="5">
                  <c:v>33431</c:v>
                </c:pt>
                <c:pt idx="6">
                  <c:v>35864</c:v>
                </c:pt>
                <c:pt idx="7">
                  <c:v>27234</c:v>
                </c:pt>
                <c:pt idx="8">
                  <c:v>20084</c:v>
                </c:pt>
                <c:pt idx="9">
                  <c:v>20262</c:v>
                </c:pt>
                <c:pt idx="10">
                  <c:v>11696</c:v>
                </c:pt>
                <c:pt idx="11">
                  <c:v>9614</c:v>
                </c:pt>
                <c:pt idx="12">
                  <c:v>15508</c:v>
                </c:pt>
                <c:pt idx="13">
                  <c:v>20592</c:v>
                </c:pt>
                <c:pt idx="14">
                  <c:v>26891</c:v>
                </c:pt>
                <c:pt idx="15">
                  <c:v>36890</c:v>
                </c:pt>
                <c:pt idx="16">
                  <c:v>48033</c:v>
                </c:pt>
                <c:pt idx="17">
                  <c:v>48782</c:v>
                </c:pt>
                <c:pt idx="18">
                  <c:v>46042</c:v>
                </c:pt>
                <c:pt idx="19">
                  <c:v>36875</c:v>
                </c:pt>
                <c:pt idx="20">
                  <c:v>32819</c:v>
                </c:pt>
                <c:pt idx="21">
                  <c:v>37794</c:v>
                </c:pt>
                <c:pt idx="22">
                  <c:v>45741</c:v>
                </c:pt>
                <c:pt idx="23">
                  <c:v>47680</c:v>
                </c:pt>
                <c:pt idx="24">
                  <c:v>39365</c:v>
                </c:pt>
                <c:pt idx="25">
                  <c:v>35586</c:v>
                </c:pt>
                <c:pt idx="26">
                  <c:v>31987</c:v>
                </c:pt>
                <c:pt idx="27">
                  <c:v>32524</c:v>
                </c:pt>
                <c:pt idx="28">
                  <c:v>33838</c:v>
                </c:pt>
                <c:pt idx="29">
                  <c:v>35685</c:v>
                </c:pt>
                <c:pt idx="30">
                  <c:v>42123</c:v>
                </c:pt>
                <c:pt idx="31">
                  <c:v>47393</c:v>
                </c:pt>
                <c:pt idx="32">
                  <c:v>58232</c:v>
                </c:pt>
                <c:pt idx="33">
                  <c:v>54785</c:v>
                </c:pt>
                <c:pt idx="34">
                  <c:v>46630</c:v>
                </c:pt>
                <c:pt idx="35">
                  <c:v>45335</c:v>
                </c:pt>
                <c:pt idx="36">
                  <c:v>38560</c:v>
                </c:pt>
                <c:pt idx="37">
                  <c:v>39651</c:v>
                </c:pt>
                <c:pt idx="38">
                  <c:v>44000</c:v>
                </c:pt>
                <c:pt idx="39">
                  <c:v>78997</c:v>
                </c:pt>
                <c:pt idx="40">
                  <c:v>80078</c:v>
                </c:pt>
                <c:pt idx="41">
                  <c:v>96570</c:v>
                </c:pt>
                <c:pt idx="42">
                  <c:v>117454</c:v>
                </c:pt>
                <c:pt idx="43">
                  <c:v>85641</c:v>
                </c:pt>
                <c:pt idx="44">
                  <c:v>157171</c:v>
                </c:pt>
                <c:pt idx="45">
                  <c:v>140153</c:v>
                </c:pt>
                <c:pt idx="46">
                  <c:v>117027</c:v>
                </c:pt>
                <c:pt idx="47">
                  <c:v>111168</c:v>
                </c:pt>
                <c:pt idx="48">
                  <c:v>37047</c:v>
                </c:pt>
                <c:pt idx="49">
                  <c:v>38464</c:v>
                </c:pt>
                <c:pt idx="50">
                  <c:v>48537</c:v>
                </c:pt>
                <c:pt idx="51">
                  <c:v>58330</c:v>
                </c:pt>
                <c:pt idx="52">
                  <c:v>77040</c:v>
                </c:pt>
                <c:pt idx="53">
                  <c:v>107007</c:v>
                </c:pt>
                <c:pt idx="54">
                  <c:v>92690</c:v>
                </c:pt>
                <c:pt idx="55">
                  <c:v>82445</c:v>
                </c:pt>
                <c:pt idx="56">
                  <c:v>54992</c:v>
                </c:pt>
                <c:pt idx="57">
                  <c:v>17760</c:v>
                </c:pt>
                <c:pt idx="58">
                  <c:v>29342</c:v>
                </c:pt>
                <c:pt idx="59">
                  <c:v>48111</c:v>
                </c:pt>
                <c:pt idx="60">
                  <c:v>60640</c:v>
                </c:pt>
                <c:pt idx="61">
                  <c:v>87647</c:v>
                </c:pt>
                <c:pt idx="62">
                  <c:v>83690</c:v>
                </c:pt>
                <c:pt idx="63">
                  <c:v>85559</c:v>
                </c:pt>
                <c:pt idx="64">
                  <c:v>118232</c:v>
                </c:pt>
                <c:pt idx="65">
                  <c:v>180400</c:v>
                </c:pt>
                <c:pt idx="66">
                  <c:v>198983</c:v>
                </c:pt>
                <c:pt idx="67">
                  <c:v>178445</c:v>
                </c:pt>
                <c:pt idx="68">
                  <c:v>131747</c:v>
                </c:pt>
                <c:pt idx="69">
                  <c:v>40415</c:v>
                </c:pt>
                <c:pt idx="70">
                  <c:v>9132</c:v>
                </c:pt>
                <c:pt idx="71">
                  <c:v>17429</c:v>
                </c:pt>
                <c:pt idx="72">
                  <c:v>59242</c:v>
                </c:pt>
                <c:pt idx="73">
                  <c:v>82472</c:v>
                </c:pt>
                <c:pt idx="74">
                  <c:v>122041</c:v>
                </c:pt>
                <c:pt idx="75">
                  <c:v>152386</c:v>
                </c:pt>
                <c:pt idx="76">
                  <c:v>157715</c:v>
                </c:pt>
                <c:pt idx="77">
                  <c:v>203649</c:v>
                </c:pt>
                <c:pt idx="78">
                  <c:v>243567</c:v>
                </c:pt>
                <c:pt idx="79">
                  <c:v>296564</c:v>
                </c:pt>
                <c:pt idx="80">
                  <c:v>334086</c:v>
                </c:pt>
                <c:pt idx="81">
                  <c:v>437667</c:v>
                </c:pt>
                <c:pt idx="82">
                  <c:v>513760</c:v>
                </c:pt>
                <c:pt idx="83">
                  <c:v>662371</c:v>
                </c:pt>
                <c:pt idx="84">
                  <c:v>889137</c:v>
                </c:pt>
                <c:pt idx="85">
                  <c:v>983035</c:v>
                </c:pt>
                <c:pt idx="86">
                  <c:v>1187252</c:v>
                </c:pt>
                <c:pt idx="87">
                  <c:v>1384214</c:v>
                </c:pt>
                <c:pt idx="88">
                  <c:v>1311427</c:v>
                </c:pt>
                <c:pt idx="89">
                  <c:v>1287977</c:v>
                </c:pt>
                <c:pt idx="90">
                  <c:v>1286396</c:v>
                </c:pt>
                <c:pt idx="91">
                  <c:v>1357125</c:v>
                </c:pt>
                <c:pt idx="92">
                  <c:v>1899328</c:v>
                </c:pt>
              </c:numCache>
            </c:numRef>
          </c:val>
          <c:smooth val="0"/>
          <c:extLst>
            <c:ext xmlns:c16="http://schemas.microsoft.com/office/drawing/2014/chart" uri="{C3380CC4-5D6E-409C-BE32-E72D297353CC}">
              <c16:uniqueId val="{00000001-B57F-4737-9BAC-65B150CF818A}"/>
            </c:ext>
          </c:extLst>
        </c:ser>
        <c:ser>
          <c:idx val="4"/>
          <c:order val="2"/>
          <c:tx>
            <c:strRef>
              <c:f>'Chart 2.10.1 data'!$I$2</c:f>
              <c:strCache>
                <c:ptCount val="1"/>
                <c:pt idx="0">
                  <c:v>Commercial excl. data centres</c:v>
                </c:pt>
              </c:strCache>
            </c:strRef>
          </c:tx>
          <c:spPr>
            <a:ln w="22225" cap="rnd">
              <a:solidFill>
                <a:schemeClr val="tx1">
                  <a:lumMod val="50000"/>
                  <a:lumOff val="50000"/>
                </a:schemeClr>
              </a:solidFill>
              <a:round/>
            </a:ln>
            <a:effectLst/>
          </c:spPr>
          <c:marker>
            <c:symbol val="none"/>
          </c:marker>
          <c:cat>
            <c:numRef>
              <c:f>'Chart 2.10.1 data'!$C$18:$C$304</c:f>
              <c:numCache>
                <c:formatCode>mmm"-"yyyy</c:formatCode>
                <c:ptCount val="287"/>
                <c:pt idx="0">
                  <c:v>37621</c:v>
                </c:pt>
                <c:pt idx="1">
                  <c:v>37711</c:v>
                </c:pt>
                <c:pt idx="2">
                  <c:v>37802</c:v>
                </c:pt>
                <c:pt idx="3">
                  <c:v>37894</c:v>
                </c:pt>
                <c:pt idx="4">
                  <c:v>37986</c:v>
                </c:pt>
                <c:pt idx="5">
                  <c:v>38077</c:v>
                </c:pt>
                <c:pt idx="6">
                  <c:v>38168</c:v>
                </c:pt>
                <c:pt idx="7">
                  <c:v>38260</c:v>
                </c:pt>
                <c:pt idx="8">
                  <c:v>38352</c:v>
                </c:pt>
                <c:pt idx="9">
                  <c:v>38442</c:v>
                </c:pt>
                <c:pt idx="10">
                  <c:v>38533</c:v>
                </c:pt>
                <c:pt idx="11">
                  <c:v>38625</c:v>
                </c:pt>
                <c:pt idx="12">
                  <c:v>38717</c:v>
                </c:pt>
                <c:pt idx="13">
                  <c:v>38807</c:v>
                </c:pt>
                <c:pt idx="14">
                  <c:v>38898</c:v>
                </c:pt>
                <c:pt idx="15">
                  <c:v>38990</c:v>
                </c:pt>
                <c:pt idx="16">
                  <c:v>39082</c:v>
                </c:pt>
                <c:pt idx="17">
                  <c:v>39172</c:v>
                </c:pt>
                <c:pt idx="18">
                  <c:v>39263</c:v>
                </c:pt>
                <c:pt idx="19">
                  <c:v>39355</c:v>
                </c:pt>
                <c:pt idx="20">
                  <c:v>39447</c:v>
                </c:pt>
                <c:pt idx="21">
                  <c:v>39538</c:v>
                </c:pt>
                <c:pt idx="22">
                  <c:v>39629</c:v>
                </c:pt>
                <c:pt idx="23">
                  <c:v>39721</c:v>
                </c:pt>
                <c:pt idx="24">
                  <c:v>39813</c:v>
                </c:pt>
                <c:pt idx="25">
                  <c:v>39903</c:v>
                </c:pt>
                <c:pt idx="26">
                  <c:v>39994</c:v>
                </c:pt>
                <c:pt idx="27">
                  <c:v>40086</c:v>
                </c:pt>
                <c:pt idx="28">
                  <c:v>40178</c:v>
                </c:pt>
                <c:pt idx="29">
                  <c:v>40268</c:v>
                </c:pt>
                <c:pt idx="30">
                  <c:v>40359</c:v>
                </c:pt>
                <c:pt idx="31">
                  <c:v>40451</c:v>
                </c:pt>
                <c:pt idx="32">
                  <c:v>40543</c:v>
                </c:pt>
                <c:pt idx="33">
                  <c:v>40633</c:v>
                </c:pt>
                <c:pt idx="34">
                  <c:v>40724</c:v>
                </c:pt>
                <c:pt idx="35">
                  <c:v>40816</c:v>
                </c:pt>
                <c:pt idx="36">
                  <c:v>40908</c:v>
                </c:pt>
                <c:pt idx="37">
                  <c:v>40999</c:v>
                </c:pt>
                <c:pt idx="38">
                  <c:v>41090</c:v>
                </c:pt>
                <c:pt idx="39">
                  <c:v>41182</c:v>
                </c:pt>
                <c:pt idx="40">
                  <c:v>41274</c:v>
                </c:pt>
                <c:pt idx="41">
                  <c:v>41364</c:v>
                </c:pt>
                <c:pt idx="42">
                  <c:v>41455</c:v>
                </c:pt>
                <c:pt idx="43">
                  <c:v>41547</c:v>
                </c:pt>
                <c:pt idx="44">
                  <c:v>41639</c:v>
                </c:pt>
                <c:pt idx="45">
                  <c:v>41729</c:v>
                </c:pt>
                <c:pt idx="46">
                  <c:v>41820</c:v>
                </c:pt>
                <c:pt idx="47">
                  <c:v>41912</c:v>
                </c:pt>
                <c:pt idx="48">
                  <c:v>42004</c:v>
                </c:pt>
                <c:pt idx="49">
                  <c:v>42094</c:v>
                </c:pt>
                <c:pt idx="50">
                  <c:v>42185</c:v>
                </c:pt>
                <c:pt idx="51">
                  <c:v>42277</c:v>
                </c:pt>
                <c:pt idx="52">
                  <c:v>42369</c:v>
                </c:pt>
                <c:pt idx="53">
                  <c:v>42460</c:v>
                </c:pt>
                <c:pt idx="54">
                  <c:v>42551</c:v>
                </c:pt>
                <c:pt idx="55">
                  <c:v>42643</c:v>
                </c:pt>
                <c:pt idx="56">
                  <c:v>42735</c:v>
                </c:pt>
                <c:pt idx="57">
                  <c:v>42825</c:v>
                </c:pt>
                <c:pt idx="58">
                  <c:v>42916</c:v>
                </c:pt>
                <c:pt idx="59">
                  <c:v>43008</c:v>
                </c:pt>
                <c:pt idx="60">
                  <c:v>43100</c:v>
                </c:pt>
                <c:pt idx="61">
                  <c:v>43190</c:v>
                </c:pt>
                <c:pt idx="62">
                  <c:v>43281</c:v>
                </c:pt>
                <c:pt idx="63">
                  <c:v>43373</c:v>
                </c:pt>
                <c:pt idx="64">
                  <c:v>43465</c:v>
                </c:pt>
                <c:pt idx="65">
                  <c:v>43555</c:v>
                </c:pt>
                <c:pt idx="66">
                  <c:v>43646</c:v>
                </c:pt>
                <c:pt idx="67">
                  <c:v>43738</c:v>
                </c:pt>
                <c:pt idx="68">
                  <c:v>43830</c:v>
                </c:pt>
                <c:pt idx="69">
                  <c:v>43921</c:v>
                </c:pt>
                <c:pt idx="70">
                  <c:v>44012</c:v>
                </c:pt>
                <c:pt idx="71">
                  <c:v>44104</c:v>
                </c:pt>
                <c:pt idx="72">
                  <c:v>44196</c:v>
                </c:pt>
                <c:pt idx="73">
                  <c:v>44286</c:v>
                </c:pt>
                <c:pt idx="74">
                  <c:v>44377</c:v>
                </c:pt>
                <c:pt idx="75">
                  <c:v>44469</c:v>
                </c:pt>
                <c:pt idx="76">
                  <c:v>44561</c:v>
                </c:pt>
                <c:pt idx="77">
                  <c:v>44651</c:v>
                </c:pt>
                <c:pt idx="78">
                  <c:v>44742</c:v>
                </c:pt>
                <c:pt idx="79">
                  <c:v>44834</c:v>
                </c:pt>
                <c:pt idx="80">
                  <c:v>44926</c:v>
                </c:pt>
                <c:pt idx="81">
                  <c:v>45016</c:v>
                </c:pt>
                <c:pt idx="82">
                  <c:v>45107</c:v>
                </c:pt>
                <c:pt idx="83">
                  <c:v>45199</c:v>
                </c:pt>
                <c:pt idx="84">
                  <c:v>45291</c:v>
                </c:pt>
                <c:pt idx="85">
                  <c:v>45382</c:v>
                </c:pt>
                <c:pt idx="86">
                  <c:v>45473</c:v>
                </c:pt>
                <c:pt idx="87">
                  <c:v>45565</c:v>
                </c:pt>
                <c:pt idx="88">
                  <c:v>45657</c:v>
                </c:pt>
                <c:pt idx="89">
                  <c:v>45747</c:v>
                </c:pt>
                <c:pt idx="90">
                  <c:v>45838</c:v>
                </c:pt>
                <c:pt idx="91">
                  <c:v>45930</c:v>
                </c:pt>
                <c:pt idx="92">
                  <c:v>46022</c:v>
                </c:pt>
              </c:numCache>
            </c:numRef>
          </c:cat>
          <c:val>
            <c:numRef>
              <c:f>'Chart 2.10.1 data'!$I$18:$I$304</c:f>
              <c:numCache>
                <c:formatCode>0</c:formatCode>
                <c:ptCount val="287"/>
                <c:pt idx="0">
                  <c:v>1727558</c:v>
                </c:pt>
                <c:pt idx="1">
                  <c:v>1776458</c:v>
                </c:pt>
                <c:pt idx="2">
                  <c:v>1772658</c:v>
                </c:pt>
                <c:pt idx="3">
                  <c:v>1738045</c:v>
                </c:pt>
                <c:pt idx="4">
                  <c:v>1861261</c:v>
                </c:pt>
                <c:pt idx="5">
                  <c:v>2005627</c:v>
                </c:pt>
                <c:pt idx="6">
                  <c:v>2245354</c:v>
                </c:pt>
                <c:pt idx="7">
                  <c:v>2360549</c:v>
                </c:pt>
                <c:pt idx="8">
                  <c:v>2454607</c:v>
                </c:pt>
                <c:pt idx="9">
                  <c:v>2459729</c:v>
                </c:pt>
                <c:pt idx="10">
                  <c:v>2374668</c:v>
                </c:pt>
                <c:pt idx="11">
                  <c:v>2470207</c:v>
                </c:pt>
                <c:pt idx="12">
                  <c:v>2410772</c:v>
                </c:pt>
                <c:pt idx="13">
                  <c:v>2355215</c:v>
                </c:pt>
                <c:pt idx="14">
                  <c:v>2357797</c:v>
                </c:pt>
                <c:pt idx="15">
                  <c:v>2369100</c:v>
                </c:pt>
                <c:pt idx="16">
                  <c:v>2486170</c:v>
                </c:pt>
                <c:pt idx="17">
                  <c:v>2616478</c:v>
                </c:pt>
                <c:pt idx="18">
                  <c:v>2885307</c:v>
                </c:pt>
                <c:pt idx="19">
                  <c:v>3396922</c:v>
                </c:pt>
                <c:pt idx="20">
                  <c:v>3748838</c:v>
                </c:pt>
                <c:pt idx="21">
                  <c:v>4146515</c:v>
                </c:pt>
                <c:pt idx="22">
                  <c:v>4486718</c:v>
                </c:pt>
                <c:pt idx="23">
                  <c:v>4537537</c:v>
                </c:pt>
                <c:pt idx="24">
                  <c:v>4599742</c:v>
                </c:pt>
                <c:pt idx="25">
                  <c:v>4435760</c:v>
                </c:pt>
                <c:pt idx="26">
                  <c:v>4156235</c:v>
                </c:pt>
                <c:pt idx="27">
                  <c:v>3629220</c:v>
                </c:pt>
                <c:pt idx="28">
                  <c:v>3200767</c:v>
                </c:pt>
                <c:pt idx="29">
                  <c:v>2768118</c:v>
                </c:pt>
                <c:pt idx="30">
                  <c:v>2349035</c:v>
                </c:pt>
                <c:pt idx="31">
                  <c:v>2195713</c:v>
                </c:pt>
                <c:pt idx="32">
                  <c:v>2075340</c:v>
                </c:pt>
                <c:pt idx="33">
                  <c:v>2161753</c:v>
                </c:pt>
                <c:pt idx="34">
                  <c:v>2378283</c:v>
                </c:pt>
                <c:pt idx="35">
                  <c:v>2654129</c:v>
                </c:pt>
                <c:pt idx="36">
                  <c:v>2823967</c:v>
                </c:pt>
                <c:pt idx="37">
                  <c:v>2989035</c:v>
                </c:pt>
                <c:pt idx="38">
                  <c:v>3075882</c:v>
                </c:pt>
                <c:pt idx="39">
                  <c:v>3101272</c:v>
                </c:pt>
                <c:pt idx="40">
                  <c:v>3328841</c:v>
                </c:pt>
                <c:pt idx="41">
                  <c:v>3431161</c:v>
                </c:pt>
                <c:pt idx="42">
                  <c:v>3369077</c:v>
                </c:pt>
                <c:pt idx="43">
                  <c:v>3395964</c:v>
                </c:pt>
                <c:pt idx="44">
                  <c:v>3240723</c:v>
                </c:pt>
                <c:pt idx="45">
                  <c:v>3147879</c:v>
                </c:pt>
                <c:pt idx="46">
                  <c:v>3224004</c:v>
                </c:pt>
                <c:pt idx="47">
                  <c:v>3166108</c:v>
                </c:pt>
                <c:pt idx="48">
                  <c:v>3133852</c:v>
                </c:pt>
                <c:pt idx="49">
                  <c:v>3190990</c:v>
                </c:pt>
                <c:pt idx="50">
                  <c:v>3213453</c:v>
                </c:pt>
                <c:pt idx="51">
                  <c:v>3291639</c:v>
                </c:pt>
                <c:pt idx="52">
                  <c:v>3402852</c:v>
                </c:pt>
                <c:pt idx="53">
                  <c:v>3417671</c:v>
                </c:pt>
                <c:pt idx="54">
                  <c:v>3400675</c:v>
                </c:pt>
                <c:pt idx="55">
                  <c:v>3348599</c:v>
                </c:pt>
                <c:pt idx="56">
                  <c:v>3276560</c:v>
                </c:pt>
                <c:pt idx="57">
                  <c:v>3334304</c:v>
                </c:pt>
                <c:pt idx="58">
                  <c:v>3357128</c:v>
                </c:pt>
                <c:pt idx="59">
                  <c:v>3639804</c:v>
                </c:pt>
                <c:pt idx="60">
                  <c:v>3791824</c:v>
                </c:pt>
                <c:pt idx="61">
                  <c:v>3817131</c:v>
                </c:pt>
                <c:pt idx="62">
                  <c:v>4034766</c:v>
                </c:pt>
                <c:pt idx="63">
                  <c:v>4130118</c:v>
                </c:pt>
                <c:pt idx="64">
                  <c:v>4423884</c:v>
                </c:pt>
                <c:pt idx="65">
                  <c:v>4665045</c:v>
                </c:pt>
                <c:pt idx="66">
                  <c:v>4829230</c:v>
                </c:pt>
                <c:pt idx="67">
                  <c:v>4975274</c:v>
                </c:pt>
                <c:pt idx="68">
                  <c:v>5026840</c:v>
                </c:pt>
                <c:pt idx="69">
                  <c:v>5137339</c:v>
                </c:pt>
                <c:pt idx="70">
                  <c:v>5147649</c:v>
                </c:pt>
                <c:pt idx="71">
                  <c:v>4788582</c:v>
                </c:pt>
                <c:pt idx="72">
                  <c:v>4523476</c:v>
                </c:pt>
                <c:pt idx="73">
                  <c:v>4100155</c:v>
                </c:pt>
                <c:pt idx="74">
                  <c:v>3869696</c:v>
                </c:pt>
                <c:pt idx="75">
                  <c:v>3966874</c:v>
                </c:pt>
                <c:pt idx="76">
                  <c:v>3889636</c:v>
                </c:pt>
                <c:pt idx="77">
                  <c:v>4033417</c:v>
                </c:pt>
                <c:pt idx="78">
                  <c:v>4329086</c:v>
                </c:pt>
                <c:pt idx="79">
                  <c:v>4486082</c:v>
                </c:pt>
                <c:pt idx="80">
                  <c:v>4825981</c:v>
                </c:pt>
                <c:pt idx="81">
                  <c:v>5059153</c:v>
                </c:pt>
                <c:pt idx="82">
                  <c:v>5050476</c:v>
                </c:pt>
                <c:pt idx="83">
                  <c:v>4961999</c:v>
                </c:pt>
                <c:pt idx="84">
                  <c:v>5008459</c:v>
                </c:pt>
                <c:pt idx="85">
                  <c:v>4968330</c:v>
                </c:pt>
                <c:pt idx="86">
                  <c:v>5044209</c:v>
                </c:pt>
                <c:pt idx="87">
                  <c:v>5183961</c:v>
                </c:pt>
                <c:pt idx="88">
                  <c:v>5260518</c:v>
                </c:pt>
                <c:pt idx="89">
                  <c:v>5414009</c:v>
                </c:pt>
                <c:pt idx="90">
                  <c:v>5232075</c:v>
                </c:pt>
                <c:pt idx="91">
                  <c:v>5294559</c:v>
                </c:pt>
                <c:pt idx="92">
                  <c:v>5086829</c:v>
                </c:pt>
              </c:numCache>
            </c:numRef>
          </c:val>
          <c:smooth val="0"/>
          <c:extLst>
            <c:ext xmlns:c16="http://schemas.microsoft.com/office/drawing/2014/chart" uri="{C3380CC4-5D6E-409C-BE32-E72D297353CC}">
              <c16:uniqueId val="{00000002-B57F-4737-9BAC-65B150CF818A}"/>
            </c:ext>
          </c:extLst>
        </c:ser>
        <c:dLbls>
          <c:showLegendKey val="0"/>
          <c:showVal val="0"/>
          <c:showCatName val="0"/>
          <c:showSerName val="0"/>
          <c:showPercent val="0"/>
          <c:showBubbleSize val="0"/>
        </c:dLbls>
        <c:smooth val="0"/>
        <c:axId val="1205392728"/>
        <c:axId val="1205390568"/>
      </c:lineChart>
      <c:dateAx>
        <c:axId val="1205392728"/>
        <c:scaling>
          <c:orientation val="minMax"/>
          <c:min val="42005"/>
        </c:scaling>
        <c:delete val="0"/>
        <c:axPos val="b"/>
        <c:numFmt formatCode="yyyy" sourceLinked="0"/>
        <c:majorTickMark val="out"/>
        <c:minorTickMark val="none"/>
        <c:tickLblPos val="low"/>
        <c:spPr>
          <a:noFill/>
          <a:ln w="9525" cap="flat" cmpd="sng" algn="ctr">
            <a:solidFill>
              <a:schemeClr val="bg1">
                <a:lumMod val="50000"/>
              </a:schemeClr>
            </a:solidFill>
            <a:round/>
          </a:ln>
          <a:effectLst/>
        </c:spPr>
        <c:txPr>
          <a:bodyPr rot="0" spcFirstLastPara="1" vertOverflow="ellipsis" wrap="square" anchor="ctr" anchorCtr="1"/>
          <a:lstStyle/>
          <a:p>
            <a:pPr>
              <a:defRPr sz="700" b="0" i="0" u="none" strike="noStrike" kern="1200" baseline="0">
                <a:solidFill>
                  <a:schemeClr val="tx1">
                    <a:lumMod val="65000"/>
                    <a:lumOff val="35000"/>
                  </a:schemeClr>
                </a:solidFill>
                <a:latin typeface="Calibri" panose="020F0502020204030204" pitchFamily="34" charset="0"/>
                <a:ea typeface="Calibri" panose="020F0502020204030204" pitchFamily="34" charset="0"/>
                <a:cs typeface="Calibri" panose="020F0502020204030204" pitchFamily="34" charset="0"/>
              </a:defRPr>
            </a:pPr>
            <a:endParaRPr lang="en-US"/>
          </a:p>
        </c:txPr>
        <c:crossAx val="1205390568"/>
        <c:crosses val="autoZero"/>
        <c:auto val="1"/>
        <c:lblOffset val="100"/>
        <c:baseTimeUnit val="months"/>
        <c:majorUnit val="2"/>
        <c:majorTimeUnit val="years"/>
        <c:minorUnit val="1"/>
        <c:minorTimeUnit val="years"/>
      </c:dateAx>
      <c:valAx>
        <c:axId val="1205390568"/>
        <c:scaling>
          <c:orientation val="minMax"/>
        </c:scaling>
        <c:delete val="0"/>
        <c:axPos val="l"/>
        <c:majorGridlines>
          <c:spPr>
            <a:ln w="6350" cap="flat" cmpd="sng" algn="ctr">
              <a:solidFill>
                <a:sysClr val="window" lastClr="FFFFFF">
                  <a:lumMod val="85000"/>
                </a:sysClr>
              </a:solidFill>
              <a:prstDash val="dash"/>
              <a:round/>
              <a:headEnd type="none" w="med" len="med"/>
              <a:tailEnd type="none" w="med" len="med"/>
            </a:ln>
            <a:effectLst/>
          </c:spPr>
        </c:majorGridlines>
        <c:numFmt formatCode="0" sourceLinked="0"/>
        <c:majorTickMark val="none"/>
        <c:minorTickMark val="none"/>
        <c:tickLblPos val="nextTo"/>
        <c:spPr>
          <a:noFill/>
          <a:ln>
            <a:solidFill>
              <a:schemeClr val="bg1">
                <a:lumMod val="50000"/>
              </a:schemeClr>
            </a:solid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Calibri" panose="020F0502020204030204" pitchFamily="34" charset="0"/>
                <a:ea typeface="Calibri" panose="020F0502020204030204" pitchFamily="34" charset="0"/>
                <a:cs typeface="Calibri" panose="020F0502020204030204" pitchFamily="34" charset="0"/>
              </a:defRPr>
            </a:pPr>
            <a:endParaRPr lang="en-US"/>
          </a:p>
        </c:txPr>
        <c:crossAx val="1205392728"/>
        <c:crosses val="autoZero"/>
        <c:crossBetween val="midCat"/>
        <c:dispUnits>
          <c:builtInUnit val="millions"/>
        </c:dispUnits>
      </c:valAx>
      <c:spPr>
        <a:noFill/>
        <a:ln>
          <a:noFill/>
        </a:ln>
        <a:effectLst/>
        <a:extLst>
          <a:ext uri="{909E8E84-426E-40DD-AFC4-6F175D3DCCD1}">
            <a14:hiddenFill xmlns:a14="http://schemas.microsoft.com/office/drawing/2010/main">
              <a:noFill/>
            </a14:hiddenFill>
          </a:ext>
        </a:ex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noFill/>
      <a:round/>
    </a:ln>
    <a:effectLst/>
    <a:extLst>
      <a:ext uri="{91240B29-F687-4F45-9708-019B960494DF}">
        <a14:hiddenLine xmlns:a14="http://schemas.microsoft.com/office/drawing/2010/main" w="9525" cap="flat" cmpd="sng" algn="ctr">
          <a:solidFill>
            <a:sysClr val="windowText" lastClr="000000">
              <a:lumMod val="15000"/>
              <a:lumOff val="85000"/>
            </a:sysClr>
          </a:solidFill>
          <a:round/>
        </a14:hiddenLine>
      </a:ext>
    </a:extLst>
  </c:spPr>
  <c:txPr>
    <a:bodyPr/>
    <a:lstStyle/>
    <a:p>
      <a:pPr>
        <a:defRPr sz="700">
          <a:latin typeface="+mn-lt"/>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233907968076761E-2"/>
          <c:y val="3.9652917344562472E-2"/>
          <c:w val="0.89686949342599775"/>
          <c:h val="0.78860846451472799"/>
        </c:manualLayout>
      </c:layout>
      <c:areaChart>
        <c:grouping val="stacked"/>
        <c:varyColors val="0"/>
        <c:ser>
          <c:idx val="7"/>
          <c:order val="1"/>
          <c:tx>
            <c:strRef>
              <c:f>'Chart 2.11 data'!$L$11</c:f>
              <c:strCache>
                <c:ptCount val="1"/>
                <c:pt idx="0">
                  <c:v>Other</c:v>
                </c:pt>
              </c:strCache>
            </c:strRef>
          </c:tx>
          <c:spPr>
            <a:solidFill>
              <a:schemeClr val="tx1">
                <a:lumMod val="65000"/>
                <a:lumOff val="35000"/>
              </a:schemeClr>
            </a:solidFill>
            <a:ln w="25400">
              <a:noFill/>
            </a:ln>
            <a:effectLst/>
          </c:spPr>
          <c:cat>
            <c:numRef>
              <c:f>'Chart 2.11 data'!$C$16:$C$189</c:f>
              <c:numCache>
                <c:formatCode>mmm"-"yyyy</c:formatCode>
                <c:ptCount val="174"/>
                <c:pt idx="0">
                  <c:v>36616</c:v>
                </c:pt>
                <c:pt idx="1">
                  <c:v>36707</c:v>
                </c:pt>
                <c:pt idx="2">
                  <c:v>36799</c:v>
                </c:pt>
                <c:pt idx="3">
                  <c:v>36891</c:v>
                </c:pt>
                <c:pt idx="4">
                  <c:v>36981</c:v>
                </c:pt>
                <c:pt idx="5">
                  <c:v>37072</c:v>
                </c:pt>
                <c:pt idx="6">
                  <c:v>37164</c:v>
                </c:pt>
                <c:pt idx="7">
                  <c:v>37256</c:v>
                </c:pt>
                <c:pt idx="8">
                  <c:v>37346</c:v>
                </c:pt>
                <c:pt idx="9">
                  <c:v>37437</c:v>
                </c:pt>
                <c:pt idx="10">
                  <c:v>37529</c:v>
                </c:pt>
                <c:pt idx="11">
                  <c:v>37621</c:v>
                </c:pt>
                <c:pt idx="12">
                  <c:v>37711</c:v>
                </c:pt>
                <c:pt idx="13">
                  <c:v>37802</c:v>
                </c:pt>
                <c:pt idx="14">
                  <c:v>37894</c:v>
                </c:pt>
                <c:pt idx="15">
                  <c:v>37986</c:v>
                </c:pt>
                <c:pt idx="16">
                  <c:v>38077</c:v>
                </c:pt>
                <c:pt idx="17">
                  <c:v>38168</c:v>
                </c:pt>
                <c:pt idx="18">
                  <c:v>38260</c:v>
                </c:pt>
                <c:pt idx="19">
                  <c:v>38352</c:v>
                </c:pt>
                <c:pt idx="20">
                  <c:v>38442</c:v>
                </c:pt>
                <c:pt idx="21">
                  <c:v>38533</c:v>
                </c:pt>
                <c:pt idx="22">
                  <c:v>38625</c:v>
                </c:pt>
                <c:pt idx="23">
                  <c:v>38717</c:v>
                </c:pt>
                <c:pt idx="24">
                  <c:v>38807</c:v>
                </c:pt>
                <c:pt idx="25">
                  <c:v>38898</c:v>
                </c:pt>
                <c:pt idx="26">
                  <c:v>38990</c:v>
                </c:pt>
                <c:pt idx="27">
                  <c:v>39082</c:v>
                </c:pt>
                <c:pt idx="28">
                  <c:v>39172</c:v>
                </c:pt>
                <c:pt idx="29">
                  <c:v>39263</c:v>
                </c:pt>
                <c:pt idx="30">
                  <c:v>39355</c:v>
                </c:pt>
                <c:pt idx="31">
                  <c:v>39447</c:v>
                </c:pt>
                <c:pt idx="32">
                  <c:v>39538</c:v>
                </c:pt>
                <c:pt idx="33">
                  <c:v>39629</c:v>
                </c:pt>
                <c:pt idx="34">
                  <c:v>39721</c:v>
                </c:pt>
                <c:pt idx="35">
                  <c:v>39813</c:v>
                </c:pt>
                <c:pt idx="36">
                  <c:v>39903</c:v>
                </c:pt>
                <c:pt idx="37">
                  <c:v>39994</c:v>
                </c:pt>
                <c:pt idx="38">
                  <c:v>40086</c:v>
                </c:pt>
                <c:pt idx="39">
                  <c:v>40178</c:v>
                </c:pt>
                <c:pt idx="40">
                  <c:v>40268</c:v>
                </c:pt>
                <c:pt idx="41">
                  <c:v>40359</c:v>
                </c:pt>
                <c:pt idx="42">
                  <c:v>40451</c:v>
                </c:pt>
                <c:pt idx="43">
                  <c:v>40543</c:v>
                </c:pt>
                <c:pt idx="44">
                  <c:v>40633</c:v>
                </c:pt>
                <c:pt idx="45">
                  <c:v>40724</c:v>
                </c:pt>
                <c:pt idx="46">
                  <c:v>40816</c:v>
                </c:pt>
                <c:pt idx="47">
                  <c:v>40908</c:v>
                </c:pt>
                <c:pt idx="48">
                  <c:v>40999</c:v>
                </c:pt>
                <c:pt idx="49">
                  <c:v>41090</c:v>
                </c:pt>
                <c:pt idx="50">
                  <c:v>41182</c:v>
                </c:pt>
                <c:pt idx="51">
                  <c:v>41274</c:v>
                </c:pt>
                <c:pt idx="52">
                  <c:v>41364</c:v>
                </c:pt>
                <c:pt idx="53">
                  <c:v>41455</c:v>
                </c:pt>
                <c:pt idx="54">
                  <c:v>41547</c:v>
                </c:pt>
                <c:pt idx="55">
                  <c:v>41639</c:v>
                </c:pt>
                <c:pt idx="56">
                  <c:v>41729</c:v>
                </c:pt>
                <c:pt idx="57">
                  <c:v>41820</c:v>
                </c:pt>
                <c:pt idx="58">
                  <c:v>41912</c:v>
                </c:pt>
                <c:pt idx="59">
                  <c:v>42004</c:v>
                </c:pt>
                <c:pt idx="60">
                  <c:v>42094</c:v>
                </c:pt>
                <c:pt idx="61">
                  <c:v>42185</c:v>
                </c:pt>
                <c:pt idx="62">
                  <c:v>42277</c:v>
                </c:pt>
                <c:pt idx="63">
                  <c:v>42369</c:v>
                </c:pt>
                <c:pt idx="64">
                  <c:v>42460</c:v>
                </c:pt>
                <c:pt idx="65">
                  <c:v>42551</c:v>
                </c:pt>
                <c:pt idx="66">
                  <c:v>42643</c:v>
                </c:pt>
                <c:pt idx="67">
                  <c:v>42735</c:v>
                </c:pt>
                <c:pt idx="68">
                  <c:v>42825</c:v>
                </c:pt>
                <c:pt idx="69">
                  <c:v>42916</c:v>
                </c:pt>
                <c:pt idx="70">
                  <c:v>43008</c:v>
                </c:pt>
                <c:pt idx="71">
                  <c:v>43100</c:v>
                </c:pt>
                <c:pt idx="72">
                  <c:v>43190</c:v>
                </c:pt>
                <c:pt idx="73">
                  <c:v>43281</c:v>
                </c:pt>
                <c:pt idx="74">
                  <c:v>43373</c:v>
                </c:pt>
                <c:pt idx="75">
                  <c:v>43465</c:v>
                </c:pt>
                <c:pt idx="76">
                  <c:v>43555</c:v>
                </c:pt>
                <c:pt idx="77">
                  <c:v>43646</c:v>
                </c:pt>
                <c:pt idx="78">
                  <c:v>43738</c:v>
                </c:pt>
                <c:pt idx="79">
                  <c:v>43830</c:v>
                </c:pt>
                <c:pt idx="80">
                  <c:v>43921</c:v>
                </c:pt>
                <c:pt idx="81">
                  <c:v>44012</c:v>
                </c:pt>
                <c:pt idx="82">
                  <c:v>44104</c:v>
                </c:pt>
                <c:pt idx="83">
                  <c:v>44196</c:v>
                </c:pt>
                <c:pt idx="84">
                  <c:v>44286</c:v>
                </c:pt>
                <c:pt idx="85">
                  <c:v>44377</c:v>
                </c:pt>
                <c:pt idx="86">
                  <c:v>44469</c:v>
                </c:pt>
                <c:pt idx="87">
                  <c:v>44561</c:v>
                </c:pt>
                <c:pt idx="88">
                  <c:v>44651</c:v>
                </c:pt>
                <c:pt idx="89">
                  <c:v>44742</c:v>
                </c:pt>
                <c:pt idx="90">
                  <c:v>44834</c:v>
                </c:pt>
                <c:pt idx="91">
                  <c:v>44926</c:v>
                </c:pt>
                <c:pt idx="92">
                  <c:v>45016</c:v>
                </c:pt>
                <c:pt idx="93">
                  <c:v>45107</c:v>
                </c:pt>
                <c:pt idx="94">
                  <c:v>45199</c:v>
                </c:pt>
                <c:pt idx="95">
                  <c:v>45291</c:v>
                </c:pt>
                <c:pt idx="96">
                  <c:v>45382</c:v>
                </c:pt>
                <c:pt idx="97">
                  <c:v>45473</c:v>
                </c:pt>
                <c:pt idx="98">
                  <c:v>45565</c:v>
                </c:pt>
                <c:pt idx="99">
                  <c:v>45657</c:v>
                </c:pt>
                <c:pt idx="100">
                  <c:v>45747</c:v>
                </c:pt>
                <c:pt idx="101">
                  <c:v>45838</c:v>
                </c:pt>
                <c:pt idx="102">
                  <c:v>45930</c:v>
                </c:pt>
                <c:pt idx="103">
                  <c:v>46022</c:v>
                </c:pt>
              </c:numCache>
            </c:numRef>
          </c:cat>
          <c:val>
            <c:numRef>
              <c:f>'Chart 2.11 data'!$L$16:$L$189</c:f>
              <c:numCache>
                <c:formatCode>0</c:formatCode>
                <c:ptCount val="174"/>
                <c:pt idx="0">
                  <c:v>168756.75</c:v>
                </c:pt>
                <c:pt idx="1">
                  <c:v>181475.75</c:v>
                </c:pt>
                <c:pt idx="2">
                  <c:v>197306.5</c:v>
                </c:pt>
                <c:pt idx="3">
                  <c:v>217827.5</c:v>
                </c:pt>
                <c:pt idx="4">
                  <c:v>231054.25</c:v>
                </c:pt>
                <c:pt idx="5">
                  <c:v>221360.5</c:v>
                </c:pt>
                <c:pt idx="6">
                  <c:v>230970.25</c:v>
                </c:pt>
                <c:pt idx="7">
                  <c:v>235388.25</c:v>
                </c:pt>
                <c:pt idx="8">
                  <c:v>243687.25</c:v>
                </c:pt>
                <c:pt idx="9">
                  <c:v>299138.5</c:v>
                </c:pt>
                <c:pt idx="10">
                  <c:v>425466.5</c:v>
                </c:pt>
                <c:pt idx="11">
                  <c:v>596307</c:v>
                </c:pt>
                <c:pt idx="12">
                  <c:v>783844.5</c:v>
                </c:pt>
                <c:pt idx="13">
                  <c:v>900912.75</c:v>
                </c:pt>
                <c:pt idx="14">
                  <c:v>949935.5</c:v>
                </c:pt>
                <c:pt idx="15">
                  <c:v>914238.75</c:v>
                </c:pt>
                <c:pt idx="16">
                  <c:v>848457.75</c:v>
                </c:pt>
                <c:pt idx="17">
                  <c:v>735071.75</c:v>
                </c:pt>
                <c:pt idx="18">
                  <c:v>600175.25</c:v>
                </c:pt>
                <c:pt idx="19">
                  <c:v>687179.5</c:v>
                </c:pt>
                <c:pt idx="20">
                  <c:v>834399</c:v>
                </c:pt>
                <c:pt idx="21">
                  <c:v>1010326.25</c:v>
                </c:pt>
                <c:pt idx="22">
                  <c:v>1208580</c:v>
                </c:pt>
                <c:pt idx="23">
                  <c:v>1107524.25</c:v>
                </c:pt>
                <c:pt idx="24">
                  <c:v>930147.5</c:v>
                </c:pt>
                <c:pt idx="25">
                  <c:v>744971.75</c:v>
                </c:pt>
                <c:pt idx="26">
                  <c:v>572829.75</c:v>
                </c:pt>
                <c:pt idx="27">
                  <c:v>482710.25</c:v>
                </c:pt>
                <c:pt idx="28">
                  <c:v>412424.5</c:v>
                </c:pt>
                <c:pt idx="29">
                  <c:v>430745</c:v>
                </c:pt>
                <c:pt idx="30">
                  <c:v>476832.25</c:v>
                </c:pt>
                <c:pt idx="31">
                  <c:v>533419.25</c:v>
                </c:pt>
                <c:pt idx="32">
                  <c:v>591470</c:v>
                </c:pt>
                <c:pt idx="33">
                  <c:v>530626</c:v>
                </c:pt>
                <c:pt idx="34">
                  <c:v>435705.25</c:v>
                </c:pt>
                <c:pt idx="35">
                  <c:v>370382.5</c:v>
                </c:pt>
                <c:pt idx="36">
                  <c:v>292465.5</c:v>
                </c:pt>
                <c:pt idx="37">
                  <c:v>293024.25</c:v>
                </c:pt>
                <c:pt idx="38">
                  <c:v>279031</c:v>
                </c:pt>
                <c:pt idx="39">
                  <c:v>1052869.5</c:v>
                </c:pt>
                <c:pt idx="40">
                  <c:v>1812387.25</c:v>
                </c:pt>
                <c:pt idx="41">
                  <c:v>2438939.75</c:v>
                </c:pt>
                <c:pt idx="42">
                  <c:v>2985444</c:v>
                </c:pt>
                <c:pt idx="43">
                  <c:v>2525115.5</c:v>
                </c:pt>
                <c:pt idx="44">
                  <c:v>2124895.5</c:v>
                </c:pt>
                <c:pt idx="45">
                  <c:v>1804242.75</c:v>
                </c:pt>
                <c:pt idx="46">
                  <c:v>1523409.5</c:v>
                </c:pt>
                <c:pt idx="47">
                  <c:v>1409403.25</c:v>
                </c:pt>
                <c:pt idx="48">
                  <c:v>1261317.75</c:v>
                </c:pt>
                <c:pt idx="49">
                  <c:v>1114486.5</c:v>
                </c:pt>
                <c:pt idx="50">
                  <c:v>938349.75</c:v>
                </c:pt>
                <c:pt idx="51">
                  <c:v>844264.5</c:v>
                </c:pt>
                <c:pt idx="52">
                  <c:v>763350.25</c:v>
                </c:pt>
                <c:pt idx="53">
                  <c:v>814189</c:v>
                </c:pt>
                <c:pt idx="54">
                  <c:v>931960.75</c:v>
                </c:pt>
                <c:pt idx="55">
                  <c:v>975169.75</c:v>
                </c:pt>
                <c:pt idx="56">
                  <c:v>1087784.75</c:v>
                </c:pt>
                <c:pt idx="57">
                  <c:v>1137194.25</c:v>
                </c:pt>
                <c:pt idx="58">
                  <c:v>1217105.5</c:v>
                </c:pt>
                <c:pt idx="59">
                  <c:v>1348702.5</c:v>
                </c:pt>
                <c:pt idx="60">
                  <c:v>1243244</c:v>
                </c:pt>
                <c:pt idx="61">
                  <c:v>1105264.75</c:v>
                </c:pt>
                <c:pt idx="62">
                  <c:v>910203.5</c:v>
                </c:pt>
                <c:pt idx="63">
                  <c:v>706454</c:v>
                </c:pt>
                <c:pt idx="64">
                  <c:v>637980</c:v>
                </c:pt>
                <c:pt idx="65">
                  <c:v>571050.25</c:v>
                </c:pt>
                <c:pt idx="66">
                  <c:v>512399.25</c:v>
                </c:pt>
                <c:pt idx="67">
                  <c:v>485611.75</c:v>
                </c:pt>
                <c:pt idx="68">
                  <c:v>467792.25</c:v>
                </c:pt>
                <c:pt idx="69">
                  <c:v>509246.75</c:v>
                </c:pt>
                <c:pt idx="70">
                  <c:v>550224.25</c:v>
                </c:pt>
                <c:pt idx="71">
                  <c:v>568725.25</c:v>
                </c:pt>
                <c:pt idx="72">
                  <c:v>624610.5</c:v>
                </c:pt>
                <c:pt idx="73">
                  <c:v>600899.25</c:v>
                </c:pt>
                <c:pt idx="74">
                  <c:v>585758.75</c:v>
                </c:pt>
                <c:pt idx="75">
                  <c:v>562743.5</c:v>
                </c:pt>
                <c:pt idx="76">
                  <c:v>522514</c:v>
                </c:pt>
                <c:pt idx="77">
                  <c:v>514544.25</c:v>
                </c:pt>
                <c:pt idx="78">
                  <c:v>493168.5</c:v>
                </c:pt>
                <c:pt idx="79">
                  <c:v>510273.5</c:v>
                </c:pt>
                <c:pt idx="80">
                  <c:v>516922.75</c:v>
                </c:pt>
                <c:pt idx="81">
                  <c:v>538846</c:v>
                </c:pt>
                <c:pt idx="82">
                  <c:v>504888.75</c:v>
                </c:pt>
                <c:pt idx="83">
                  <c:v>452772.75</c:v>
                </c:pt>
                <c:pt idx="84">
                  <c:v>403613</c:v>
                </c:pt>
                <c:pt idx="85">
                  <c:v>384246.25</c:v>
                </c:pt>
                <c:pt idx="86">
                  <c:v>467986</c:v>
                </c:pt>
                <c:pt idx="87">
                  <c:v>549114</c:v>
                </c:pt>
                <c:pt idx="88">
                  <c:v>696479</c:v>
                </c:pt>
                <c:pt idx="89">
                  <c:v>909973.75</c:v>
                </c:pt>
                <c:pt idx="90">
                  <c:v>1051087.75</c:v>
                </c:pt>
                <c:pt idx="91">
                  <c:v>1214192.5</c:v>
                </c:pt>
                <c:pt idx="92">
                  <c:v>1294251</c:v>
                </c:pt>
                <c:pt idx="93">
                  <c:v>1274871.25</c:v>
                </c:pt>
                <c:pt idx="94">
                  <c:v>1393789.5</c:v>
                </c:pt>
                <c:pt idx="95">
                  <c:v>1416634</c:v>
                </c:pt>
                <c:pt idx="96">
                  <c:v>1388804.25</c:v>
                </c:pt>
                <c:pt idx="97">
                  <c:v>1328107.25</c:v>
                </c:pt>
                <c:pt idx="98">
                  <c:v>1170197.5</c:v>
                </c:pt>
                <c:pt idx="99">
                  <c:v>983682.75</c:v>
                </c:pt>
                <c:pt idx="100">
                  <c:v>893815.5</c:v>
                </c:pt>
                <c:pt idx="101">
                  <c:v>863501.25</c:v>
                </c:pt>
                <c:pt idx="102">
                  <c:v>818123</c:v>
                </c:pt>
                <c:pt idx="103">
                  <c:v>830220.25</c:v>
                </c:pt>
              </c:numCache>
            </c:numRef>
          </c:val>
          <c:extLst>
            <c:ext xmlns:c16="http://schemas.microsoft.com/office/drawing/2014/chart" uri="{C3380CC4-5D6E-409C-BE32-E72D297353CC}">
              <c16:uniqueId val="{00000000-AFCF-4822-B81E-E6FEBF508857}"/>
            </c:ext>
          </c:extLst>
        </c:ser>
        <c:ser>
          <c:idx val="1"/>
          <c:order val="2"/>
          <c:tx>
            <c:strRef>
              <c:f>'Chart 2.11 data'!$E$11</c:f>
              <c:strCache>
                <c:ptCount val="1"/>
                <c:pt idx="0">
                  <c:v>Roads, highways and subdivisions</c:v>
                </c:pt>
              </c:strCache>
            </c:strRef>
          </c:tx>
          <c:spPr>
            <a:solidFill>
              <a:schemeClr val="tx1">
                <a:lumMod val="50000"/>
                <a:lumOff val="50000"/>
              </a:schemeClr>
            </a:solidFill>
            <a:ln w="19050">
              <a:noFill/>
            </a:ln>
            <a:effectLst/>
          </c:spPr>
          <c:cat>
            <c:numRef>
              <c:f>'Chart 2.11 data'!$C$16:$C$189</c:f>
              <c:numCache>
                <c:formatCode>mmm"-"yyyy</c:formatCode>
                <c:ptCount val="174"/>
                <c:pt idx="0">
                  <c:v>36616</c:v>
                </c:pt>
                <c:pt idx="1">
                  <c:v>36707</c:v>
                </c:pt>
                <c:pt idx="2">
                  <c:v>36799</c:v>
                </c:pt>
                <c:pt idx="3">
                  <c:v>36891</c:v>
                </c:pt>
                <c:pt idx="4">
                  <c:v>36981</c:v>
                </c:pt>
                <c:pt idx="5">
                  <c:v>37072</c:v>
                </c:pt>
                <c:pt idx="6">
                  <c:v>37164</c:v>
                </c:pt>
                <c:pt idx="7">
                  <c:v>37256</c:v>
                </c:pt>
                <c:pt idx="8">
                  <c:v>37346</c:v>
                </c:pt>
                <c:pt idx="9">
                  <c:v>37437</c:v>
                </c:pt>
                <c:pt idx="10">
                  <c:v>37529</c:v>
                </c:pt>
                <c:pt idx="11">
                  <c:v>37621</c:v>
                </c:pt>
                <c:pt idx="12">
                  <c:v>37711</c:v>
                </c:pt>
                <c:pt idx="13">
                  <c:v>37802</c:v>
                </c:pt>
                <c:pt idx="14">
                  <c:v>37894</c:v>
                </c:pt>
                <c:pt idx="15">
                  <c:v>37986</c:v>
                </c:pt>
                <c:pt idx="16">
                  <c:v>38077</c:v>
                </c:pt>
                <c:pt idx="17">
                  <c:v>38168</c:v>
                </c:pt>
                <c:pt idx="18">
                  <c:v>38260</c:v>
                </c:pt>
                <c:pt idx="19">
                  <c:v>38352</c:v>
                </c:pt>
                <c:pt idx="20">
                  <c:v>38442</c:v>
                </c:pt>
                <c:pt idx="21">
                  <c:v>38533</c:v>
                </c:pt>
                <c:pt idx="22">
                  <c:v>38625</c:v>
                </c:pt>
                <c:pt idx="23">
                  <c:v>38717</c:v>
                </c:pt>
                <c:pt idx="24">
                  <c:v>38807</c:v>
                </c:pt>
                <c:pt idx="25">
                  <c:v>38898</c:v>
                </c:pt>
                <c:pt idx="26">
                  <c:v>38990</c:v>
                </c:pt>
                <c:pt idx="27">
                  <c:v>39082</c:v>
                </c:pt>
                <c:pt idx="28">
                  <c:v>39172</c:v>
                </c:pt>
                <c:pt idx="29">
                  <c:v>39263</c:v>
                </c:pt>
                <c:pt idx="30">
                  <c:v>39355</c:v>
                </c:pt>
                <c:pt idx="31">
                  <c:v>39447</c:v>
                </c:pt>
                <c:pt idx="32">
                  <c:v>39538</c:v>
                </c:pt>
                <c:pt idx="33">
                  <c:v>39629</c:v>
                </c:pt>
                <c:pt idx="34">
                  <c:v>39721</c:v>
                </c:pt>
                <c:pt idx="35">
                  <c:v>39813</c:v>
                </c:pt>
                <c:pt idx="36">
                  <c:v>39903</c:v>
                </c:pt>
                <c:pt idx="37">
                  <c:v>39994</c:v>
                </c:pt>
                <c:pt idx="38">
                  <c:v>40086</c:v>
                </c:pt>
                <c:pt idx="39">
                  <c:v>40178</c:v>
                </c:pt>
                <c:pt idx="40">
                  <c:v>40268</c:v>
                </c:pt>
                <c:pt idx="41">
                  <c:v>40359</c:v>
                </c:pt>
                <c:pt idx="42">
                  <c:v>40451</c:v>
                </c:pt>
                <c:pt idx="43">
                  <c:v>40543</c:v>
                </c:pt>
                <c:pt idx="44">
                  <c:v>40633</c:v>
                </c:pt>
                <c:pt idx="45">
                  <c:v>40724</c:v>
                </c:pt>
                <c:pt idx="46">
                  <c:v>40816</c:v>
                </c:pt>
                <c:pt idx="47">
                  <c:v>40908</c:v>
                </c:pt>
                <c:pt idx="48">
                  <c:v>40999</c:v>
                </c:pt>
                <c:pt idx="49">
                  <c:v>41090</c:v>
                </c:pt>
                <c:pt idx="50">
                  <c:v>41182</c:v>
                </c:pt>
                <c:pt idx="51">
                  <c:v>41274</c:v>
                </c:pt>
                <c:pt idx="52">
                  <c:v>41364</c:v>
                </c:pt>
                <c:pt idx="53">
                  <c:v>41455</c:v>
                </c:pt>
                <c:pt idx="54">
                  <c:v>41547</c:v>
                </c:pt>
                <c:pt idx="55">
                  <c:v>41639</c:v>
                </c:pt>
                <c:pt idx="56">
                  <c:v>41729</c:v>
                </c:pt>
                <c:pt idx="57">
                  <c:v>41820</c:v>
                </c:pt>
                <c:pt idx="58">
                  <c:v>41912</c:v>
                </c:pt>
                <c:pt idx="59">
                  <c:v>42004</c:v>
                </c:pt>
                <c:pt idx="60">
                  <c:v>42094</c:v>
                </c:pt>
                <c:pt idx="61">
                  <c:v>42185</c:v>
                </c:pt>
                <c:pt idx="62">
                  <c:v>42277</c:v>
                </c:pt>
                <c:pt idx="63">
                  <c:v>42369</c:v>
                </c:pt>
                <c:pt idx="64">
                  <c:v>42460</c:v>
                </c:pt>
                <c:pt idx="65">
                  <c:v>42551</c:v>
                </c:pt>
                <c:pt idx="66">
                  <c:v>42643</c:v>
                </c:pt>
                <c:pt idx="67">
                  <c:v>42735</c:v>
                </c:pt>
                <c:pt idx="68">
                  <c:v>42825</c:v>
                </c:pt>
                <c:pt idx="69">
                  <c:v>42916</c:v>
                </c:pt>
                <c:pt idx="70">
                  <c:v>43008</c:v>
                </c:pt>
                <c:pt idx="71">
                  <c:v>43100</c:v>
                </c:pt>
                <c:pt idx="72">
                  <c:v>43190</c:v>
                </c:pt>
                <c:pt idx="73">
                  <c:v>43281</c:v>
                </c:pt>
                <c:pt idx="74">
                  <c:v>43373</c:v>
                </c:pt>
                <c:pt idx="75">
                  <c:v>43465</c:v>
                </c:pt>
                <c:pt idx="76">
                  <c:v>43555</c:v>
                </c:pt>
                <c:pt idx="77">
                  <c:v>43646</c:v>
                </c:pt>
                <c:pt idx="78">
                  <c:v>43738</c:v>
                </c:pt>
                <c:pt idx="79">
                  <c:v>43830</c:v>
                </c:pt>
                <c:pt idx="80">
                  <c:v>43921</c:v>
                </c:pt>
                <c:pt idx="81">
                  <c:v>44012</c:v>
                </c:pt>
                <c:pt idx="82">
                  <c:v>44104</c:v>
                </c:pt>
                <c:pt idx="83">
                  <c:v>44196</c:v>
                </c:pt>
                <c:pt idx="84">
                  <c:v>44286</c:v>
                </c:pt>
                <c:pt idx="85">
                  <c:v>44377</c:v>
                </c:pt>
                <c:pt idx="86">
                  <c:v>44469</c:v>
                </c:pt>
                <c:pt idx="87">
                  <c:v>44561</c:v>
                </c:pt>
                <c:pt idx="88">
                  <c:v>44651</c:v>
                </c:pt>
                <c:pt idx="89">
                  <c:v>44742</c:v>
                </c:pt>
                <c:pt idx="90">
                  <c:v>44834</c:v>
                </c:pt>
                <c:pt idx="91">
                  <c:v>44926</c:v>
                </c:pt>
                <c:pt idx="92">
                  <c:v>45016</c:v>
                </c:pt>
                <c:pt idx="93">
                  <c:v>45107</c:v>
                </c:pt>
                <c:pt idx="94">
                  <c:v>45199</c:v>
                </c:pt>
                <c:pt idx="95">
                  <c:v>45291</c:v>
                </c:pt>
                <c:pt idx="96">
                  <c:v>45382</c:v>
                </c:pt>
                <c:pt idx="97">
                  <c:v>45473</c:v>
                </c:pt>
                <c:pt idx="98">
                  <c:v>45565</c:v>
                </c:pt>
                <c:pt idx="99">
                  <c:v>45657</c:v>
                </c:pt>
                <c:pt idx="100">
                  <c:v>45747</c:v>
                </c:pt>
                <c:pt idx="101">
                  <c:v>45838</c:v>
                </c:pt>
                <c:pt idx="102">
                  <c:v>45930</c:v>
                </c:pt>
                <c:pt idx="103">
                  <c:v>46022</c:v>
                </c:pt>
              </c:numCache>
            </c:numRef>
          </c:cat>
          <c:val>
            <c:numRef>
              <c:f>'Chart 2.11 data'!$E$16:$E$189</c:f>
              <c:numCache>
                <c:formatCode>0</c:formatCode>
                <c:ptCount val="174"/>
                <c:pt idx="0">
                  <c:v>121073.25</c:v>
                </c:pt>
                <c:pt idx="1">
                  <c:v>113148</c:v>
                </c:pt>
                <c:pt idx="2">
                  <c:v>91047</c:v>
                </c:pt>
                <c:pt idx="3">
                  <c:v>79191</c:v>
                </c:pt>
                <c:pt idx="4">
                  <c:v>71122</c:v>
                </c:pt>
                <c:pt idx="5">
                  <c:v>71933.5</c:v>
                </c:pt>
                <c:pt idx="6">
                  <c:v>81607</c:v>
                </c:pt>
                <c:pt idx="7">
                  <c:v>95912.5</c:v>
                </c:pt>
                <c:pt idx="8">
                  <c:v>107029.25</c:v>
                </c:pt>
                <c:pt idx="9">
                  <c:v>110394</c:v>
                </c:pt>
                <c:pt idx="10">
                  <c:v>112069</c:v>
                </c:pt>
                <c:pt idx="11">
                  <c:v>111910.75</c:v>
                </c:pt>
                <c:pt idx="12">
                  <c:v>118142.75</c:v>
                </c:pt>
                <c:pt idx="13">
                  <c:v>132926.5</c:v>
                </c:pt>
                <c:pt idx="14">
                  <c:v>137689.75</c:v>
                </c:pt>
                <c:pt idx="15">
                  <c:v>141842</c:v>
                </c:pt>
                <c:pt idx="16">
                  <c:v>145316.75</c:v>
                </c:pt>
                <c:pt idx="17">
                  <c:v>132081.75</c:v>
                </c:pt>
                <c:pt idx="18">
                  <c:v>139754.75</c:v>
                </c:pt>
                <c:pt idx="19">
                  <c:v>147646.25</c:v>
                </c:pt>
                <c:pt idx="20">
                  <c:v>742445.5</c:v>
                </c:pt>
                <c:pt idx="21">
                  <c:v>1332676</c:v>
                </c:pt>
                <c:pt idx="22">
                  <c:v>1864562.5</c:v>
                </c:pt>
                <c:pt idx="23">
                  <c:v>2349581.5</c:v>
                </c:pt>
                <c:pt idx="24">
                  <c:v>2227703.25</c:v>
                </c:pt>
                <c:pt idx="25">
                  <c:v>2054199.25</c:v>
                </c:pt>
                <c:pt idx="26">
                  <c:v>1839871.5</c:v>
                </c:pt>
                <c:pt idx="27">
                  <c:v>1603565.75</c:v>
                </c:pt>
                <c:pt idx="28">
                  <c:v>1305528.25</c:v>
                </c:pt>
                <c:pt idx="29">
                  <c:v>988874.25</c:v>
                </c:pt>
                <c:pt idx="30">
                  <c:v>721184.5</c:v>
                </c:pt>
                <c:pt idx="31">
                  <c:v>485553</c:v>
                </c:pt>
                <c:pt idx="32">
                  <c:v>317208</c:v>
                </c:pt>
                <c:pt idx="33">
                  <c:v>237581.25</c:v>
                </c:pt>
                <c:pt idx="34">
                  <c:v>188976.25</c:v>
                </c:pt>
                <c:pt idx="35">
                  <c:v>167425.75</c:v>
                </c:pt>
                <c:pt idx="36">
                  <c:v>146831.75</c:v>
                </c:pt>
                <c:pt idx="37">
                  <c:v>118072.5</c:v>
                </c:pt>
                <c:pt idx="38">
                  <c:v>99540</c:v>
                </c:pt>
                <c:pt idx="39">
                  <c:v>94696.5</c:v>
                </c:pt>
                <c:pt idx="40">
                  <c:v>98893.75</c:v>
                </c:pt>
                <c:pt idx="41">
                  <c:v>107094</c:v>
                </c:pt>
                <c:pt idx="42">
                  <c:v>108866.5</c:v>
                </c:pt>
                <c:pt idx="43">
                  <c:v>117034</c:v>
                </c:pt>
                <c:pt idx="44">
                  <c:v>136093</c:v>
                </c:pt>
                <c:pt idx="45">
                  <c:v>161436.5</c:v>
                </c:pt>
                <c:pt idx="46">
                  <c:v>180310</c:v>
                </c:pt>
                <c:pt idx="47">
                  <c:v>198846.75</c:v>
                </c:pt>
                <c:pt idx="48">
                  <c:v>186489.5</c:v>
                </c:pt>
                <c:pt idx="49">
                  <c:v>157504.5</c:v>
                </c:pt>
                <c:pt idx="50">
                  <c:v>148008</c:v>
                </c:pt>
                <c:pt idx="51">
                  <c:v>142604</c:v>
                </c:pt>
                <c:pt idx="52">
                  <c:v>211521.5</c:v>
                </c:pt>
                <c:pt idx="53">
                  <c:v>231962.5</c:v>
                </c:pt>
                <c:pt idx="54">
                  <c:v>230686.25</c:v>
                </c:pt>
                <c:pt idx="55">
                  <c:v>217991.5</c:v>
                </c:pt>
                <c:pt idx="56">
                  <c:v>138805</c:v>
                </c:pt>
                <c:pt idx="57">
                  <c:v>233727.5</c:v>
                </c:pt>
                <c:pt idx="58">
                  <c:v>314254</c:v>
                </c:pt>
                <c:pt idx="59">
                  <c:v>760139.25</c:v>
                </c:pt>
                <c:pt idx="60">
                  <c:v>844114</c:v>
                </c:pt>
                <c:pt idx="61">
                  <c:v>931318</c:v>
                </c:pt>
                <c:pt idx="62">
                  <c:v>1030706.5</c:v>
                </c:pt>
                <c:pt idx="63">
                  <c:v>745465.75</c:v>
                </c:pt>
                <c:pt idx="64">
                  <c:v>821607.25</c:v>
                </c:pt>
                <c:pt idx="65">
                  <c:v>785766.5</c:v>
                </c:pt>
                <c:pt idx="66">
                  <c:v>712011.75</c:v>
                </c:pt>
                <c:pt idx="67">
                  <c:v>626557</c:v>
                </c:pt>
                <c:pt idx="68">
                  <c:v>538793.25</c:v>
                </c:pt>
                <c:pt idx="69">
                  <c:v>444442.25</c:v>
                </c:pt>
                <c:pt idx="70">
                  <c:v>378805</c:v>
                </c:pt>
                <c:pt idx="71">
                  <c:v>347359.75</c:v>
                </c:pt>
                <c:pt idx="72">
                  <c:v>1559655</c:v>
                </c:pt>
                <c:pt idx="73">
                  <c:v>2746361</c:v>
                </c:pt>
                <c:pt idx="74">
                  <c:v>3879165.75</c:v>
                </c:pt>
                <c:pt idx="75">
                  <c:v>4974854.25</c:v>
                </c:pt>
                <c:pt idx="76">
                  <c:v>4783230.75</c:v>
                </c:pt>
                <c:pt idx="77">
                  <c:v>4577863.5</c:v>
                </c:pt>
                <c:pt idx="78">
                  <c:v>4393347.5</c:v>
                </c:pt>
                <c:pt idx="79">
                  <c:v>4178653.25</c:v>
                </c:pt>
                <c:pt idx="80">
                  <c:v>3948148</c:v>
                </c:pt>
                <c:pt idx="81">
                  <c:v>3686614.5</c:v>
                </c:pt>
                <c:pt idx="82">
                  <c:v>3398145.5</c:v>
                </c:pt>
                <c:pt idx="83">
                  <c:v>3087382.5</c:v>
                </c:pt>
                <c:pt idx="84">
                  <c:v>2801393.75</c:v>
                </c:pt>
                <c:pt idx="85">
                  <c:v>2617347</c:v>
                </c:pt>
                <c:pt idx="86">
                  <c:v>2480632.5</c:v>
                </c:pt>
                <c:pt idx="87">
                  <c:v>3019628.5</c:v>
                </c:pt>
                <c:pt idx="88">
                  <c:v>3785342</c:v>
                </c:pt>
                <c:pt idx="89">
                  <c:v>4433441.25</c:v>
                </c:pt>
                <c:pt idx="90">
                  <c:v>5011998.25</c:v>
                </c:pt>
                <c:pt idx="91">
                  <c:v>4914179.5</c:v>
                </c:pt>
                <c:pt idx="92">
                  <c:v>4459391.25</c:v>
                </c:pt>
                <c:pt idx="93">
                  <c:v>3972691.5</c:v>
                </c:pt>
                <c:pt idx="94">
                  <c:v>3402358.25</c:v>
                </c:pt>
                <c:pt idx="95">
                  <c:v>2874867.75</c:v>
                </c:pt>
                <c:pt idx="96">
                  <c:v>2504257</c:v>
                </c:pt>
                <c:pt idx="97">
                  <c:v>2312893.5</c:v>
                </c:pt>
                <c:pt idx="98">
                  <c:v>2236647.5</c:v>
                </c:pt>
                <c:pt idx="99">
                  <c:v>2099731.25</c:v>
                </c:pt>
                <c:pt idx="100">
                  <c:v>1915527.5</c:v>
                </c:pt>
                <c:pt idx="101">
                  <c:v>1677392.25</c:v>
                </c:pt>
                <c:pt idx="102">
                  <c:v>1448549.75</c:v>
                </c:pt>
                <c:pt idx="103">
                  <c:v>1289835.75</c:v>
                </c:pt>
              </c:numCache>
            </c:numRef>
          </c:val>
          <c:extLst>
            <c:ext xmlns:c16="http://schemas.microsoft.com/office/drawing/2014/chart" uri="{C3380CC4-5D6E-409C-BE32-E72D297353CC}">
              <c16:uniqueId val="{00000001-AFCF-4822-B81E-E6FEBF508857}"/>
            </c:ext>
          </c:extLst>
        </c:ser>
        <c:ser>
          <c:idx val="3"/>
          <c:order val="3"/>
          <c:tx>
            <c:strRef>
              <c:f>'Chart 2.11 data'!$G$11</c:f>
              <c:strCache>
                <c:ptCount val="1"/>
                <c:pt idx="0">
                  <c:v>Electricity and pipelines</c:v>
                </c:pt>
              </c:strCache>
            </c:strRef>
          </c:tx>
          <c:spPr>
            <a:solidFill>
              <a:schemeClr val="bg1">
                <a:lumMod val="75000"/>
              </a:schemeClr>
            </a:solidFill>
            <a:ln w="19050">
              <a:noFill/>
            </a:ln>
            <a:effectLst/>
          </c:spPr>
          <c:cat>
            <c:numRef>
              <c:f>'Chart 2.11 data'!$C$16:$C$189</c:f>
              <c:numCache>
                <c:formatCode>mmm"-"yyyy</c:formatCode>
                <c:ptCount val="174"/>
                <c:pt idx="0">
                  <c:v>36616</c:v>
                </c:pt>
                <c:pt idx="1">
                  <c:v>36707</c:v>
                </c:pt>
                <c:pt idx="2">
                  <c:v>36799</c:v>
                </c:pt>
                <c:pt idx="3">
                  <c:v>36891</c:v>
                </c:pt>
                <c:pt idx="4">
                  <c:v>36981</c:v>
                </c:pt>
                <c:pt idx="5">
                  <c:v>37072</c:v>
                </c:pt>
                <c:pt idx="6">
                  <c:v>37164</c:v>
                </c:pt>
                <c:pt idx="7">
                  <c:v>37256</c:v>
                </c:pt>
                <c:pt idx="8">
                  <c:v>37346</c:v>
                </c:pt>
                <c:pt idx="9">
                  <c:v>37437</c:v>
                </c:pt>
                <c:pt idx="10">
                  <c:v>37529</c:v>
                </c:pt>
                <c:pt idx="11">
                  <c:v>37621</c:v>
                </c:pt>
                <c:pt idx="12">
                  <c:v>37711</c:v>
                </c:pt>
                <c:pt idx="13">
                  <c:v>37802</c:v>
                </c:pt>
                <c:pt idx="14">
                  <c:v>37894</c:v>
                </c:pt>
                <c:pt idx="15">
                  <c:v>37986</c:v>
                </c:pt>
                <c:pt idx="16">
                  <c:v>38077</c:v>
                </c:pt>
                <c:pt idx="17">
                  <c:v>38168</c:v>
                </c:pt>
                <c:pt idx="18">
                  <c:v>38260</c:v>
                </c:pt>
                <c:pt idx="19">
                  <c:v>38352</c:v>
                </c:pt>
                <c:pt idx="20">
                  <c:v>38442</c:v>
                </c:pt>
                <c:pt idx="21">
                  <c:v>38533</c:v>
                </c:pt>
                <c:pt idx="22">
                  <c:v>38625</c:v>
                </c:pt>
                <c:pt idx="23">
                  <c:v>38717</c:v>
                </c:pt>
                <c:pt idx="24">
                  <c:v>38807</c:v>
                </c:pt>
                <c:pt idx="25">
                  <c:v>38898</c:v>
                </c:pt>
                <c:pt idx="26">
                  <c:v>38990</c:v>
                </c:pt>
                <c:pt idx="27">
                  <c:v>39082</c:v>
                </c:pt>
                <c:pt idx="28">
                  <c:v>39172</c:v>
                </c:pt>
                <c:pt idx="29">
                  <c:v>39263</c:v>
                </c:pt>
                <c:pt idx="30">
                  <c:v>39355</c:v>
                </c:pt>
                <c:pt idx="31">
                  <c:v>39447</c:v>
                </c:pt>
                <c:pt idx="32">
                  <c:v>39538</c:v>
                </c:pt>
                <c:pt idx="33">
                  <c:v>39629</c:v>
                </c:pt>
                <c:pt idx="34">
                  <c:v>39721</c:v>
                </c:pt>
                <c:pt idx="35">
                  <c:v>39813</c:v>
                </c:pt>
                <c:pt idx="36">
                  <c:v>39903</c:v>
                </c:pt>
                <c:pt idx="37">
                  <c:v>39994</c:v>
                </c:pt>
                <c:pt idx="38">
                  <c:v>40086</c:v>
                </c:pt>
                <c:pt idx="39">
                  <c:v>40178</c:v>
                </c:pt>
                <c:pt idx="40">
                  <c:v>40268</c:v>
                </c:pt>
                <c:pt idx="41">
                  <c:v>40359</c:v>
                </c:pt>
                <c:pt idx="42">
                  <c:v>40451</c:v>
                </c:pt>
                <c:pt idx="43">
                  <c:v>40543</c:v>
                </c:pt>
                <c:pt idx="44">
                  <c:v>40633</c:v>
                </c:pt>
                <c:pt idx="45">
                  <c:v>40724</c:v>
                </c:pt>
                <c:pt idx="46">
                  <c:v>40816</c:v>
                </c:pt>
                <c:pt idx="47">
                  <c:v>40908</c:v>
                </c:pt>
                <c:pt idx="48">
                  <c:v>40999</c:v>
                </c:pt>
                <c:pt idx="49">
                  <c:v>41090</c:v>
                </c:pt>
                <c:pt idx="50">
                  <c:v>41182</c:v>
                </c:pt>
                <c:pt idx="51">
                  <c:v>41274</c:v>
                </c:pt>
                <c:pt idx="52">
                  <c:v>41364</c:v>
                </c:pt>
                <c:pt idx="53">
                  <c:v>41455</c:v>
                </c:pt>
                <c:pt idx="54">
                  <c:v>41547</c:v>
                </c:pt>
                <c:pt idx="55">
                  <c:v>41639</c:v>
                </c:pt>
                <c:pt idx="56">
                  <c:v>41729</c:v>
                </c:pt>
                <c:pt idx="57">
                  <c:v>41820</c:v>
                </c:pt>
                <c:pt idx="58">
                  <c:v>41912</c:v>
                </c:pt>
                <c:pt idx="59">
                  <c:v>42004</c:v>
                </c:pt>
                <c:pt idx="60">
                  <c:v>42094</c:v>
                </c:pt>
                <c:pt idx="61">
                  <c:v>42185</c:v>
                </c:pt>
                <c:pt idx="62">
                  <c:v>42277</c:v>
                </c:pt>
                <c:pt idx="63">
                  <c:v>42369</c:v>
                </c:pt>
                <c:pt idx="64">
                  <c:v>42460</c:v>
                </c:pt>
                <c:pt idx="65">
                  <c:v>42551</c:v>
                </c:pt>
                <c:pt idx="66">
                  <c:v>42643</c:v>
                </c:pt>
                <c:pt idx="67">
                  <c:v>42735</c:v>
                </c:pt>
                <c:pt idx="68">
                  <c:v>42825</c:v>
                </c:pt>
                <c:pt idx="69">
                  <c:v>42916</c:v>
                </c:pt>
                <c:pt idx="70">
                  <c:v>43008</c:v>
                </c:pt>
                <c:pt idx="71">
                  <c:v>43100</c:v>
                </c:pt>
                <c:pt idx="72">
                  <c:v>43190</c:v>
                </c:pt>
                <c:pt idx="73">
                  <c:v>43281</c:v>
                </c:pt>
                <c:pt idx="74">
                  <c:v>43373</c:v>
                </c:pt>
                <c:pt idx="75">
                  <c:v>43465</c:v>
                </c:pt>
                <c:pt idx="76">
                  <c:v>43555</c:v>
                </c:pt>
                <c:pt idx="77">
                  <c:v>43646</c:v>
                </c:pt>
                <c:pt idx="78">
                  <c:v>43738</c:v>
                </c:pt>
                <c:pt idx="79">
                  <c:v>43830</c:v>
                </c:pt>
                <c:pt idx="80">
                  <c:v>43921</c:v>
                </c:pt>
                <c:pt idx="81">
                  <c:v>44012</c:v>
                </c:pt>
                <c:pt idx="82">
                  <c:v>44104</c:v>
                </c:pt>
                <c:pt idx="83">
                  <c:v>44196</c:v>
                </c:pt>
                <c:pt idx="84">
                  <c:v>44286</c:v>
                </c:pt>
                <c:pt idx="85">
                  <c:v>44377</c:v>
                </c:pt>
                <c:pt idx="86">
                  <c:v>44469</c:v>
                </c:pt>
                <c:pt idx="87">
                  <c:v>44561</c:v>
                </c:pt>
                <c:pt idx="88">
                  <c:v>44651</c:v>
                </c:pt>
                <c:pt idx="89">
                  <c:v>44742</c:v>
                </c:pt>
                <c:pt idx="90">
                  <c:v>44834</c:v>
                </c:pt>
                <c:pt idx="91">
                  <c:v>44926</c:v>
                </c:pt>
                <c:pt idx="92">
                  <c:v>45016</c:v>
                </c:pt>
                <c:pt idx="93">
                  <c:v>45107</c:v>
                </c:pt>
                <c:pt idx="94">
                  <c:v>45199</c:v>
                </c:pt>
                <c:pt idx="95">
                  <c:v>45291</c:v>
                </c:pt>
                <c:pt idx="96">
                  <c:v>45382</c:v>
                </c:pt>
                <c:pt idx="97">
                  <c:v>45473</c:v>
                </c:pt>
                <c:pt idx="98">
                  <c:v>45565</c:v>
                </c:pt>
                <c:pt idx="99">
                  <c:v>45657</c:v>
                </c:pt>
                <c:pt idx="100">
                  <c:v>45747</c:v>
                </c:pt>
                <c:pt idx="101">
                  <c:v>45838</c:v>
                </c:pt>
                <c:pt idx="102">
                  <c:v>45930</c:v>
                </c:pt>
                <c:pt idx="103">
                  <c:v>46022</c:v>
                </c:pt>
              </c:numCache>
            </c:numRef>
          </c:cat>
          <c:val>
            <c:numRef>
              <c:f>'Chart 2.11 data'!$G$16:$G$189</c:f>
              <c:numCache>
                <c:formatCode>0</c:formatCode>
                <c:ptCount val="174"/>
                <c:pt idx="0">
                  <c:v>250581.5</c:v>
                </c:pt>
                <c:pt idx="1">
                  <c:v>253031.75</c:v>
                </c:pt>
                <c:pt idx="2">
                  <c:v>243106.75</c:v>
                </c:pt>
                <c:pt idx="3">
                  <c:v>210062.5</c:v>
                </c:pt>
                <c:pt idx="4">
                  <c:v>188404</c:v>
                </c:pt>
                <c:pt idx="5">
                  <c:v>173908.25</c:v>
                </c:pt>
                <c:pt idx="6">
                  <c:v>181556.75</c:v>
                </c:pt>
                <c:pt idx="7">
                  <c:v>185925.75</c:v>
                </c:pt>
                <c:pt idx="8">
                  <c:v>225535.25</c:v>
                </c:pt>
                <c:pt idx="9">
                  <c:v>278639.25</c:v>
                </c:pt>
                <c:pt idx="10">
                  <c:v>312929.5</c:v>
                </c:pt>
                <c:pt idx="11">
                  <c:v>389641.75</c:v>
                </c:pt>
                <c:pt idx="12">
                  <c:v>430148</c:v>
                </c:pt>
                <c:pt idx="13">
                  <c:v>438219</c:v>
                </c:pt>
                <c:pt idx="14">
                  <c:v>442178.75</c:v>
                </c:pt>
                <c:pt idx="15">
                  <c:v>395471.5</c:v>
                </c:pt>
                <c:pt idx="16">
                  <c:v>429305</c:v>
                </c:pt>
                <c:pt idx="17">
                  <c:v>463977</c:v>
                </c:pt>
                <c:pt idx="18">
                  <c:v>467767</c:v>
                </c:pt>
                <c:pt idx="19">
                  <c:v>513782.5</c:v>
                </c:pt>
                <c:pt idx="20">
                  <c:v>517487</c:v>
                </c:pt>
                <c:pt idx="21">
                  <c:v>583800.75</c:v>
                </c:pt>
                <c:pt idx="22">
                  <c:v>624986.75</c:v>
                </c:pt>
                <c:pt idx="23">
                  <c:v>625846.5</c:v>
                </c:pt>
                <c:pt idx="24">
                  <c:v>579992</c:v>
                </c:pt>
                <c:pt idx="25">
                  <c:v>475292.5</c:v>
                </c:pt>
                <c:pt idx="26">
                  <c:v>455398</c:v>
                </c:pt>
                <c:pt idx="27">
                  <c:v>457768.5</c:v>
                </c:pt>
                <c:pt idx="28">
                  <c:v>515697</c:v>
                </c:pt>
                <c:pt idx="29">
                  <c:v>571011.5</c:v>
                </c:pt>
                <c:pt idx="30">
                  <c:v>712293.25</c:v>
                </c:pt>
                <c:pt idx="31">
                  <c:v>835155.25</c:v>
                </c:pt>
                <c:pt idx="32">
                  <c:v>833726.25</c:v>
                </c:pt>
                <c:pt idx="33">
                  <c:v>1008478.25</c:v>
                </c:pt>
                <c:pt idx="34">
                  <c:v>1063592.75</c:v>
                </c:pt>
                <c:pt idx="35">
                  <c:v>1057080.5</c:v>
                </c:pt>
                <c:pt idx="36">
                  <c:v>1094349.75</c:v>
                </c:pt>
                <c:pt idx="37">
                  <c:v>975464.25</c:v>
                </c:pt>
                <c:pt idx="38">
                  <c:v>905612</c:v>
                </c:pt>
                <c:pt idx="39">
                  <c:v>880380.25</c:v>
                </c:pt>
                <c:pt idx="40">
                  <c:v>843026</c:v>
                </c:pt>
                <c:pt idx="41">
                  <c:v>806896.25</c:v>
                </c:pt>
                <c:pt idx="42">
                  <c:v>990110.25</c:v>
                </c:pt>
                <c:pt idx="43">
                  <c:v>1230865</c:v>
                </c:pt>
                <c:pt idx="44">
                  <c:v>1578556.75</c:v>
                </c:pt>
                <c:pt idx="45">
                  <c:v>1822072.75</c:v>
                </c:pt>
                <c:pt idx="46">
                  <c:v>1741122</c:v>
                </c:pt>
                <c:pt idx="47">
                  <c:v>1667559</c:v>
                </c:pt>
                <c:pt idx="48">
                  <c:v>1556593.25</c:v>
                </c:pt>
                <c:pt idx="49">
                  <c:v>1577458.75</c:v>
                </c:pt>
                <c:pt idx="50">
                  <c:v>1616414.5</c:v>
                </c:pt>
                <c:pt idx="51">
                  <c:v>1568067.25</c:v>
                </c:pt>
                <c:pt idx="52">
                  <c:v>1426353.25</c:v>
                </c:pt>
                <c:pt idx="53">
                  <c:v>1259700.75</c:v>
                </c:pt>
                <c:pt idx="54">
                  <c:v>1325626.25</c:v>
                </c:pt>
                <c:pt idx="55">
                  <c:v>1563415</c:v>
                </c:pt>
                <c:pt idx="56">
                  <c:v>1845405.75</c:v>
                </c:pt>
                <c:pt idx="57">
                  <c:v>2174647</c:v>
                </c:pt>
                <c:pt idx="58">
                  <c:v>2275707.5</c:v>
                </c:pt>
                <c:pt idx="59">
                  <c:v>2179694.75</c:v>
                </c:pt>
                <c:pt idx="60">
                  <c:v>2066829.5</c:v>
                </c:pt>
                <c:pt idx="61">
                  <c:v>1914785</c:v>
                </c:pt>
                <c:pt idx="62">
                  <c:v>1754750.5</c:v>
                </c:pt>
                <c:pt idx="63">
                  <c:v>1707138.5</c:v>
                </c:pt>
                <c:pt idx="64">
                  <c:v>1632738.5</c:v>
                </c:pt>
                <c:pt idx="65">
                  <c:v>1480052.25</c:v>
                </c:pt>
                <c:pt idx="66">
                  <c:v>1348860.5</c:v>
                </c:pt>
                <c:pt idx="67">
                  <c:v>1174726</c:v>
                </c:pt>
                <c:pt idx="68">
                  <c:v>1019898.75</c:v>
                </c:pt>
                <c:pt idx="69">
                  <c:v>1095370.5</c:v>
                </c:pt>
                <c:pt idx="70">
                  <c:v>1225575.75</c:v>
                </c:pt>
                <c:pt idx="71">
                  <c:v>1293048.75</c:v>
                </c:pt>
                <c:pt idx="72">
                  <c:v>1748504</c:v>
                </c:pt>
                <c:pt idx="73">
                  <c:v>2096805</c:v>
                </c:pt>
                <c:pt idx="74">
                  <c:v>2416079.25</c:v>
                </c:pt>
                <c:pt idx="75">
                  <c:v>2831443.75</c:v>
                </c:pt>
                <c:pt idx="76">
                  <c:v>2943500.25</c:v>
                </c:pt>
                <c:pt idx="77">
                  <c:v>2918322.5</c:v>
                </c:pt>
                <c:pt idx="78">
                  <c:v>2636765.5</c:v>
                </c:pt>
                <c:pt idx="79">
                  <c:v>2319034.75</c:v>
                </c:pt>
                <c:pt idx="80">
                  <c:v>2035405.75</c:v>
                </c:pt>
                <c:pt idx="81">
                  <c:v>1699307</c:v>
                </c:pt>
                <c:pt idx="82">
                  <c:v>1695076.75</c:v>
                </c:pt>
                <c:pt idx="83">
                  <c:v>1801766.25</c:v>
                </c:pt>
                <c:pt idx="84">
                  <c:v>1703160.5</c:v>
                </c:pt>
                <c:pt idx="85">
                  <c:v>1735968.25</c:v>
                </c:pt>
                <c:pt idx="86">
                  <c:v>1567282.25</c:v>
                </c:pt>
                <c:pt idx="87">
                  <c:v>1233997.25</c:v>
                </c:pt>
                <c:pt idx="88">
                  <c:v>1072848</c:v>
                </c:pt>
                <c:pt idx="89">
                  <c:v>926970.5</c:v>
                </c:pt>
                <c:pt idx="90">
                  <c:v>825870.5</c:v>
                </c:pt>
                <c:pt idx="91">
                  <c:v>808141.75</c:v>
                </c:pt>
                <c:pt idx="92">
                  <c:v>1230707</c:v>
                </c:pt>
                <c:pt idx="93">
                  <c:v>1575233.5</c:v>
                </c:pt>
                <c:pt idx="94">
                  <c:v>1985499.5</c:v>
                </c:pt>
                <c:pt idx="95">
                  <c:v>2411400</c:v>
                </c:pt>
                <c:pt idx="96">
                  <c:v>2255664.5</c:v>
                </c:pt>
                <c:pt idx="97">
                  <c:v>2297358.25</c:v>
                </c:pt>
                <c:pt idx="98">
                  <c:v>2568092.5</c:v>
                </c:pt>
                <c:pt idx="99">
                  <c:v>2673328.25</c:v>
                </c:pt>
                <c:pt idx="100">
                  <c:v>2730548.25</c:v>
                </c:pt>
                <c:pt idx="101">
                  <c:v>2581277</c:v>
                </c:pt>
                <c:pt idx="102">
                  <c:v>2230093.25</c:v>
                </c:pt>
                <c:pt idx="103">
                  <c:v>2111092</c:v>
                </c:pt>
              </c:numCache>
            </c:numRef>
          </c:val>
          <c:extLst>
            <c:ext xmlns:c16="http://schemas.microsoft.com/office/drawing/2014/chart" uri="{C3380CC4-5D6E-409C-BE32-E72D297353CC}">
              <c16:uniqueId val="{00000002-AFCF-4822-B81E-E6FEBF508857}"/>
            </c:ext>
          </c:extLst>
        </c:ser>
        <c:dLbls>
          <c:showLegendKey val="0"/>
          <c:showVal val="0"/>
          <c:showCatName val="0"/>
          <c:showSerName val="0"/>
          <c:showPercent val="0"/>
          <c:showBubbleSize val="0"/>
        </c:dLbls>
        <c:axId val="405716519"/>
        <c:axId val="405720119"/>
      </c:areaChart>
      <c:lineChart>
        <c:grouping val="standard"/>
        <c:varyColors val="0"/>
        <c:dLbls>
          <c:showLegendKey val="0"/>
          <c:showVal val="0"/>
          <c:showCatName val="0"/>
          <c:showSerName val="0"/>
          <c:showPercent val="0"/>
          <c:showBubbleSize val="0"/>
        </c:dLbls>
        <c:marker val="1"/>
        <c:smooth val="0"/>
        <c:axId val="126302159"/>
        <c:axId val="126294959"/>
        <c:extLst>
          <c:ext xmlns:c15="http://schemas.microsoft.com/office/drawing/2012/chart" uri="{02D57815-91ED-43cb-92C2-25804820EDAC}">
            <c15:filteredLineSeries>
              <c15:ser>
                <c:idx val="0"/>
                <c:order val="0"/>
                <c:tx>
                  <c:strRef>
                    <c:extLst>
                      <c:ext uri="{02D57815-91ED-43cb-92C2-25804820EDAC}">
                        <c15:formulaRef>
                          <c15:sqref>'Chart 2.11 data'!$D$11</c15:sqref>
                        </c15:formulaRef>
                      </c:ext>
                    </c:extLst>
                    <c:strCache>
                      <c:ptCount val="1"/>
                      <c:pt idx="0">
                        <c:v>Total</c:v>
                      </c:pt>
                    </c:strCache>
                  </c:strRef>
                </c:tx>
                <c:spPr>
                  <a:ln w="19050" cap="rnd">
                    <a:solidFill>
                      <a:schemeClr val="tx1"/>
                    </a:solidFill>
                    <a:round/>
                  </a:ln>
                  <a:effectLst/>
                </c:spPr>
                <c:marker>
                  <c:symbol val="none"/>
                </c:marker>
                <c:cat>
                  <c:numRef>
                    <c:extLst>
                      <c:ext uri="{02D57815-91ED-43cb-92C2-25804820EDAC}">
                        <c15:formulaRef>
                          <c15:sqref>'Chart 2.11 data'!$C$16:$C$189</c15:sqref>
                        </c15:formulaRef>
                      </c:ext>
                    </c:extLst>
                    <c:numCache>
                      <c:formatCode>mmm"-"yyyy</c:formatCode>
                      <c:ptCount val="174"/>
                      <c:pt idx="0">
                        <c:v>36616</c:v>
                      </c:pt>
                      <c:pt idx="1">
                        <c:v>36707</c:v>
                      </c:pt>
                      <c:pt idx="2">
                        <c:v>36799</c:v>
                      </c:pt>
                      <c:pt idx="3">
                        <c:v>36891</c:v>
                      </c:pt>
                      <c:pt idx="4">
                        <c:v>36981</c:v>
                      </c:pt>
                      <c:pt idx="5">
                        <c:v>37072</c:v>
                      </c:pt>
                      <c:pt idx="6">
                        <c:v>37164</c:v>
                      </c:pt>
                      <c:pt idx="7">
                        <c:v>37256</c:v>
                      </c:pt>
                      <c:pt idx="8">
                        <c:v>37346</c:v>
                      </c:pt>
                      <c:pt idx="9">
                        <c:v>37437</c:v>
                      </c:pt>
                      <c:pt idx="10">
                        <c:v>37529</c:v>
                      </c:pt>
                      <c:pt idx="11">
                        <c:v>37621</c:v>
                      </c:pt>
                      <c:pt idx="12">
                        <c:v>37711</c:v>
                      </c:pt>
                      <c:pt idx="13">
                        <c:v>37802</c:v>
                      </c:pt>
                      <c:pt idx="14">
                        <c:v>37894</c:v>
                      </c:pt>
                      <c:pt idx="15">
                        <c:v>37986</c:v>
                      </c:pt>
                      <c:pt idx="16">
                        <c:v>38077</c:v>
                      </c:pt>
                      <c:pt idx="17">
                        <c:v>38168</c:v>
                      </c:pt>
                      <c:pt idx="18">
                        <c:v>38260</c:v>
                      </c:pt>
                      <c:pt idx="19">
                        <c:v>38352</c:v>
                      </c:pt>
                      <c:pt idx="20">
                        <c:v>38442</c:v>
                      </c:pt>
                      <c:pt idx="21">
                        <c:v>38533</c:v>
                      </c:pt>
                      <c:pt idx="22">
                        <c:v>38625</c:v>
                      </c:pt>
                      <c:pt idx="23">
                        <c:v>38717</c:v>
                      </c:pt>
                      <c:pt idx="24">
                        <c:v>38807</c:v>
                      </c:pt>
                      <c:pt idx="25">
                        <c:v>38898</c:v>
                      </c:pt>
                      <c:pt idx="26">
                        <c:v>38990</c:v>
                      </c:pt>
                      <c:pt idx="27">
                        <c:v>39082</c:v>
                      </c:pt>
                      <c:pt idx="28">
                        <c:v>39172</c:v>
                      </c:pt>
                      <c:pt idx="29">
                        <c:v>39263</c:v>
                      </c:pt>
                      <c:pt idx="30">
                        <c:v>39355</c:v>
                      </c:pt>
                      <c:pt idx="31">
                        <c:v>39447</c:v>
                      </c:pt>
                      <c:pt idx="32">
                        <c:v>39538</c:v>
                      </c:pt>
                      <c:pt idx="33">
                        <c:v>39629</c:v>
                      </c:pt>
                      <c:pt idx="34">
                        <c:v>39721</c:v>
                      </c:pt>
                      <c:pt idx="35">
                        <c:v>39813</c:v>
                      </c:pt>
                      <c:pt idx="36">
                        <c:v>39903</c:v>
                      </c:pt>
                      <c:pt idx="37">
                        <c:v>39994</c:v>
                      </c:pt>
                      <c:pt idx="38">
                        <c:v>40086</c:v>
                      </c:pt>
                      <c:pt idx="39">
                        <c:v>40178</c:v>
                      </c:pt>
                      <c:pt idx="40">
                        <c:v>40268</c:v>
                      </c:pt>
                      <c:pt idx="41">
                        <c:v>40359</c:v>
                      </c:pt>
                      <c:pt idx="42">
                        <c:v>40451</c:v>
                      </c:pt>
                      <c:pt idx="43">
                        <c:v>40543</c:v>
                      </c:pt>
                      <c:pt idx="44">
                        <c:v>40633</c:v>
                      </c:pt>
                      <c:pt idx="45">
                        <c:v>40724</c:v>
                      </c:pt>
                      <c:pt idx="46">
                        <c:v>40816</c:v>
                      </c:pt>
                      <c:pt idx="47">
                        <c:v>40908</c:v>
                      </c:pt>
                      <c:pt idx="48">
                        <c:v>40999</c:v>
                      </c:pt>
                      <c:pt idx="49">
                        <c:v>41090</c:v>
                      </c:pt>
                      <c:pt idx="50">
                        <c:v>41182</c:v>
                      </c:pt>
                      <c:pt idx="51">
                        <c:v>41274</c:v>
                      </c:pt>
                      <c:pt idx="52">
                        <c:v>41364</c:v>
                      </c:pt>
                      <c:pt idx="53">
                        <c:v>41455</c:v>
                      </c:pt>
                      <c:pt idx="54">
                        <c:v>41547</c:v>
                      </c:pt>
                      <c:pt idx="55">
                        <c:v>41639</c:v>
                      </c:pt>
                      <c:pt idx="56">
                        <c:v>41729</c:v>
                      </c:pt>
                      <c:pt idx="57">
                        <c:v>41820</c:v>
                      </c:pt>
                      <c:pt idx="58">
                        <c:v>41912</c:v>
                      </c:pt>
                      <c:pt idx="59">
                        <c:v>42004</c:v>
                      </c:pt>
                      <c:pt idx="60">
                        <c:v>42094</c:v>
                      </c:pt>
                      <c:pt idx="61">
                        <c:v>42185</c:v>
                      </c:pt>
                      <c:pt idx="62">
                        <c:v>42277</c:v>
                      </c:pt>
                      <c:pt idx="63">
                        <c:v>42369</c:v>
                      </c:pt>
                      <c:pt idx="64">
                        <c:v>42460</c:v>
                      </c:pt>
                      <c:pt idx="65">
                        <c:v>42551</c:v>
                      </c:pt>
                      <c:pt idx="66">
                        <c:v>42643</c:v>
                      </c:pt>
                      <c:pt idx="67">
                        <c:v>42735</c:v>
                      </c:pt>
                      <c:pt idx="68">
                        <c:v>42825</c:v>
                      </c:pt>
                      <c:pt idx="69">
                        <c:v>42916</c:v>
                      </c:pt>
                      <c:pt idx="70">
                        <c:v>43008</c:v>
                      </c:pt>
                      <c:pt idx="71">
                        <c:v>43100</c:v>
                      </c:pt>
                      <c:pt idx="72">
                        <c:v>43190</c:v>
                      </c:pt>
                      <c:pt idx="73">
                        <c:v>43281</c:v>
                      </c:pt>
                      <c:pt idx="74">
                        <c:v>43373</c:v>
                      </c:pt>
                      <c:pt idx="75">
                        <c:v>43465</c:v>
                      </c:pt>
                      <c:pt idx="76">
                        <c:v>43555</c:v>
                      </c:pt>
                      <c:pt idx="77">
                        <c:v>43646</c:v>
                      </c:pt>
                      <c:pt idx="78">
                        <c:v>43738</c:v>
                      </c:pt>
                      <c:pt idx="79">
                        <c:v>43830</c:v>
                      </c:pt>
                      <c:pt idx="80">
                        <c:v>43921</c:v>
                      </c:pt>
                      <c:pt idx="81">
                        <c:v>44012</c:v>
                      </c:pt>
                      <c:pt idx="82">
                        <c:v>44104</c:v>
                      </c:pt>
                      <c:pt idx="83">
                        <c:v>44196</c:v>
                      </c:pt>
                      <c:pt idx="84">
                        <c:v>44286</c:v>
                      </c:pt>
                      <c:pt idx="85">
                        <c:v>44377</c:v>
                      </c:pt>
                      <c:pt idx="86">
                        <c:v>44469</c:v>
                      </c:pt>
                      <c:pt idx="87">
                        <c:v>44561</c:v>
                      </c:pt>
                      <c:pt idx="88">
                        <c:v>44651</c:v>
                      </c:pt>
                      <c:pt idx="89">
                        <c:v>44742</c:v>
                      </c:pt>
                      <c:pt idx="90">
                        <c:v>44834</c:v>
                      </c:pt>
                      <c:pt idx="91">
                        <c:v>44926</c:v>
                      </c:pt>
                      <c:pt idx="92">
                        <c:v>45016</c:v>
                      </c:pt>
                      <c:pt idx="93">
                        <c:v>45107</c:v>
                      </c:pt>
                      <c:pt idx="94">
                        <c:v>45199</c:v>
                      </c:pt>
                      <c:pt idx="95">
                        <c:v>45291</c:v>
                      </c:pt>
                      <c:pt idx="96">
                        <c:v>45382</c:v>
                      </c:pt>
                      <c:pt idx="97">
                        <c:v>45473</c:v>
                      </c:pt>
                      <c:pt idx="98">
                        <c:v>45565</c:v>
                      </c:pt>
                      <c:pt idx="99">
                        <c:v>45657</c:v>
                      </c:pt>
                      <c:pt idx="100">
                        <c:v>45747</c:v>
                      </c:pt>
                      <c:pt idx="101">
                        <c:v>45838</c:v>
                      </c:pt>
                      <c:pt idx="102">
                        <c:v>45930</c:v>
                      </c:pt>
                      <c:pt idx="103">
                        <c:v>46022</c:v>
                      </c:pt>
                    </c:numCache>
                  </c:numRef>
                </c:cat>
                <c:val>
                  <c:numRef>
                    <c:extLst>
                      <c:ext uri="{02D57815-91ED-43cb-92C2-25804820EDAC}">
                        <c15:formulaRef>
                          <c15:sqref>'Chart 2.11 data'!$D$16:$D$189</c15:sqref>
                        </c15:formulaRef>
                      </c:ext>
                    </c:extLst>
                    <c:numCache>
                      <c:formatCode>0</c:formatCode>
                      <c:ptCount val="174"/>
                      <c:pt idx="0">
                        <c:v>540411.25</c:v>
                      </c:pt>
                      <c:pt idx="1">
                        <c:v>547655</c:v>
                      </c:pt>
                      <c:pt idx="2">
                        <c:v>531459.75</c:v>
                      </c:pt>
                      <c:pt idx="3">
                        <c:v>507081</c:v>
                      </c:pt>
                      <c:pt idx="4">
                        <c:v>490580.5</c:v>
                      </c:pt>
                      <c:pt idx="5">
                        <c:v>467203</c:v>
                      </c:pt>
                      <c:pt idx="6">
                        <c:v>494134.75</c:v>
                      </c:pt>
                      <c:pt idx="7">
                        <c:v>517227</c:v>
                      </c:pt>
                      <c:pt idx="8">
                        <c:v>576252.5</c:v>
                      </c:pt>
                      <c:pt idx="9">
                        <c:v>688172.25</c:v>
                      </c:pt>
                      <c:pt idx="10">
                        <c:v>850465.25</c:v>
                      </c:pt>
                      <c:pt idx="11">
                        <c:v>1097859.75</c:v>
                      </c:pt>
                      <c:pt idx="12">
                        <c:v>1332135</c:v>
                      </c:pt>
                      <c:pt idx="13">
                        <c:v>1472058</c:v>
                      </c:pt>
                      <c:pt idx="14">
                        <c:v>1529804</c:v>
                      </c:pt>
                      <c:pt idx="15">
                        <c:v>1451552.25</c:v>
                      </c:pt>
                      <c:pt idx="16">
                        <c:v>1423079.75</c:v>
                      </c:pt>
                      <c:pt idx="17">
                        <c:v>1331130.75</c:v>
                      </c:pt>
                      <c:pt idx="18">
                        <c:v>1207697</c:v>
                      </c:pt>
                      <c:pt idx="19">
                        <c:v>1348607.75</c:v>
                      </c:pt>
                      <c:pt idx="20">
                        <c:v>2094330.75</c:v>
                      </c:pt>
                      <c:pt idx="21">
                        <c:v>2926802.25</c:v>
                      </c:pt>
                      <c:pt idx="22">
                        <c:v>3698128.25</c:v>
                      </c:pt>
                      <c:pt idx="23">
                        <c:v>4082951.75</c:v>
                      </c:pt>
                      <c:pt idx="24">
                        <c:v>3737842.5</c:v>
                      </c:pt>
                      <c:pt idx="25">
                        <c:v>3274463.25</c:v>
                      </c:pt>
                      <c:pt idx="26">
                        <c:v>2868099.75</c:v>
                      </c:pt>
                      <c:pt idx="27">
                        <c:v>2544045</c:v>
                      </c:pt>
                      <c:pt idx="28">
                        <c:v>2233650</c:v>
                      </c:pt>
                      <c:pt idx="29">
                        <c:v>1990630.75</c:v>
                      </c:pt>
                      <c:pt idx="30">
                        <c:v>1910309.75</c:v>
                      </c:pt>
                      <c:pt idx="31">
                        <c:v>1854127.25</c:v>
                      </c:pt>
                      <c:pt idx="32">
                        <c:v>1742404.5</c:v>
                      </c:pt>
                      <c:pt idx="33">
                        <c:v>1776686.25</c:v>
                      </c:pt>
                      <c:pt idx="34">
                        <c:v>1688274.25</c:v>
                      </c:pt>
                      <c:pt idx="35">
                        <c:v>1594888.75</c:v>
                      </c:pt>
                      <c:pt idx="36">
                        <c:v>1533646.5</c:v>
                      </c:pt>
                      <c:pt idx="37">
                        <c:v>1386560.5</c:v>
                      </c:pt>
                      <c:pt idx="38">
                        <c:v>1284182.75</c:v>
                      </c:pt>
                      <c:pt idx="39">
                        <c:v>2027946</c:v>
                      </c:pt>
                      <c:pt idx="40">
                        <c:v>2754307</c:v>
                      </c:pt>
                      <c:pt idx="41">
                        <c:v>3352930</c:v>
                      </c:pt>
                      <c:pt idx="42">
                        <c:v>4084421.5</c:v>
                      </c:pt>
                      <c:pt idx="43">
                        <c:v>3873015</c:v>
                      </c:pt>
                      <c:pt idx="44">
                        <c:v>3839545.75</c:v>
                      </c:pt>
                      <c:pt idx="45">
                        <c:v>3787752.25</c:v>
                      </c:pt>
                      <c:pt idx="46">
                        <c:v>3444841.5</c:v>
                      </c:pt>
                      <c:pt idx="47">
                        <c:v>3275809.25</c:v>
                      </c:pt>
                      <c:pt idx="48">
                        <c:v>3004400.75</c:v>
                      </c:pt>
                      <c:pt idx="49">
                        <c:v>2849450</c:v>
                      </c:pt>
                      <c:pt idx="50">
                        <c:v>2702772.25</c:v>
                      </c:pt>
                      <c:pt idx="51">
                        <c:v>2554935.75</c:v>
                      </c:pt>
                      <c:pt idx="52">
                        <c:v>2401224.75</c:v>
                      </c:pt>
                      <c:pt idx="53">
                        <c:v>2305851.75</c:v>
                      </c:pt>
                      <c:pt idx="54">
                        <c:v>2488272.75</c:v>
                      </c:pt>
                      <c:pt idx="55">
                        <c:v>2756575.75</c:v>
                      </c:pt>
                      <c:pt idx="56">
                        <c:v>3071995.5</c:v>
                      </c:pt>
                      <c:pt idx="57">
                        <c:v>3545569</c:v>
                      </c:pt>
                      <c:pt idx="58">
                        <c:v>3807067.25</c:v>
                      </c:pt>
                      <c:pt idx="59">
                        <c:v>4288536.5</c:v>
                      </c:pt>
                      <c:pt idx="60">
                        <c:v>4154187.5</c:v>
                      </c:pt>
                      <c:pt idx="61">
                        <c:v>3951367.5</c:v>
                      </c:pt>
                      <c:pt idx="62">
                        <c:v>3695660.25</c:v>
                      </c:pt>
                      <c:pt idx="63">
                        <c:v>3159058.5</c:v>
                      </c:pt>
                      <c:pt idx="64">
                        <c:v>3092325.75</c:v>
                      </c:pt>
                      <c:pt idx="65">
                        <c:v>2836869.25</c:v>
                      </c:pt>
                      <c:pt idx="66">
                        <c:v>2573271.75</c:v>
                      </c:pt>
                      <c:pt idx="67">
                        <c:v>2286894.75</c:v>
                      </c:pt>
                      <c:pt idx="68">
                        <c:v>2026484.25</c:v>
                      </c:pt>
                      <c:pt idx="69">
                        <c:v>2049059.5</c:v>
                      </c:pt>
                      <c:pt idx="70">
                        <c:v>2154604.75</c:v>
                      </c:pt>
                      <c:pt idx="71">
                        <c:v>2209133.75</c:v>
                      </c:pt>
                      <c:pt idx="72">
                        <c:v>3932769.25</c:v>
                      </c:pt>
                      <c:pt idx="73">
                        <c:v>5444064.75</c:v>
                      </c:pt>
                      <c:pt idx="74">
                        <c:v>6881003.5</c:v>
                      </c:pt>
                      <c:pt idx="75">
                        <c:v>8369041</c:v>
                      </c:pt>
                      <c:pt idx="76">
                        <c:v>8249244.5</c:v>
                      </c:pt>
                      <c:pt idx="77">
                        <c:v>8010730</c:v>
                      </c:pt>
                      <c:pt idx="78">
                        <c:v>7523281.25</c:v>
                      </c:pt>
                      <c:pt idx="79">
                        <c:v>7007961.25</c:v>
                      </c:pt>
                      <c:pt idx="80">
                        <c:v>6500476.5</c:v>
                      </c:pt>
                      <c:pt idx="81">
                        <c:v>5924767.25</c:v>
                      </c:pt>
                      <c:pt idx="82">
                        <c:v>5598111</c:v>
                      </c:pt>
                      <c:pt idx="83">
                        <c:v>5341921.75</c:v>
                      </c:pt>
                      <c:pt idx="84">
                        <c:v>4908167.75</c:v>
                      </c:pt>
                      <c:pt idx="85">
                        <c:v>4737562.25</c:v>
                      </c:pt>
                      <c:pt idx="86">
                        <c:v>4515901</c:v>
                      </c:pt>
                      <c:pt idx="87">
                        <c:v>4802739.75</c:v>
                      </c:pt>
                      <c:pt idx="88">
                        <c:v>5554668.5</c:v>
                      </c:pt>
                      <c:pt idx="89">
                        <c:v>6270385</c:v>
                      </c:pt>
                      <c:pt idx="90">
                        <c:v>6888956</c:v>
                      </c:pt>
                      <c:pt idx="91">
                        <c:v>6936513.25</c:v>
                      </c:pt>
                      <c:pt idx="92">
                        <c:v>6984349.25</c:v>
                      </c:pt>
                      <c:pt idx="93">
                        <c:v>6822796.5</c:v>
                      </c:pt>
                      <c:pt idx="94">
                        <c:v>6781648</c:v>
                      </c:pt>
                      <c:pt idx="95">
                        <c:v>6702902.5</c:v>
                      </c:pt>
                      <c:pt idx="96">
                        <c:v>6148726.25</c:v>
                      </c:pt>
                      <c:pt idx="97">
                        <c:v>5938359.5</c:v>
                      </c:pt>
                      <c:pt idx="98">
                        <c:v>5974937.75</c:v>
                      </c:pt>
                      <c:pt idx="99">
                        <c:v>5756742.25</c:v>
                      </c:pt>
                      <c:pt idx="100">
                        <c:v>5539891.5</c:v>
                      </c:pt>
                      <c:pt idx="101">
                        <c:v>5122170.5</c:v>
                      </c:pt>
                      <c:pt idx="102">
                        <c:v>4496766</c:v>
                      </c:pt>
                      <c:pt idx="103">
                        <c:v>4231148.25</c:v>
                      </c:pt>
                    </c:numCache>
                  </c:numRef>
                </c:val>
                <c:smooth val="0"/>
                <c:extLst>
                  <c:ext xmlns:c16="http://schemas.microsoft.com/office/drawing/2014/chart" uri="{C3380CC4-5D6E-409C-BE32-E72D297353CC}">
                    <c16:uniqueId val="{00000003-AFCF-4822-B81E-E6FEBF508857}"/>
                  </c:ext>
                </c:extLst>
              </c15:ser>
            </c15:filteredLineSeries>
          </c:ext>
        </c:extLst>
      </c:lineChart>
      <c:dateAx>
        <c:axId val="405716519"/>
        <c:scaling>
          <c:orientation val="minMax"/>
          <c:min val="40179"/>
        </c:scaling>
        <c:delete val="0"/>
        <c:axPos val="b"/>
        <c:numFmt formatCode="yyyy" sourceLinked="0"/>
        <c:majorTickMark val="out"/>
        <c:minorTickMark val="none"/>
        <c:tickLblPos val="low"/>
        <c:spPr>
          <a:noFill/>
          <a:ln w="9525" cap="flat" cmpd="sng" algn="ctr">
            <a:solidFill>
              <a:schemeClr val="tx1">
                <a:lumMod val="65000"/>
                <a:lumOff val="35000"/>
              </a:schemeClr>
            </a:solidFill>
            <a:round/>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n-US"/>
          </a:p>
        </c:txPr>
        <c:crossAx val="405720119"/>
        <c:crosses val="autoZero"/>
        <c:auto val="1"/>
        <c:lblOffset val="100"/>
        <c:baseTimeUnit val="months"/>
        <c:majorUnit val="5"/>
        <c:majorTimeUnit val="years"/>
        <c:minorUnit val="1"/>
        <c:minorTimeUnit val="years"/>
      </c:dateAx>
      <c:valAx>
        <c:axId val="405720119"/>
        <c:scaling>
          <c:orientation val="minMax"/>
        </c:scaling>
        <c:delete val="0"/>
        <c:axPos val="l"/>
        <c:majorGridlines>
          <c:spPr>
            <a:ln w="6350" cap="flat" cmpd="sng" algn="ctr">
              <a:solidFill>
                <a:sysClr val="window" lastClr="FFFFFF">
                  <a:lumMod val="85000"/>
                </a:sysClr>
              </a:solidFill>
              <a:prstDash val="dash"/>
              <a:round/>
              <a:headEnd type="none" w="med" len="med"/>
              <a:tailEnd type="none" w="med" len="med"/>
            </a:ln>
            <a:effectLst/>
          </c:spPr>
        </c:majorGridlines>
        <c:numFmt formatCode="0" sourceLinked="1"/>
        <c:majorTickMark val="none"/>
        <c:minorTickMark val="none"/>
        <c:tickLblPos val="nextTo"/>
        <c:spPr>
          <a:noFill/>
          <a:ln w="6350">
            <a:solidFill>
              <a:schemeClr val="bg1">
                <a:lumMod val="50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n-US"/>
          </a:p>
        </c:txPr>
        <c:crossAx val="405716519"/>
        <c:crosses val="autoZero"/>
        <c:crossBetween val="between"/>
        <c:dispUnits>
          <c:builtInUnit val="millions"/>
          <c:dispUnitsLbl>
            <c:layout>
              <c:manualLayout>
                <c:xMode val="edge"/>
                <c:yMode val="edge"/>
                <c:x val="0"/>
                <c:y val="0.31947630257558018"/>
              </c:manualLayout>
            </c:layout>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j-lt"/>
                      <a:ea typeface="+mn-ea"/>
                      <a:cs typeface="+mn-cs"/>
                    </a:defRPr>
                  </a:pPr>
                  <a:r>
                    <a:rPr lang="en-AU" sz="800" i="1"/>
                    <a:t>$ billions</a:t>
                  </a:r>
                </a:p>
              </c:rich>
            </c:tx>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mj-lt"/>
                    <a:ea typeface="+mn-ea"/>
                    <a:cs typeface="+mn-cs"/>
                  </a:defRPr>
                </a:pPr>
                <a:endParaRPr lang="en-US"/>
              </a:p>
            </c:txPr>
          </c:dispUnitsLbl>
        </c:dispUnits>
      </c:valAx>
      <c:valAx>
        <c:axId val="126294959"/>
        <c:scaling>
          <c:orientation val="minMax"/>
        </c:scaling>
        <c:delete val="1"/>
        <c:axPos val="r"/>
        <c:numFmt formatCode="0" sourceLinked="1"/>
        <c:majorTickMark val="out"/>
        <c:minorTickMark val="none"/>
        <c:tickLblPos val="nextTo"/>
        <c:crossAx val="126302159"/>
        <c:crosses val="max"/>
        <c:crossBetween val="between"/>
      </c:valAx>
      <c:catAx>
        <c:axId val="126302159"/>
        <c:scaling>
          <c:orientation val="minMax"/>
        </c:scaling>
        <c:delete val="1"/>
        <c:axPos val="b"/>
        <c:numFmt formatCode="mmm&quot;-&quot;yyyy" sourceLinked="1"/>
        <c:majorTickMark val="out"/>
        <c:minorTickMark val="none"/>
        <c:tickLblPos val="nextTo"/>
        <c:crossAx val="126294959"/>
        <c:crosses val="autoZero"/>
        <c:auto val="1"/>
        <c:lblAlgn val="ctr"/>
        <c:lblOffset val="100"/>
        <c:noMultiLvlLbl val="1"/>
      </c:catAx>
      <c:spPr>
        <a:noFill/>
        <a:ln>
          <a:noFill/>
        </a:ln>
        <a:effectLst/>
        <a:extLst>
          <a:ext uri="{909E8E84-426E-40DD-AFC4-6F175D3DCCD1}">
            <a14:hiddenFill xmlns:a14="http://schemas.microsoft.com/office/drawing/2010/main">
              <a:noFill/>
            </a14:hiddenFill>
          </a:ext>
        </a:extLst>
      </c:spPr>
    </c:plotArea>
    <c:legend>
      <c:legendPos val="b"/>
      <c:layout>
        <c:manualLayout>
          <c:xMode val="edge"/>
          <c:yMode val="edge"/>
          <c:x val="9.2951935695538057E-2"/>
          <c:y val="0.92000149310837165"/>
          <c:w val="0.81409612860892389"/>
          <c:h val="7.9998506891628324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j-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noFill/>
      <a:round/>
    </a:ln>
    <a:effectLst/>
    <a:extLst>
      <a:ext uri="{91240B29-F687-4F45-9708-019B960494DF}">
        <a14:hiddenLine xmlns:a14="http://schemas.microsoft.com/office/drawing/2010/main" w="9525" cap="flat" cmpd="sng" algn="ctr">
          <a:solidFill>
            <a:sysClr val="windowText" lastClr="000000">
              <a:lumMod val="15000"/>
              <a:lumOff val="85000"/>
            </a:sysClr>
          </a:solidFill>
          <a:round/>
        </a14:hiddenLine>
      </a:ext>
    </a:extLst>
  </c:spPr>
  <c:txPr>
    <a:bodyPr/>
    <a:lstStyle/>
    <a:p>
      <a:pPr>
        <a:defRPr sz="900">
          <a:latin typeface="+mj-lt"/>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220286639233641"/>
          <c:y val="2.8963243324630322E-2"/>
          <c:w val="0.75830318184452594"/>
          <c:h val="0.6836794237929561"/>
        </c:manualLayout>
      </c:layout>
      <c:lineChart>
        <c:grouping val="standard"/>
        <c:varyColors val="0"/>
        <c:ser>
          <c:idx val="0"/>
          <c:order val="0"/>
          <c:tx>
            <c:v>Unemployment rate</c:v>
          </c:tx>
          <c:spPr>
            <a:ln w="15875" cap="rnd">
              <a:solidFill>
                <a:schemeClr val="tx1">
                  <a:lumMod val="65000"/>
                  <a:lumOff val="35000"/>
                </a:schemeClr>
              </a:solidFill>
              <a:round/>
            </a:ln>
            <a:effectLst/>
          </c:spPr>
          <c:marker>
            <c:symbol val="none"/>
          </c:marker>
          <c:cat>
            <c:numRef>
              <c:f>'Chart 2.13 data'!$D$8:$D$306</c:f>
              <c:numCache>
                <c:formatCode>mmm"-"yyyy</c:formatCode>
                <c:ptCount val="299"/>
                <c:pt idx="0">
                  <c:v>46082</c:v>
                </c:pt>
                <c:pt idx="1">
                  <c:v>46054</c:v>
                </c:pt>
                <c:pt idx="2">
                  <c:v>46023</c:v>
                </c:pt>
                <c:pt idx="3">
                  <c:v>45992</c:v>
                </c:pt>
                <c:pt idx="4">
                  <c:v>45962</c:v>
                </c:pt>
                <c:pt idx="5">
                  <c:v>45931</c:v>
                </c:pt>
                <c:pt idx="6">
                  <c:v>45901</c:v>
                </c:pt>
                <c:pt idx="7">
                  <c:v>45870</c:v>
                </c:pt>
                <c:pt idx="8">
                  <c:v>45839</c:v>
                </c:pt>
                <c:pt idx="9">
                  <c:v>45809</c:v>
                </c:pt>
                <c:pt idx="10">
                  <c:v>45778</c:v>
                </c:pt>
                <c:pt idx="11">
                  <c:v>45748</c:v>
                </c:pt>
                <c:pt idx="12">
                  <c:v>45717</c:v>
                </c:pt>
                <c:pt idx="13">
                  <c:v>45689</c:v>
                </c:pt>
                <c:pt idx="14">
                  <c:v>45658</c:v>
                </c:pt>
                <c:pt idx="15">
                  <c:v>45627</c:v>
                </c:pt>
                <c:pt idx="16">
                  <c:v>45597</c:v>
                </c:pt>
                <c:pt idx="17">
                  <c:v>45566</c:v>
                </c:pt>
                <c:pt idx="18">
                  <c:v>45536</c:v>
                </c:pt>
                <c:pt idx="19">
                  <c:v>45505</c:v>
                </c:pt>
                <c:pt idx="20">
                  <c:v>45474</c:v>
                </c:pt>
                <c:pt idx="21">
                  <c:v>45444</c:v>
                </c:pt>
                <c:pt idx="22">
                  <c:v>45413</c:v>
                </c:pt>
                <c:pt idx="23">
                  <c:v>45383</c:v>
                </c:pt>
                <c:pt idx="24">
                  <c:v>45352</c:v>
                </c:pt>
                <c:pt idx="25">
                  <c:v>45323</c:v>
                </c:pt>
                <c:pt idx="26">
                  <c:v>45292</c:v>
                </c:pt>
                <c:pt idx="27">
                  <c:v>45261</c:v>
                </c:pt>
                <c:pt idx="28">
                  <c:v>45231</c:v>
                </c:pt>
                <c:pt idx="29">
                  <c:v>45200</c:v>
                </c:pt>
                <c:pt idx="30">
                  <c:v>45170</c:v>
                </c:pt>
                <c:pt idx="31">
                  <c:v>45139</c:v>
                </c:pt>
                <c:pt idx="32">
                  <c:v>45108</c:v>
                </c:pt>
                <c:pt idx="33">
                  <c:v>45078</c:v>
                </c:pt>
                <c:pt idx="34">
                  <c:v>45047</c:v>
                </c:pt>
                <c:pt idx="35">
                  <c:v>45017</c:v>
                </c:pt>
                <c:pt idx="36">
                  <c:v>44986</c:v>
                </c:pt>
                <c:pt idx="37">
                  <c:v>44958</c:v>
                </c:pt>
                <c:pt idx="38">
                  <c:v>44927</c:v>
                </c:pt>
                <c:pt idx="39">
                  <c:v>44896</c:v>
                </c:pt>
                <c:pt idx="40">
                  <c:v>44866</c:v>
                </c:pt>
                <c:pt idx="41">
                  <c:v>44835</c:v>
                </c:pt>
                <c:pt idx="42">
                  <c:v>44805</c:v>
                </c:pt>
                <c:pt idx="43">
                  <c:v>44774</c:v>
                </c:pt>
                <c:pt idx="44">
                  <c:v>44743</c:v>
                </c:pt>
                <c:pt idx="45">
                  <c:v>44713</c:v>
                </c:pt>
                <c:pt idx="46">
                  <c:v>44682</c:v>
                </c:pt>
                <c:pt idx="47">
                  <c:v>44652</c:v>
                </c:pt>
                <c:pt idx="48">
                  <c:v>44621</c:v>
                </c:pt>
                <c:pt idx="49">
                  <c:v>44593</c:v>
                </c:pt>
                <c:pt idx="50">
                  <c:v>44562</c:v>
                </c:pt>
                <c:pt idx="51">
                  <c:v>44531</c:v>
                </c:pt>
                <c:pt idx="52">
                  <c:v>44501</c:v>
                </c:pt>
                <c:pt idx="53">
                  <c:v>44470</c:v>
                </c:pt>
                <c:pt idx="54">
                  <c:v>44440</c:v>
                </c:pt>
                <c:pt idx="55">
                  <c:v>44409</c:v>
                </c:pt>
                <c:pt idx="56">
                  <c:v>44378</c:v>
                </c:pt>
                <c:pt idx="57">
                  <c:v>44348</c:v>
                </c:pt>
                <c:pt idx="58">
                  <c:v>44317</c:v>
                </c:pt>
                <c:pt idx="59">
                  <c:v>44287</c:v>
                </c:pt>
                <c:pt idx="60">
                  <c:v>44256</c:v>
                </c:pt>
                <c:pt idx="61">
                  <c:v>44228</c:v>
                </c:pt>
                <c:pt idx="62">
                  <c:v>44197</c:v>
                </c:pt>
                <c:pt idx="63">
                  <c:v>44166</c:v>
                </c:pt>
                <c:pt idx="64">
                  <c:v>44136</c:v>
                </c:pt>
                <c:pt idx="65">
                  <c:v>44105</c:v>
                </c:pt>
                <c:pt idx="66">
                  <c:v>44075</c:v>
                </c:pt>
                <c:pt idx="67">
                  <c:v>44044</c:v>
                </c:pt>
                <c:pt idx="68">
                  <c:v>44013</c:v>
                </c:pt>
                <c:pt idx="69">
                  <c:v>43983</c:v>
                </c:pt>
                <c:pt idx="70">
                  <c:v>43952</c:v>
                </c:pt>
                <c:pt idx="71">
                  <c:v>43922</c:v>
                </c:pt>
                <c:pt idx="72">
                  <c:v>43891</c:v>
                </c:pt>
                <c:pt idx="73">
                  <c:v>43862</c:v>
                </c:pt>
                <c:pt idx="74">
                  <c:v>43831</c:v>
                </c:pt>
                <c:pt idx="75">
                  <c:v>43800</c:v>
                </c:pt>
                <c:pt idx="76">
                  <c:v>43770</c:v>
                </c:pt>
                <c:pt idx="77">
                  <c:v>43739</c:v>
                </c:pt>
                <c:pt idx="78">
                  <c:v>43709</c:v>
                </c:pt>
                <c:pt idx="79">
                  <c:v>43678</c:v>
                </c:pt>
                <c:pt idx="80">
                  <c:v>43647</c:v>
                </c:pt>
                <c:pt idx="81">
                  <c:v>43617</c:v>
                </c:pt>
                <c:pt idx="82">
                  <c:v>43586</c:v>
                </c:pt>
                <c:pt idx="83">
                  <c:v>43556</c:v>
                </c:pt>
                <c:pt idx="84">
                  <c:v>43525</c:v>
                </c:pt>
                <c:pt idx="85">
                  <c:v>43497</c:v>
                </c:pt>
                <c:pt idx="86">
                  <c:v>43466</c:v>
                </c:pt>
                <c:pt idx="87">
                  <c:v>43435</c:v>
                </c:pt>
                <c:pt idx="88">
                  <c:v>43405</c:v>
                </c:pt>
                <c:pt idx="89">
                  <c:v>43374</c:v>
                </c:pt>
                <c:pt idx="90">
                  <c:v>43344</c:v>
                </c:pt>
                <c:pt idx="91">
                  <c:v>43313</c:v>
                </c:pt>
                <c:pt idx="92">
                  <c:v>43282</c:v>
                </c:pt>
                <c:pt idx="93">
                  <c:v>43252</c:v>
                </c:pt>
                <c:pt idx="94">
                  <c:v>43221</c:v>
                </c:pt>
                <c:pt idx="95">
                  <c:v>43191</c:v>
                </c:pt>
                <c:pt idx="96">
                  <c:v>43160</c:v>
                </c:pt>
                <c:pt idx="97">
                  <c:v>43132</c:v>
                </c:pt>
                <c:pt idx="98">
                  <c:v>43101</c:v>
                </c:pt>
                <c:pt idx="99">
                  <c:v>43070</c:v>
                </c:pt>
                <c:pt idx="100">
                  <c:v>43040</c:v>
                </c:pt>
                <c:pt idx="101">
                  <c:v>43009</c:v>
                </c:pt>
                <c:pt idx="102">
                  <c:v>42979</c:v>
                </c:pt>
                <c:pt idx="103">
                  <c:v>42948</c:v>
                </c:pt>
                <c:pt idx="104">
                  <c:v>42917</c:v>
                </c:pt>
                <c:pt idx="105">
                  <c:v>42887</c:v>
                </c:pt>
                <c:pt idx="106">
                  <c:v>42856</c:v>
                </c:pt>
                <c:pt idx="107">
                  <c:v>42826</c:v>
                </c:pt>
                <c:pt idx="108">
                  <c:v>42795</c:v>
                </c:pt>
                <c:pt idx="109">
                  <c:v>42767</c:v>
                </c:pt>
                <c:pt idx="110">
                  <c:v>42736</c:v>
                </c:pt>
                <c:pt idx="111">
                  <c:v>42705</c:v>
                </c:pt>
                <c:pt idx="112">
                  <c:v>42675</c:v>
                </c:pt>
                <c:pt idx="113">
                  <c:v>42644</c:v>
                </c:pt>
                <c:pt idx="114">
                  <c:v>42614</c:v>
                </c:pt>
                <c:pt idx="115">
                  <c:v>42583</c:v>
                </c:pt>
                <c:pt idx="116">
                  <c:v>42552</c:v>
                </c:pt>
                <c:pt idx="117">
                  <c:v>42522</c:v>
                </c:pt>
                <c:pt idx="118">
                  <c:v>42491</c:v>
                </c:pt>
                <c:pt idx="119">
                  <c:v>42461</c:v>
                </c:pt>
                <c:pt idx="120">
                  <c:v>42430</c:v>
                </c:pt>
                <c:pt idx="121">
                  <c:v>42401</c:v>
                </c:pt>
                <c:pt idx="122">
                  <c:v>42370</c:v>
                </c:pt>
                <c:pt idx="123">
                  <c:v>42339</c:v>
                </c:pt>
                <c:pt idx="124">
                  <c:v>42309</c:v>
                </c:pt>
                <c:pt idx="125">
                  <c:v>42278</c:v>
                </c:pt>
                <c:pt idx="126">
                  <c:v>42248</c:v>
                </c:pt>
                <c:pt idx="127">
                  <c:v>42217</c:v>
                </c:pt>
                <c:pt idx="128">
                  <c:v>42186</c:v>
                </c:pt>
                <c:pt idx="129">
                  <c:v>42156</c:v>
                </c:pt>
                <c:pt idx="130">
                  <c:v>42125</c:v>
                </c:pt>
                <c:pt idx="131">
                  <c:v>42095</c:v>
                </c:pt>
                <c:pt idx="132">
                  <c:v>42064</c:v>
                </c:pt>
                <c:pt idx="133">
                  <c:v>42036</c:v>
                </c:pt>
                <c:pt idx="134">
                  <c:v>42005</c:v>
                </c:pt>
                <c:pt idx="135">
                  <c:v>41974</c:v>
                </c:pt>
                <c:pt idx="136">
                  <c:v>41944</c:v>
                </c:pt>
                <c:pt idx="137">
                  <c:v>41913</c:v>
                </c:pt>
                <c:pt idx="138">
                  <c:v>41883</c:v>
                </c:pt>
                <c:pt idx="139">
                  <c:v>41852</c:v>
                </c:pt>
                <c:pt idx="140">
                  <c:v>41821</c:v>
                </c:pt>
                <c:pt idx="141">
                  <c:v>41791</c:v>
                </c:pt>
                <c:pt idx="142">
                  <c:v>41760</c:v>
                </c:pt>
                <c:pt idx="143">
                  <c:v>41730</c:v>
                </c:pt>
                <c:pt idx="144">
                  <c:v>41699</c:v>
                </c:pt>
                <c:pt idx="145">
                  <c:v>41671</c:v>
                </c:pt>
                <c:pt idx="146">
                  <c:v>41640</c:v>
                </c:pt>
                <c:pt idx="147">
                  <c:v>41609</c:v>
                </c:pt>
                <c:pt idx="148">
                  <c:v>41579</c:v>
                </c:pt>
                <c:pt idx="149">
                  <c:v>41548</c:v>
                </c:pt>
                <c:pt idx="150">
                  <c:v>41518</c:v>
                </c:pt>
                <c:pt idx="151">
                  <c:v>41487</c:v>
                </c:pt>
                <c:pt idx="152">
                  <c:v>41456</c:v>
                </c:pt>
                <c:pt idx="153">
                  <c:v>41426</c:v>
                </c:pt>
                <c:pt idx="154">
                  <c:v>41395</c:v>
                </c:pt>
                <c:pt idx="155">
                  <c:v>41365</c:v>
                </c:pt>
                <c:pt idx="156">
                  <c:v>41334</c:v>
                </c:pt>
                <c:pt idx="157">
                  <c:v>41306</c:v>
                </c:pt>
                <c:pt idx="158">
                  <c:v>41275</c:v>
                </c:pt>
                <c:pt idx="159">
                  <c:v>41244</c:v>
                </c:pt>
                <c:pt idx="160">
                  <c:v>41214</c:v>
                </c:pt>
                <c:pt idx="161">
                  <c:v>41183</c:v>
                </c:pt>
                <c:pt idx="162">
                  <c:v>41153</c:v>
                </c:pt>
                <c:pt idx="163">
                  <c:v>41122</c:v>
                </c:pt>
                <c:pt idx="164">
                  <c:v>41091</c:v>
                </c:pt>
                <c:pt idx="165">
                  <c:v>41061</c:v>
                </c:pt>
                <c:pt idx="166">
                  <c:v>41030</c:v>
                </c:pt>
                <c:pt idx="167">
                  <c:v>41000</c:v>
                </c:pt>
                <c:pt idx="168">
                  <c:v>40969</c:v>
                </c:pt>
                <c:pt idx="169">
                  <c:v>40940</c:v>
                </c:pt>
                <c:pt idx="170">
                  <c:v>40909</c:v>
                </c:pt>
                <c:pt idx="171">
                  <c:v>40878</c:v>
                </c:pt>
                <c:pt idx="172">
                  <c:v>40848</c:v>
                </c:pt>
                <c:pt idx="173">
                  <c:v>40817</c:v>
                </c:pt>
                <c:pt idx="174">
                  <c:v>40787</c:v>
                </c:pt>
                <c:pt idx="175">
                  <c:v>40756</c:v>
                </c:pt>
                <c:pt idx="176">
                  <c:v>40725</c:v>
                </c:pt>
                <c:pt idx="177">
                  <c:v>40695</c:v>
                </c:pt>
                <c:pt idx="178">
                  <c:v>40664</c:v>
                </c:pt>
                <c:pt idx="179">
                  <c:v>40634</c:v>
                </c:pt>
                <c:pt idx="180">
                  <c:v>40603</c:v>
                </c:pt>
                <c:pt idx="181">
                  <c:v>40575</c:v>
                </c:pt>
                <c:pt idx="182">
                  <c:v>40544</c:v>
                </c:pt>
                <c:pt idx="183">
                  <c:v>40513</c:v>
                </c:pt>
                <c:pt idx="184">
                  <c:v>40483</c:v>
                </c:pt>
                <c:pt idx="185">
                  <c:v>40452</c:v>
                </c:pt>
                <c:pt idx="186">
                  <c:v>40422</c:v>
                </c:pt>
                <c:pt idx="187">
                  <c:v>40391</c:v>
                </c:pt>
                <c:pt idx="188">
                  <c:v>40360</c:v>
                </c:pt>
                <c:pt idx="189">
                  <c:v>40330</c:v>
                </c:pt>
                <c:pt idx="190">
                  <c:v>40299</c:v>
                </c:pt>
                <c:pt idx="191">
                  <c:v>40269</c:v>
                </c:pt>
                <c:pt idx="192">
                  <c:v>40238</c:v>
                </c:pt>
                <c:pt idx="193">
                  <c:v>40210</c:v>
                </c:pt>
                <c:pt idx="194">
                  <c:v>40179</c:v>
                </c:pt>
                <c:pt idx="195">
                  <c:v>40148</c:v>
                </c:pt>
                <c:pt idx="196">
                  <c:v>40118</c:v>
                </c:pt>
                <c:pt idx="197">
                  <c:v>40087</c:v>
                </c:pt>
                <c:pt idx="198">
                  <c:v>40057</c:v>
                </c:pt>
                <c:pt idx="199">
                  <c:v>40026</c:v>
                </c:pt>
                <c:pt idx="200">
                  <c:v>39995</c:v>
                </c:pt>
                <c:pt idx="201">
                  <c:v>39965</c:v>
                </c:pt>
                <c:pt idx="202">
                  <c:v>39934</c:v>
                </c:pt>
                <c:pt idx="203">
                  <c:v>39904</c:v>
                </c:pt>
                <c:pt idx="204">
                  <c:v>39873</c:v>
                </c:pt>
                <c:pt idx="205">
                  <c:v>39845</c:v>
                </c:pt>
                <c:pt idx="206">
                  <c:v>39814</c:v>
                </c:pt>
                <c:pt idx="207">
                  <c:v>39783</c:v>
                </c:pt>
                <c:pt idx="208">
                  <c:v>39753</c:v>
                </c:pt>
                <c:pt idx="209">
                  <c:v>39722</c:v>
                </c:pt>
                <c:pt idx="210">
                  <c:v>39692</c:v>
                </c:pt>
                <c:pt idx="211">
                  <c:v>39661</c:v>
                </c:pt>
                <c:pt idx="212">
                  <c:v>39630</c:v>
                </c:pt>
                <c:pt idx="213">
                  <c:v>39600</c:v>
                </c:pt>
                <c:pt idx="214">
                  <c:v>39569</c:v>
                </c:pt>
                <c:pt idx="215">
                  <c:v>39539</c:v>
                </c:pt>
                <c:pt idx="216">
                  <c:v>39508</c:v>
                </c:pt>
                <c:pt idx="217">
                  <c:v>39479</c:v>
                </c:pt>
                <c:pt idx="218">
                  <c:v>39448</c:v>
                </c:pt>
                <c:pt idx="219">
                  <c:v>39417</c:v>
                </c:pt>
                <c:pt idx="220">
                  <c:v>39387</c:v>
                </c:pt>
                <c:pt idx="221">
                  <c:v>39356</c:v>
                </c:pt>
                <c:pt idx="222">
                  <c:v>39326</c:v>
                </c:pt>
                <c:pt idx="223">
                  <c:v>39295</c:v>
                </c:pt>
                <c:pt idx="224">
                  <c:v>39264</c:v>
                </c:pt>
                <c:pt idx="225">
                  <c:v>39234</c:v>
                </c:pt>
                <c:pt idx="226">
                  <c:v>39203</c:v>
                </c:pt>
                <c:pt idx="227">
                  <c:v>39173</c:v>
                </c:pt>
                <c:pt idx="228">
                  <c:v>39142</c:v>
                </c:pt>
                <c:pt idx="229">
                  <c:v>39114</c:v>
                </c:pt>
                <c:pt idx="230">
                  <c:v>39083</c:v>
                </c:pt>
                <c:pt idx="231">
                  <c:v>39052</c:v>
                </c:pt>
                <c:pt idx="232">
                  <c:v>39022</c:v>
                </c:pt>
                <c:pt idx="233">
                  <c:v>38991</c:v>
                </c:pt>
                <c:pt idx="234">
                  <c:v>38961</c:v>
                </c:pt>
                <c:pt idx="235">
                  <c:v>38930</c:v>
                </c:pt>
                <c:pt idx="236">
                  <c:v>38899</c:v>
                </c:pt>
                <c:pt idx="237">
                  <c:v>38869</c:v>
                </c:pt>
                <c:pt idx="238">
                  <c:v>38838</c:v>
                </c:pt>
                <c:pt idx="239">
                  <c:v>38808</c:v>
                </c:pt>
                <c:pt idx="240">
                  <c:v>38777</c:v>
                </c:pt>
                <c:pt idx="241">
                  <c:v>38749</c:v>
                </c:pt>
                <c:pt idx="242">
                  <c:v>38718</c:v>
                </c:pt>
                <c:pt idx="243">
                  <c:v>38687</c:v>
                </c:pt>
                <c:pt idx="244">
                  <c:v>38657</c:v>
                </c:pt>
                <c:pt idx="245">
                  <c:v>38626</c:v>
                </c:pt>
                <c:pt idx="246">
                  <c:v>38596</c:v>
                </c:pt>
                <c:pt idx="247">
                  <c:v>38565</c:v>
                </c:pt>
                <c:pt idx="248">
                  <c:v>38534</c:v>
                </c:pt>
                <c:pt idx="249">
                  <c:v>38504</c:v>
                </c:pt>
                <c:pt idx="250">
                  <c:v>38473</c:v>
                </c:pt>
                <c:pt idx="251">
                  <c:v>38443</c:v>
                </c:pt>
                <c:pt idx="252">
                  <c:v>38412</c:v>
                </c:pt>
                <c:pt idx="253">
                  <c:v>38384</c:v>
                </c:pt>
                <c:pt idx="254">
                  <c:v>38353</c:v>
                </c:pt>
                <c:pt idx="255">
                  <c:v>38322</c:v>
                </c:pt>
                <c:pt idx="256">
                  <c:v>38292</c:v>
                </c:pt>
                <c:pt idx="257">
                  <c:v>38261</c:v>
                </c:pt>
                <c:pt idx="258">
                  <c:v>38231</c:v>
                </c:pt>
                <c:pt idx="259">
                  <c:v>38200</c:v>
                </c:pt>
                <c:pt idx="260">
                  <c:v>38169</c:v>
                </c:pt>
                <c:pt idx="261">
                  <c:v>38139</c:v>
                </c:pt>
                <c:pt idx="262">
                  <c:v>38108</c:v>
                </c:pt>
                <c:pt idx="263">
                  <c:v>38078</c:v>
                </c:pt>
                <c:pt idx="264">
                  <c:v>38047</c:v>
                </c:pt>
                <c:pt idx="265">
                  <c:v>38018</c:v>
                </c:pt>
                <c:pt idx="266">
                  <c:v>37987</c:v>
                </c:pt>
                <c:pt idx="267">
                  <c:v>37956</c:v>
                </c:pt>
                <c:pt idx="268">
                  <c:v>37926</c:v>
                </c:pt>
                <c:pt idx="269">
                  <c:v>37895</c:v>
                </c:pt>
                <c:pt idx="270">
                  <c:v>37865</c:v>
                </c:pt>
                <c:pt idx="271">
                  <c:v>37834</c:v>
                </c:pt>
                <c:pt idx="272">
                  <c:v>37803</c:v>
                </c:pt>
                <c:pt idx="273">
                  <c:v>37773</c:v>
                </c:pt>
                <c:pt idx="274">
                  <c:v>37742</c:v>
                </c:pt>
                <c:pt idx="275">
                  <c:v>37712</c:v>
                </c:pt>
                <c:pt idx="276">
                  <c:v>37681</c:v>
                </c:pt>
                <c:pt idx="277">
                  <c:v>37653</c:v>
                </c:pt>
                <c:pt idx="278">
                  <c:v>37622</c:v>
                </c:pt>
                <c:pt idx="279">
                  <c:v>37591</c:v>
                </c:pt>
                <c:pt idx="280">
                  <c:v>37561</c:v>
                </c:pt>
                <c:pt idx="281">
                  <c:v>37530</c:v>
                </c:pt>
                <c:pt idx="282">
                  <c:v>37500</c:v>
                </c:pt>
                <c:pt idx="283">
                  <c:v>37469</c:v>
                </c:pt>
                <c:pt idx="284">
                  <c:v>37438</c:v>
                </c:pt>
                <c:pt idx="285">
                  <c:v>37408</c:v>
                </c:pt>
                <c:pt idx="286">
                  <c:v>37377</c:v>
                </c:pt>
                <c:pt idx="287">
                  <c:v>37347</c:v>
                </c:pt>
                <c:pt idx="288">
                  <c:v>37316</c:v>
                </c:pt>
                <c:pt idx="289">
                  <c:v>37288</c:v>
                </c:pt>
                <c:pt idx="290">
                  <c:v>37257</c:v>
                </c:pt>
                <c:pt idx="291">
                  <c:v>37226</c:v>
                </c:pt>
                <c:pt idx="292">
                  <c:v>37196</c:v>
                </c:pt>
                <c:pt idx="293">
                  <c:v>37165</c:v>
                </c:pt>
                <c:pt idx="294">
                  <c:v>37135</c:v>
                </c:pt>
                <c:pt idx="295">
                  <c:v>37104</c:v>
                </c:pt>
                <c:pt idx="296">
                  <c:v>37073</c:v>
                </c:pt>
                <c:pt idx="297">
                  <c:v>37043</c:v>
                </c:pt>
                <c:pt idx="298">
                  <c:v>37012</c:v>
                </c:pt>
              </c:numCache>
            </c:numRef>
          </c:cat>
          <c:val>
            <c:numRef>
              <c:f>'Chart 2.13 data'!$G$8:$G$306</c:f>
              <c:numCache>
                <c:formatCode>0.0000000</c:formatCode>
                <c:ptCount val="299"/>
                <c:pt idx="0">
                  <c:v>4.7912448999999997</c:v>
                </c:pt>
                <c:pt idx="1">
                  <c:v>4.6732155999999998</c:v>
                </c:pt>
                <c:pt idx="2">
                  <c:v>4.2412764000000003</c:v>
                </c:pt>
                <c:pt idx="3">
                  <c:v>4.5664813000000004</c:v>
                </c:pt>
                <c:pt idx="4">
                  <c:v>4.7331189</c:v>
                </c:pt>
                <c:pt idx="5">
                  <c:v>4.6739763999999999</c:v>
                </c:pt>
                <c:pt idx="6">
                  <c:v>4.7385476000000004</c:v>
                </c:pt>
                <c:pt idx="7">
                  <c:v>4.3385883999999999</c:v>
                </c:pt>
                <c:pt idx="8">
                  <c:v>4.6185568000000004</c:v>
                </c:pt>
                <c:pt idx="9">
                  <c:v>4.5643022000000002</c:v>
                </c:pt>
                <c:pt idx="10">
                  <c:v>4.3984014</c:v>
                </c:pt>
                <c:pt idx="11">
                  <c:v>4.2367540000000004</c:v>
                </c:pt>
                <c:pt idx="12">
                  <c:v>4.3336176000000002</c:v>
                </c:pt>
                <c:pt idx="13">
                  <c:v>4.6203352999999998</c:v>
                </c:pt>
                <c:pt idx="14">
                  <c:v>4.7114051999999997</c:v>
                </c:pt>
                <c:pt idx="15">
                  <c:v>4.4505305000000002</c:v>
                </c:pt>
                <c:pt idx="16">
                  <c:v>4.1399951000000001</c:v>
                </c:pt>
                <c:pt idx="17">
                  <c:v>4.5115086</c:v>
                </c:pt>
                <c:pt idx="18">
                  <c:v>4.3498416999999998</c:v>
                </c:pt>
                <c:pt idx="19">
                  <c:v>4.4739054999999999</c:v>
                </c:pt>
                <c:pt idx="20">
                  <c:v>4.5541773000000001</c:v>
                </c:pt>
                <c:pt idx="21">
                  <c:v>4.5261016999999999</c:v>
                </c:pt>
                <c:pt idx="22">
                  <c:v>4.4134226999999999</c:v>
                </c:pt>
                <c:pt idx="23">
                  <c:v>4.3275563000000004</c:v>
                </c:pt>
                <c:pt idx="24">
                  <c:v>4.1058073999999998</c:v>
                </c:pt>
                <c:pt idx="25">
                  <c:v>3.8647497</c:v>
                </c:pt>
                <c:pt idx="26">
                  <c:v>3.966688</c:v>
                </c:pt>
                <c:pt idx="27">
                  <c:v>4.0722240999999997</c:v>
                </c:pt>
                <c:pt idx="28">
                  <c:v>4.0040275999999997</c:v>
                </c:pt>
                <c:pt idx="29">
                  <c:v>3.8342781000000001</c:v>
                </c:pt>
                <c:pt idx="30">
                  <c:v>3.4890222</c:v>
                </c:pt>
                <c:pt idx="31">
                  <c:v>3.5662221999999999</c:v>
                </c:pt>
                <c:pt idx="32">
                  <c:v>3.6615549999999999</c:v>
                </c:pt>
                <c:pt idx="33">
                  <c:v>3.7094773000000001</c:v>
                </c:pt>
                <c:pt idx="34">
                  <c:v>3.7277828999999998</c:v>
                </c:pt>
                <c:pt idx="35">
                  <c:v>3.9115397000000001</c:v>
                </c:pt>
                <c:pt idx="36">
                  <c:v>3.7129544000000001</c:v>
                </c:pt>
                <c:pt idx="37">
                  <c:v>3.7570842</c:v>
                </c:pt>
                <c:pt idx="38">
                  <c:v>4.0660954</c:v>
                </c:pt>
                <c:pt idx="39">
                  <c:v>3.4998572000000001</c:v>
                </c:pt>
                <c:pt idx="40">
                  <c:v>3.6431467</c:v>
                </c:pt>
                <c:pt idx="41">
                  <c:v>3.7020814</c:v>
                </c:pt>
                <c:pt idx="42">
                  <c:v>3.4756410999999998</c:v>
                </c:pt>
                <c:pt idx="43">
                  <c:v>3.8411849999999998</c:v>
                </c:pt>
                <c:pt idx="44">
                  <c:v>3.2570942999999999</c:v>
                </c:pt>
                <c:pt idx="45">
                  <c:v>3.3163140000000002</c:v>
                </c:pt>
                <c:pt idx="46">
                  <c:v>3.7756994000000001</c:v>
                </c:pt>
                <c:pt idx="47">
                  <c:v>4.2209770000000004</c:v>
                </c:pt>
                <c:pt idx="48">
                  <c:v>4.0928769000000003</c:v>
                </c:pt>
                <c:pt idx="49">
                  <c:v>4.1647420999999998</c:v>
                </c:pt>
                <c:pt idx="50">
                  <c:v>4.0944658</c:v>
                </c:pt>
                <c:pt idx="51">
                  <c:v>4.2496213999999997</c:v>
                </c:pt>
                <c:pt idx="52">
                  <c:v>4.6698918999999997</c:v>
                </c:pt>
                <c:pt idx="53">
                  <c:v>5.6018185999999996</c:v>
                </c:pt>
                <c:pt idx="54">
                  <c:v>4.7239471000000002</c:v>
                </c:pt>
                <c:pt idx="55">
                  <c:v>4.0912645000000003</c:v>
                </c:pt>
                <c:pt idx="56">
                  <c:v>4.6164487999999997</c:v>
                </c:pt>
                <c:pt idx="57">
                  <c:v>4.5622508000000002</c:v>
                </c:pt>
                <c:pt idx="58">
                  <c:v>4.7410356</c:v>
                </c:pt>
                <c:pt idx="59">
                  <c:v>5.3860393000000002</c:v>
                </c:pt>
                <c:pt idx="60">
                  <c:v>6.0408368000000001</c:v>
                </c:pt>
                <c:pt idx="61">
                  <c:v>5.7001065000000004</c:v>
                </c:pt>
                <c:pt idx="62">
                  <c:v>6.2626296999999997</c:v>
                </c:pt>
                <c:pt idx="63">
                  <c:v>6.4094981999999998</c:v>
                </c:pt>
                <c:pt idx="64">
                  <c:v>7.0934457999999996</c:v>
                </c:pt>
                <c:pt idx="65">
                  <c:v>7.2767955999999998</c:v>
                </c:pt>
                <c:pt idx="66">
                  <c:v>6.6734643</c:v>
                </c:pt>
                <c:pt idx="67">
                  <c:v>7.1308201000000002</c:v>
                </c:pt>
                <c:pt idx="68">
                  <c:v>6.9587355000000004</c:v>
                </c:pt>
                <c:pt idx="69">
                  <c:v>7.4983627000000004</c:v>
                </c:pt>
                <c:pt idx="70">
                  <c:v>6.7209402000000003</c:v>
                </c:pt>
                <c:pt idx="71">
                  <c:v>5.9073399999999996</c:v>
                </c:pt>
                <c:pt idx="72">
                  <c:v>5.1274981000000004</c:v>
                </c:pt>
                <c:pt idx="73">
                  <c:v>5.3194230999999998</c:v>
                </c:pt>
                <c:pt idx="74">
                  <c:v>5.2907909999999996</c:v>
                </c:pt>
                <c:pt idx="75">
                  <c:v>4.8524121999999998</c:v>
                </c:pt>
                <c:pt idx="76">
                  <c:v>4.5621751000000001</c:v>
                </c:pt>
                <c:pt idx="77">
                  <c:v>4.8130480999999996</c:v>
                </c:pt>
                <c:pt idx="78">
                  <c:v>4.725263</c:v>
                </c:pt>
                <c:pt idx="79">
                  <c:v>4.9460759999999997</c:v>
                </c:pt>
                <c:pt idx="80">
                  <c:v>4.9264865000000002</c:v>
                </c:pt>
                <c:pt idx="81">
                  <c:v>4.8592582000000002</c:v>
                </c:pt>
                <c:pt idx="82">
                  <c:v>4.5439845999999999</c:v>
                </c:pt>
                <c:pt idx="83">
                  <c:v>4.8362867999999999</c:v>
                </c:pt>
                <c:pt idx="84">
                  <c:v>4.6113267000000002</c:v>
                </c:pt>
                <c:pt idx="85">
                  <c:v>4.7905693999999999</c:v>
                </c:pt>
                <c:pt idx="86">
                  <c:v>4.5681547</c:v>
                </c:pt>
                <c:pt idx="87">
                  <c:v>4.1748462999999996</c:v>
                </c:pt>
                <c:pt idx="88">
                  <c:v>4.6154064999999997</c:v>
                </c:pt>
                <c:pt idx="89">
                  <c:v>4.5232025</c:v>
                </c:pt>
                <c:pt idx="90">
                  <c:v>4.5721663000000001</c:v>
                </c:pt>
                <c:pt idx="91">
                  <c:v>4.7783524999999996</c:v>
                </c:pt>
                <c:pt idx="92">
                  <c:v>5.0052398</c:v>
                </c:pt>
                <c:pt idx="93">
                  <c:v>5.6001569</c:v>
                </c:pt>
                <c:pt idx="94">
                  <c:v>5.0275226000000002</c:v>
                </c:pt>
                <c:pt idx="95">
                  <c:v>5.1939532000000002</c:v>
                </c:pt>
                <c:pt idx="96">
                  <c:v>5.2330215999999998</c:v>
                </c:pt>
                <c:pt idx="97">
                  <c:v>5.6331683999999997</c:v>
                </c:pt>
                <c:pt idx="98">
                  <c:v>5.5518587000000004</c:v>
                </c:pt>
                <c:pt idx="99">
                  <c:v>6.1319496999999998</c:v>
                </c:pt>
                <c:pt idx="100">
                  <c:v>5.5174759</c:v>
                </c:pt>
                <c:pt idx="101">
                  <c:v>5.7701978</c:v>
                </c:pt>
                <c:pt idx="102">
                  <c:v>6.0118945999999998</c:v>
                </c:pt>
                <c:pt idx="103">
                  <c:v>6.1201248000000001</c:v>
                </c:pt>
                <c:pt idx="104">
                  <c:v>6.1433698000000003</c:v>
                </c:pt>
                <c:pt idx="105">
                  <c:v>5.9407471000000003</c:v>
                </c:pt>
                <c:pt idx="106">
                  <c:v>5.9825511000000002</c:v>
                </c:pt>
                <c:pt idx="107">
                  <c:v>6.1085466999999998</c:v>
                </c:pt>
                <c:pt idx="108">
                  <c:v>6.1896125</c:v>
                </c:pt>
                <c:pt idx="109">
                  <c:v>5.9557301999999996</c:v>
                </c:pt>
                <c:pt idx="110">
                  <c:v>5.7729892999999999</c:v>
                </c:pt>
                <c:pt idx="111">
                  <c:v>6.0559460999999999</c:v>
                </c:pt>
                <c:pt idx="112">
                  <c:v>6.0884840000000002</c:v>
                </c:pt>
                <c:pt idx="113">
                  <c:v>5.8421400999999999</c:v>
                </c:pt>
                <c:pt idx="114">
                  <c:v>5.8071162000000003</c:v>
                </c:pt>
                <c:pt idx="115">
                  <c:v>5.5397601999999999</c:v>
                </c:pt>
                <c:pt idx="116">
                  <c:v>5.8754258999999998</c:v>
                </c:pt>
                <c:pt idx="117">
                  <c:v>5.6751265000000002</c:v>
                </c:pt>
                <c:pt idx="118">
                  <c:v>5.8007172999999996</c:v>
                </c:pt>
                <c:pt idx="119">
                  <c:v>5.5517130999999997</c:v>
                </c:pt>
                <c:pt idx="120">
                  <c:v>5.6441606000000002</c:v>
                </c:pt>
                <c:pt idx="121">
                  <c:v>5.8132460999999997</c:v>
                </c:pt>
                <c:pt idx="122">
                  <c:v>6.3251379999999999</c:v>
                </c:pt>
                <c:pt idx="123">
                  <c:v>5.9746027000000002</c:v>
                </c:pt>
                <c:pt idx="124">
                  <c:v>6.2295232</c:v>
                </c:pt>
                <c:pt idx="125">
                  <c:v>5.6938968000000001</c:v>
                </c:pt>
                <c:pt idx="126">
                  <c:v>6.3143072</c:v>
                </c:pt>
                <c:pt idx="127">
                  <c:v>5.9404012000000002</c:v>
                </c:pt>
                <c:pt idx="128">
                  <c:v>6.3697542</c:v>
                </c:pt>
                <c:pt idx="129">
                  <c:v>6.0247855000000001</c:v>
                </c:pt>
                <c:pt idx="130">
                  <c:v>5.9353961000000002</c:v>
                </c:pt>
                <c:pt idx="131">
                  <c:v>6.1695070000000003</c:v>
                </c:pt>
                <c:pt idx="132">
                  <c:v>6.2276414000000004</c:v>
                </c:pt>
                <c:pt idx="133">
                  <c:v>5.9153188999999999</c:v>
                </c:pt>
                <c:pt idx="134">
                  <c:v>6.5320748999999996</c:v>
                </c:pt>
                <c:pt idx="135">
                  <c:v>6.4418009999999999</c:v>
                </c:pt>
                <c:pt idx="136">
                  <c:v>6.7490908999999997</c:v>
                </c:pt>
                <c:pt idx="137">
                  <c:v>6.9846285000000004</c:v>
                </c:pt>
                <c:pt idx="138">
                  <c:v>6.8572499999999996</c:v>
                </c:pt>
                <c:pt idx="139">
                  <c:v>6.8069549</c:v>
                </c:pt>
                <c:pt idx="140">
                  <c:v>6.8176851000000003</c:v>
                </c:pt>
                <c:pt idx="141">
                  <c:v>6.6038986</c:v>
                </c:pt>
                <c:pt idx="142">
                  <c:v>6.2206475000000001</c:v>
                </c:pt>
                <c:pt idx="143">
                  <c:v>6.4614763000000002</c:v>
                </c:pt>
                <c:pt idx="144">
                  <c:v>6.4933122000000001</c:v>
                </c:pt>
                <c:pt idx="145">
                  <c:v>6.3348541999999997</c:v>
                </c:pt>
                <c:pt idx="146">
                  <c:v>6.3574289999999998</c:v>
                </c:pt>
                <c:pt idx="147">
                  <c:v>6.2666503000000002</c:v>
                </c:pt>
                <c:pt idx="148">
                  <c:v>6.1869303999999996</c:v>
                </c:pt>
                <c:pt idx="149">
                  <c:v>6.1500845999999996</c:v>
                </c:pt>
                <c:pt idx="150">
                  <c:v>5.8807942000000004</c:v>
                </c:pt>
                <c:pt idx="151">
                  <c:v>5.8138864999999997</c:v>
                </c:pt>
                <c:pt idx="152">
                  <c:v>5.6644081000000002</c:v>
                </c:pt>
                <c:pt idx="153">
                  <c:v>5.9217028000000003</c:v>
                </c:pt>
                <c:pt idx="154">
                  <c:v>5.5925754000000003</c:v>
                </c:pt>
                <c:pt idx="155">
                  <c:v>5.9042574999999999</c:v>
                </c:pt>
                <c:pt idx="156">
                  <c:v>5.7084128999999999</c:v>
                </c:pt>
                <c:pt idx="157">
                  <c:v>5.6187754999999999</c:v>
                </c:pt>
                <c:pt idx="158">
                  <c:v>5.9561504000000003</c:v>
                </c:pt>
                <c:pt idx="159">
                  <c:v>5.6628920000000003</c:v>
                </c:pt>
                <c:pt idx="160">
                  <c:v>5.4025607000000004</c:v>
                </c:pt>
                <c:pt idx="161">
                  <c:v>5.4839918000000001</c:v>
                </c:pt>
                <c:pt idx="162">
                  <c:v>5.6460024000000004</c:v>
                </c:pt>
                <c:pt idx="163">
                  <c:v>5.6034837</c:v>
                </c:pt>
                <c:pt idx="164">
                  <c:v>5.406898</c:v>
                </c:pt>
                <c:pt idx="165">
                  <c:v>5.5333625</c:v>
                </c:pt>
                <c:pt idx="166">
                  <c:v>5.5460004999999999</c:v>
                </c:pt>
                <c:pt idx="167">
                  <c:v>5.3002976000000004</c:v>
                </c:pt>
                <c:pt idx="168">
                  <c:v>5.8311111000000002</c:v>
                </c:pt>
                <c:pt idx="169">
                  <c:v>5.5158354999999997</c:v>
                </c:pt>
                <c:pt idx="170">
                  <c:v>5.0207231999999999</c:v>
                </c:pt>
                <c:pt idx="171">
                  <c:v>5.1975327</c:v>
                </c:pt>
                <c:pt idx="172">
                  <c:v>5.3917805999999997</c:v>
                </c:pt>
                <c:pt idx="173">
                  <c:v>5.3960819000000004</c:v>
                </c:pt>
                <c:pt idx="174">
                  <c:v>5.3220405</c:v>
                </c:pt>
                <c:pt idx="175">
                  <c:v>5.1605447</c:v>
                </c:pt>
                <c:pt idx="176">
                  <c:v>5.1869050999999997</c:v>
                </c:pt>
                <c:pt idx="177">
                  <c:v>4.6595019999999998</c:v>
                </c:pt>
                <c:pt idx="178">
                  <c:v>5.1950973999999999</c:v>
                </c:pt>
                <c:pt idx="179">
                  <c:v>4.7358048999999998</c:v>
                </c:pt>
                <c:pt idx="180">
                  <c:v>4.4061805999999999</c:v>
                </c:pt>
                <c:pt idx="181">
                  <c:v>5.0169473</c:v>
                </c:pt>
                <c:pt idx="182">
                  <c:v>4.9601161999999999</c:v>
                </c:pt>
                <c:pt idx="183">
                  <c:v>4.8447956000000003</c:v>
                </c:pt>
                <c:pt idx="184">
                  <c:v>5.2127154999999998</c:v>
                </c:pt>
                <c:pt idx="185">
                  <c:v>5.4769892000000002</c:v>
                </c:pt>
                <c:pt idx="186">
                  <c:v>5.1693441</c:v>
                </c:pt>
                <c:pt idx="187">
                  <c:v>5.4293978999999997</c:v>
                </c:pt>
                <c:pt idx="188">
                  <c:v>5.4585488</c:v>
                </c:pt>
                <c:pt idx="189">
                  <c:v>5.5035379000000004</c:v>
                </c:pt>
                <c:pt idx="190">
                  <c:v>5.5125814999999996</c:v>
                </c:pt>
                <c:pt idx="191">
                  <c:v>5.4241630000000001</c:v>
                </c:pt>
                <c:pt idx="192">
                  <c:v>5.4503211</c:v>
                </c:pt>
                <c:pt idx="193">
                  <c:v>5.3097580999999998</c:v>
                </c:pt>
                <c:pt idx="194">
                  <c:v>5.2692569999999996</c:v>
                </c:pt>
                <c:pt idx="195">
                  <c:v>5.3570624999999996</c:v>
                </c:pt>
                <c:pt idx="196">
                  <c:v>5.1818388000000004</c:v>
                </c:pt>
                <c:pt idx="197">
                  <c:v>5.5811194999999998</c:v>
                </c:pt>
                <c:pt idx="198">
                  <c:v>5.5702810999999999</c:v>
                </c:pt>
                <c:pt idx="199">
                  <c:v>6.0967336999999997</c:v>
                </c:pt>
                <c:pt idx="200">
                  <c:v>5.7765787</c:v>
                </c:pt>
                <c:pt idx="201">
                  <c:v>6.1504501999999999</c:v>
                </c:pt>
                <c:pt idx="202">
                  <c:v>6.0162903999999999</c:v>
                </c:pt>
                <c:pt idx="203">
                  <c:v>5.7667773000000002</c:v>
                </c:pt>
                <c:pt idx="204">
                  <c:v>5.7027885999999999</c:v>
                </c:pt>
                <c:pt idx="205">
                  <c:v>5.6501729000000003</c:v>
                </c:pt>
                <c:pt idx="206">
                  <c:v>4.9033956999999999</c:v>
                </c:pt>
                <c:pt idx="207">
                  <c:v>4.8111113000000003</c:v>
                </c:pt>
                <c:pt idx="208">
                  <c:v>4.4910994999999998</c:v>
                </c:pt>
                <c:pt idx="209">
                  <c:v>4.3303227</c:v>
                </c:pt>
                <c:pt idx="210">
                  <c:v>4.3673419999999998</c:v>
                </c:pt>
                <c:pt idx="211">
                  <c:v>4.1803793999999996</c:v>
                </c:pt>
                <c:pt idx="212">
                  <c:v>4.6316100000000002</c:v>
                </c:pt>
                <c:pt idx="213">
                  <c:v>4.6650885999999998</c:v>
                </c:pt>
                <c:pt idx="214">
                  <c:v>4.3179828999999996</c:v>
                </c:pt>
                <c:pt idx="215">
                  <c:v>4.6878605000000002</c:v>
                </c:pt>
                <c:pt idx="216">
                  <c:v>4.2686916999999998</c:v>
                </c:pt>
                <c:pt idx="217">
                  <c:v>4.1626808000000004</c:v>
                </c:pt>
                <c:pt idx="218">
                  <c:v>4.5064900999999997</c:v>
                </c:pt>
                <c:pt idx="219">
                  <c:v>4.8807419000000003</c:v>
                </c:pt>
                <c:pt idx="220">
                  <c:v>4.9317868999999996</c:v>
                </c:pt>
                <c:pt idx="221">
                  <c:v>4.3894713000000003</c:v>
                </c:pt>
                <c:pt idx="222">
                  <c:v>4.2498842999999997</c:v>
                </c:pt>
                <c:pt idx="223">
                  <c:v>4.7222384000000002</c:v>
                </c:pt>
                <c:pt idx="224">
                  <c:v>4.3212169999999999</c:v>
                </c:pt>
                <c:pt idx="225">
                  <c:v>4.6447702</c:v>
                </c:pt>
                <c:pt idx="226">
                  <c:v>4.7122916000000004</c:v>
                </c:pt>
                <c:pt idx="227">
                  <c:v>4.7028968999999998</c:v>
                </c:pt>
                <c:pt idx="228">
                  <c:v>4.8381439000000004</c:v>
                </c:pt>
                <c:pt idx="229">
                  <c:v>4.8156197000000001</c:v>
                </c:pt>
                <c:pt idx="230">
                  <c:v>4.9522830999999998</c:v>
                </c:pt>
                <c:pt idx="231">
                  <c:v>5.0501405000000004</c:v>
                </c:pt>
                <c:pt idx="232">
                  <c:v>4.7347995000000003</c:v>
                </c:pt>
                <c:pt idx="233">
                  <c:v>4.9155775999999998</c:v>
                </c:pt>
                <c:pt idx="234">
                  <c:v>4.5794046000000002</c:v>
                </c:pt>
                <c:pt idx="235">
                  <c:v>4.5326808999999999</c:v>
                </c:pt>
                <c:pt idx="236">
                  <c:v>5.0550310999999999</c:v>
                </c:pt>
                <c:pt idx="237">
                  <c:v>5.0103754</c:v>
                </c:pt>
                <c:pt idx="238">
                  <c:v>5.0298679000000002</c:v>
                </c:pt>
                <c:pt idx="239">
                  <c:v>5.1872575999999997</c:v>
                </c:pt>
                <c:pt idx="240">
                  <c:v>5.1149516999999998</c:v>
                </c:pt>
                <c:pt idx="241">
                  <c:v>5.3031864000000004</c:v>
                </c:pt>
                <c:pt idx="242">
                  <c:v>5.2734123999999998</c:v>
                </c:pt>
                <c:pt idx="243">
                  <c:v>5.3171147000000003</c:v>
                </c:pt>
                <c:pt idx="244">
                  <c:v>5.2995200999999996</c:v>
                </c:pt>
                <c:pt idx="245">
                  <c:v>5.3465039000000001</c:v>
                </c:pt>
                <c:pt idx="246">
                  <c:v>5.4777965000000002</c:v>
                </c:pt>
                <c:pt idx="247">
                  <c:v>5.0851743000000003</c:v>
                </c:pt>
                <c:pt idx="248">
                  <c:v>5.2532942</c:v>
                </c:pt>
                <c:pt idx="249">
                  <c:v>5.1738362000000002</c:v>
                </c:pt>
                <c:pt idx="250">
                  <c:v>5.3621657000000003</c:v>
                </c:pt>
                <c:pt idx="251">
                  <c:v>5.4111777999999999</c:v>
                </c:pt>
                <c:pt idx="252">
                  <c:v>5.3702268000000002</c:v>
                </c:pt>
                <c:pt idx="253">
                  <c:v>5.4571335999999997</c:v>
                </c:pt>
                <c:pt idx="254">
                  <c:v>5.3931259000000003</c:v>
                </c:pt>
                <c:pt idx="255">
                  <c:v>5.5515084000000003</c:v>
                </c:pt>
                <c:pt idx="256">
                  <c:v>5.6748146000000004</c:v>
                </c:pt>
                <c:pt idx="257">
                  <c:v>5.6586534000000004</c:v>
                </c:pt>
                <c:pt idx="258">
                  <c:v>5.8141594999999997</c:v>
                </c:pt>
                <c:pt idx="259">
                  <c:v>5.8244084999999997</c:v>
                </c:pt>
                <c:pt idx="260">
                  <c:v>5.4193528999999998</c:v>
                </c:pt>
                <c:pt idx="261">
                  <c:v>5.3200361000000003</c:v>
                </c:pt>
                <c:pt idx="262">
                  <c:v>5.0561081999999997</c:v>
                </c:pt>
                <c:pt idx="263">
                  <c:v>5.5571314000000003</c:v>
                </c:pt>
                <c:pt idx="264">
                  <c:v>5.2262833000000004</c:v>
                </c:pt>
                <c:pt idx="265">
                  <c:v>5.588597</c:v>
                </c:pt>
                <c:pt idx="266">
                  <c:v>5.4817242000000004</c:v>
                </c:pt>
                <c:pt idx="267">
                  <c:v>5.5586361999999996</c:v>
                </c:pt>
                <c:pt idx="268">
                  <c:v>5.2780028999999997</c:v>
                </c:pt>
                <c:pt idx="269">
                  <c:v>5.5510457999999998</c:v>
                </c:pt>
                <c:pt idx="270">
                  <c:v>5.3019109000000002</c:v>
                </c:pt>
                <c:pt idx="271">
                  <c:v>5.5144225000000002</c:v>
                </c:pt>
                <c:pt idx="272">
                  <c:v>5.6844137999999997</c:v>
                </c:pt>
                <c:pt idx="273">
                  <c:v>5.8975799999999996</c:v>
                </c:pt>
                <c:pt idx="274">
                  <c:v>5.8867918000000001</c:v>
                </c:pt>
                <c:pt idx="275">
                  <c:v>5.7319345000000004</c:v>
                </c:pt>
                <c:pt idx="276">
                  <c:v>5.6173460000000004</c:v>
                </c:pt>
                <c:pt idx="277">
                  <c:v>5.0716945999999998</c:v>
                </c:pt>
                <c:pt idx="278">
                  <c:v>5.5743261999999998</c:v>
                </c:pt>
                <c:pt idx="279">
                  <c:v>5.5965357999999998</c:v>
                </c:pt>
                <c:pt idx="280">
                  <c:v>5.7734408000000004</c:v>
                </c:pt>
                <c:pt idx="281">
                  <c:v>5.9674605999999999</c:v>
                </c:pt>
                <c:pt idx="282">
                  <c:v>5.8986697000000001</c:v>
                </c:pt>
                <c:pt idx="283">
                  <c:v>6.2236405000000001</c:v>
                </c:pt>
                <c:pt idx="284">
                  <c:v>5.5639488999999998</c:v>
                </c:pt>
                <c:pt idx="285">
                  <c:v>6.3212384000000004</c:v>
                </c:pt>
                <c:pt idx="286">
                  <c:v>5.7913763999999999</c:v>
                </c:pt>
                <c:pt idx="287">
                  <c:v>5.6312708999999996</c:v>
                </c:pt>
                <c:pt idx="288">
                  <c:v>6.0335557</c:v>
                </c:pt>
                <c:pt idx="289">
                  <c:v>6.2693149000000004</c:v>
                </c:pt>
                <c:pt idx="290">
                  <c:v>6.5956669999999997</c:v>
                </c:pt>
                <c:pt idx="291">
                  <c:v>6.7447784000000004</c:v>
                </c:pt>
                <c:pt idx="292">
                  <c:v>6.6755807999999996</c:v>
                </c:pt>
                <c:pt idx="293">
                  <c:v>7.1440919999999997</c:v>
                </c:pt>
                <c:pt idx="294">
                  <c:v>6.3604000000000003</c:v>
                </c:pt>
                <c:pt idx="295">
                  <c:v>6.5899891000000004</c:v>
                </c:pt>
                <c:pt idx="296">
                  <c:v>6.4587475999999997</c:v>
                </c:pt>
                <c:pt idx="297">
                  <c:v>6.3241481000000004</c:v>
                </c:pt>
                <c:pt idx="298">
                  <c:v>6.4176450999999997</c:v>
                </c:pt>
              </c:numCache>
            </c:numRef>
          </c:val>
          <c:smooth val="0"/>
          <c:extLst>
            <c:ext xmlns:c16="http://schemas.microsoft.com/office/drawing/2014/chart" uri="{C3380CC4-5D6E-409C-BE32-E72D297353CC}">
              <c16:uniqueId val="{00000000-A53A-41DE-AE1D-A76E5E99A62B}"/>
            </c:ext>
          </c:extLst>
        </c:ser>
        <c:ser>
          <c:idx val="1"/>
          <c:order val="1"/>
          <c:spPr>
            <a:ln w="15875" cap="rnd">
              <a:solidFill>
                <a:schemeClr val="bg2">
                  <a:lumMod val="75000"/>
                </a:schemeClr>
              </a:solidFill>
              <a:prstDash val="sysDash"/>
              <a:round/>
            </a:ln>
            <a:effectLst/>
          </c:spPr>
          <c:marker>
            <c:symbol val="none"/>
          </c:marker>
          <c:cat>
            <c:numRef>
              <c:f>'Chart 2.13 data'!$D$8:$D$306</c:f>
              <c:numCache>
                <c:formatCode>mmm"-"yyyy</c:formatCode>
                <c:ptCount val="299"/>
                <c:pt idx="0">
                  <c:v>46082</c:v>
                </c:pt>
                <c:pt idx="1">
                  <c:v>46054</c:v>
                </c:pt>
                <c:pt idx="2">
                  <c:v>46023</c:v>
                </c:pt>
                <c:pt idx="3">
                  <c:v>45992</c:v>
                </c:pt>
                <c:pt idx="4">
                  <c:v>45962</c:v>
                </c:pt>
                <c:pt idx="5">
                  <c:v>45931</c:v>
                </c:pt>
                <c:pt idx="6">
                  <c:v>45901</c:v>
                </c:pt>
                <c:pt idx="7">
                  <c:v>45870</c:v>
                </c:pt>
                <c:pt idx="8">
                  <c:v>45839</c:v>
                </c:pt>
                <c:pt idx="9">
                  <c:v>45809</c:v>
                </c:pt>
                <c:pt idx="10">
                  <c:v>45778</c:v>
                </c:pt>
                <c:pt idx="11">
                  <c:v>45748</c:v>
                </c:pt>
                <c:pt idx="12">
                  <c:v>45717</c:v>
                </c:pt>
                <c:pt idx="13">
                  <c:v>45689</c:v>
                </c:pt>
                <c:pt idx="14">
                  <c:v>45658</c:v>
                </c:pt>
                <c:pt idx="15">
                  <c:v>45627</c:v>
                </c:pt>
                <c:pt idx="16">
                  <c:v>45597</c:v>
                </c:pt>
                <c:pt idx="17">
                  <c:v>45566</c:v>
                </c:pt>
                <c:pt idx="18">
                  <c:v>45536</c:v>
                </c:pt>
                <c:pt idx="19">
                  <c:v>45505</c:v>
                </c:pt>
                <c:pt idx="20">
                  <c:v>45474</c:v>
                </c:pt>
                <c:pt idx="21">
                  <c:v>45444</c:v>
                </c:pt>
                <c:pt idx="22">
                  <c:v>45413</c:v>
                </c:pt>
                <c:pt idx="23">
                  <c:v>45383</c:v>
                </c:pt>
                <c:pt idx="24">
                  <c:v>45352</c:v>
                </c:pt>
                <c:pt idx="25">
                  <c:v>45323</c:v>
                </c:pt>
                <c:pt idx="26">
                  <c:v>45292</c:v>
                </c:pt>
                <c:pt idx="27">
                  <c:v>45261</c:v>
                </c:pt>
                <c:pt idx="28">
                  <c:v>45231</c:v>
                </c:pt>
                <c:pt idx="29">
                  <c:v>45200</c:v>
                </c:pt>
                <c:pt idx="30">
                  <c:v>45170</c:v>
                </c:pt>
                <c:pt idx="31">
                  <c:v>45139</c:v>
                </c:pt>
                <c:pt idx="32">
                  <c:v>45108</c:v>
                </c:pt>
                <c:pt idx="33">
                  <c:v>45078</c:v>
                </c:pt>
                <c:pt idx="34">
                  <c:v>45047</c:v>
                </c:pt>
                <c:pt idx="35">
                  <c:v>45017</c:v>
                </c:pt>
                <c:pt idx="36">
                  <c:v>44986</c:v>
                </c:pt>
                <c:pt idx="37">
                  <c:v>44958</c:v>
                </c:pt>
                <c:pt idx="38">
                  <c:v>44927</c:v>
                </c:pt>
                <c:pt idx="39">
                  <c:v>44896</c:v>
                </c:pt>
                <c:pt idx="40">
                  <c:v>44866</c:v>
                </c:pt>
                <c:pt idx="41">
                  <c:v>44835</c:v>
                </c:pt>
                <c:pt idx="42">
                  <c:v>44805</c:v>
                </c:pt>
                <c:pt idx="43">
                  <c:v>44774</c:v>
                </c:pt>
                <c:pt idx="44">
                  <c:v>44743</c:v>
                </c:pt>
                <c:pt idx="45">
                  <c:v>44713</c:v>
                </c:pt>
                <c:pt idx="46">
                  <c:v>44682</c:v>
                </c:pt>
                <c:pt idx="47">
                  <c:v>44652</c:v>
                </c:pt>
                <c:pt idx="48">
                  <c:v>44621</c:v>
                </c:pt>
                <c:pt idx="49">
                  <c:v>44593</c:v>
                </c:pt>
                <c:pt idx="50">
                  <c:v>44562</c:v>
                </c:pt>
                <c:pt idx="51">
                  <c:v>44531</c:v>
                </c:pt>
                <c:pt idx="52">
                  <c:v>44501</c:v>
                </c:pt>
                <c:pt idx="53">
                  <c:v>44470</c:v>
                </c:pt>
                <c:pt idx="54">
                  <c:v>44440</c:v>
                </c:pt>
                <c:pt idx="55">
                  <c:v>44409</c:v>
                </c:pt>
                <c:pt idx="56">
                  <c:v>44378</c:v>
                </c:pt>
                <c:pt idx="57">
                  <c:v>44348</c:v>
                </c:pt>
                <c:pt idx="58">
                  <c:v>44317</c:v>
                </c:pt>
                <c:pt idx="59">
                  <c:v>44287</c:v>
                </c:pt>
                <c:pt idx="60">
                  <c:v>44256</c:v>
                </c:pt>
                <c:pt idx="61">
                  <c:v>44228</c:v>
                </c:pt>
                <c:pt idx="62">
                  <c:v>44197</c:v>
                </c:pt>
                <c:pt idx="63">
                  <c:v>44166</c:v>
                </c:pt>
                <c:pt idx="64">
                  <c:v>44136</c:v>
                </c:pt>
                <c:pt idx="65">
                  <c:v>44105</c:v>
                </c:pt>
                <c:pt idx="66">
                  <c:v>44075</c:v>
                </c:pt>
                <c:pt idx="67">
                  <c:v>44044</c:v>
                </c:pt>
                <c:pt idx="68">
                  <c:v>44013</c:v>
                </c:pt>
                <c:pt idx="69">
                  <c:v>43983</c:v>
                </c:pt>
                <c:pt idx="70">
                  <c:v>43952</c:v>
                </c:pt>
                <c:pt idx="71">
                  <c:v>43922</c:v>
                </c:pt>
                <c:pt idx="72">
                  <c:v>43891</c:v>
                </c:pt>
                <c:pt idx="73">
                  <c:v>43862</c:v>
                </c:pt>
                <c:pt idx="74">
                  <c:v>43831</c:v>
                </c:pt>
                <c:pt idx="75">
                  <c:v>43800</c:v>
                </c:pt>
                <c:pt idx="76">
                  <c:v>43770</c:v>
                </c:pt>
                <c:pt idx="77">
                  <c:v>43739</c:v>
                </c:pt>
                <c:pt idx="78">
                  <c:v>43709</c:v>
                </c:pt>
                <c:pt idx="79">
                  <c:v>43678</c:v>
                </c:pt>
                <c:pt idx="80">
                  <c:v>43647</c:v>
                </c:pt>
                <c:pt idx="81">
                  <c:v>43617</c:v>
                </c:pt>
                <c:pt idx="82">
                  <c:v>43586</c:v>
                </c:pt>
                <c:pt idx="83">
                  <c:v>43556</c:v>
                </c:pt>
                <c:pt idx="84">
                  <c:v>43525</c:v>
                </c:pt>
                <c:pt idx="85">
                  <c:v>43497</c:v>
                </c:pt>
                <c:pt idx="86">
                  <c:v>43466</c:v>
                </c:pt>
                <c:pt idx="87">
                  <c:v>43435</c:v>
                </c:pt>
                <c:pt idx="88">
                  <c:v>43405</c:v>
                </c:pt>
                <c:pt idx="89">
                  <c:v>43374</c:v>
                </c:pt>
                <c:pt idx="90">
                  <c:v>43344</c:v>
                </c:pt>
                <c:pt idx="91">
                  <c:v>43313</c:v>
                </c:pt>
                <c:pt idx="92">
                  <c:v>43282</c:v>
                </c:pt>
                <c:pt idx="93">
                  <c:v>43252</c:v>
                </c:pt>
                <c:pt idx="94">
                  <c:v>43221</c:v>
                </c:pt>
                <c:pt idx="95">
                  <c:v>43191</c:v>
                </c:pt>
                <c:pt idx="96">
                  <c:v>43160</c:v>
                </c:pt>
                <c:pt idx="97">
                  <c:v>43132</c:v>
                </c:pt>
                <c:pt idx="98">
                  <c:v>43101</c:v>
                </c:pt>
                <c:pt idx="99">
                  <c:v>43070</c:v>
                </c:pt>
                <c:pt idx="100">
                  <c:v>43040</c:v>
                </c:pt>
                <c:pt idx="101">
                  <c:v>43009</c:v>
                </c:pt>
                <c:pt idx="102">
                  <c:v>42979</c:v>
                </c:pt>
                <c:pt idx="103">
                  <c:v>42948</c:v>
                </c:pt>
                <c:pt idx="104">
                  <c:v>42917</c:v>
                </c:pt>
                <c:pt idx="105">
                  <c:v>42887</c:v>
                </c:pt>
                <c:pt idx="106">
                  <c:v>42856</c:v>
                </c:pt>
                <c:pt idx="107">
                  <c:v>42826</c:v>
                </c:pt>
                <c:pt idx="108">
                  <c:v>42795</c:v>
                </c:pt>
                <c:pt idx="109">
                  <c:v>42767</c:v>
                </c:pt>
                <c:pt idx="110">
                  <c:v>42736</c:v>
                </c:pt>
                <c:pt idx="111">
                  <c:v>42705</c:v>
                </c:pt>
                <c:pt idx="112">
                  <c:v>42675</c:v>
                </c:pt>
                <c:pt idx="113">
                  <c:v>42644</c:v>
                </c:pt>
                <c:pt idx="114">
                  <c:v>42614</c:v>
                </c:pt>
                <c:pt idx="115">
                  <c:v>42583</c:v>
                </c:pt>
                <c:pt idx="116">
                  <c:v>42552</c:v>
                </c:pt>
                <c:pt idx="117">
                  <c:v>42522</c:v>
                </c:pt>
                <c:pt idx="118">
                  <c:v>42491</c:v>
                </c:pt>
                <c:pt idx="119">
                  <c:v>42461</c:v>
                </c:pt>
                <c:pt idx="120">
                  <c:v>42430</c:v>
                </c:pt>
                <c:pt idx="121">
                  <c:v>42401</c:v>
                </c:pt>
                <c:pt idx="122">
                  <c:v>42370</c:v>
                </c:pt>
                <c:pt idx="123">
                  <c:v>42339</c:v>
                </c:pt>
                <c:pt idx="124">
                  <c:v>42309</c:v>
                </c:pt>
                <c:pt idx="125">
                  <c:v>42278</c:v>
                </c:pt>
                <c:pt idx="126">
                  <c:v>42248</c:v>
                </c:pt>
                <c:pt idx="127">
                  <c:v>42217</c:v>
                </c:pt>
                <c:pt idx="128">
                  <c:v>42186</c:v>
                </c:pt>
                <c:pt idx="129">
                  <c:v>42156</c:v>
                </c:pt>
                <c:pt idx="130">
                  <c:v>42125</c:v>
                </c:pt>
                <c:pt idx="131">
                  <c:v>42095</c:v>
                </c:pt>
                <c:pt idx="132">
                  <c:v>42064</c:v>
                </c:pt>
                <c:pt idx="133">
                  <c:v>42036</c:v>
                </c:pt>
                <c:pt idx="134">
                  <c:v>42005</c:v>
                </c:pt>
                <c:pt idx="135">
                  <c:v>41974</c:v>
                </c:pt>
                <c:pt idx="136">
                  <c:v>41944</c:v>
                </c:pt>
                <c:pt idx="137">
                  <c:v>41913</c:v>
                </c:pt>
                <c:pt idx="138">
                  <c:v>41883</c:v>
                </c:pt>
                <c:pt idx="139">
                  <c:v>41852</c:v>
                </c:pt>
                <c:pt idx="140">
                  <c:v>41821</c:v>
                </c:pt>
                <c:pt idx="141">
                  <c:v>41791</c:v>
                </c:pt>
                <c:pt idx="142">
                  <c:v>41760</c:v>
                </c:pt>
                <c:pt idx="143">
                  <c:v>41730</c:v>
                </c:pt>
                <c:pt idx="144">
                  <c:v>41699</c:v>
                </c:pt>
                <c:pt idx="145">
                  <c:v>41671</c:v>
                </c:pt>
                <c:pt idx="146">
                  <c:v>41640</c:v>
                </c:pt>
                <c:pt idx="147">
                  <c:v>41609</c:v>
                </c:pt>
                <c:pt idx="148">
                  <c:v>41579</c:v>
                </c:pt>
                <c:pt idx="149">
                  <c:v>41548</c:v>
                </c:pt>
                <c:pt idx="150">
                  <c:v>41518</c:v>
                </c:pt>
                <c:pt idx="151">
                  <c:v>41487</c:v>
                </c:pt>
                <c:pt idx="152">
                  <c:v>41456</c:v>
                </c:pt>
                <c:pt idx="153">
                  <c:v>41426</c:v>
                </c:pt>
                <c:pt idx="154">
                  <c:v>41395</c:v>
                </c:pt>
                <c:pt idx="155">
                  <c:v>41365</c:v>
                </c:pt>
                <c:pt idx="156">
                  <c:v>41334</c:v>
                </c:pt>
                <c:pt idx="157">
                  <c:v>41306</c:v>
                </c:pt>
                <c:pt idx="158">
                  <c:v>41275</c:v>
                </c:pt>
                <c:pt idx="159">
                  <c:v>41244</c:v>
                </c:pt>
                <c:pt idx="160">
                  <c:v>41214</c:v>
                </c:pt>
                <c:pt idx="161">
                  <c:v>41183</c:v>
                </c:pt>
                <c:pt idx="162">
                  <c:v>41153</c:v>
                </c:pt>
                <c:pt idx="163">
                  <c:v>41122</c:v>
                </c:pt>
                <c:pt idx="164">
                  <c:v>41091</c:v>
                </c:pt>
                <c:pt idx="165">
                  <c:v>41061</c:v>
                </c:pt>
                <c:pt idx="166">
                  <c:v>41030</c:v>
                </c:pt>
                <c:pt idx="167">
                  <c:v>41000</c:v>
                </c:pt>
                <c:pt idx="168">
                  <c:v>40969</c:v>
                </c:pt>
                <c:pt idx="169">
                  <c:v>40940</c:v>
                </c:pt>
                <c:pt idx="170">
                  <c:v>40909</c:v>
                </c:pt>
                <c:pt idx="171">
                  <c:v>40878</c:v>
                </c:pt>
                <c:pt idx="172">
                  <c:v>40848</c:v>
                </c:pt>
                <c:pt idx="173">
                  <c:v>40817</c:v>
                </c:pt>
                <c:pt idx="174">
                  <c:v>40787</c:v>
                </c:pt>
                <c:pt idx="175">
                  <c:v>40756</c:v>
                </c:pt>
                <c:pt idx="176">
                  <c:v>40725</c:v>
                </c:pt>
                <c:pt idx="177">
                  <c:v>40695</c:v>
                </c:pt>
                <c:pt idx="178">
                  <c:v>40664</c:v>
                </c:pt>
                <c:pt idx="179">
                  <c:v>40634</c:v>
                </c:pt>
                <c:pt idx="180">
                  <c:v>40603</c:v>
                </c:pt>
                <c:pt idx="181">
                  <c:v>40575</c:v>
                </c:pt>
                <c:pt idx="182">
                  <c:v>40544</c:v>
                </c:pt>
                <c:pt idx="183">
                  <c:v>40513</c:v>
                </c:pt>
                <c:pt idx="184">
                  <c:v>40483</c:v>
                </c:pt>
                <c:pt idx="185">
                  <c:v>40452</c:v>
                </c:pt>
                <c:pt idx="186">
                  <c:v>40422</c:v>
                </c:pt>
                <c:pt idx="187">
                  <c:v>40391</c:v>
                </c:pt>
                <c:pt idx="188">
                  <c:v>40360</c:v>
                </c:pt>
                <c:pt idx="189">
                  <c:v>40330</c:v>
                </c:pt>
                <c:pt idx="190">
                  <c:v>40299</c:v>
                </c:pt>
                <c:pt idx="191">
                  <c:v>40269</c:v>
                </c:pt>
                <c:pt idx="192">
                  <c:v>40238</c:v>
                </c:pt>
                <c:pt idx="193">
                  <c:v>40210</c:v>
                </c:pt>
                <c:pt idx="194">
                  <c:v>40179</c:v>
                </c:pt>
                <c:pt idx="195">
                  <c:v>40148</c:v>
                </c:pt>
                <c:pt idx="196">
                  <c:v>40118</c:v>
                </c:pt>
                <c:pt idx="197">
                  <c:v>40087</c:v>
                </c:pt>
                <c:pt idx="198">
                  <c:v>40057</c:v>
                </c:pt>
                <c:pt idx="199">
                  <c:v>40026</c:v>
                </c:pt>
                <c:pt idx="200">
                  <c:v>39995</c:v>
                </c:pt>
                <c:pt idx="201">
                  <c:v>39965</c:v>
                </c:pt>
                <c:pt idx="202">
                  <c:v>39934</c:v>
                </c:pt>
                <c:pt idx="203">
                  <c:v>39904</c:v>
                </c:pt>
                <c:pt idx="204">
                  <c:v>39873</c:v>
                </c:pt>
                <c:pt idx="205">
                  <c:v>39845</c:v>
                </c:pt>
                <c:pt idx="206">
                  <c:v>39814</c:v>
                </c:pt>
                <c:pt idx="207">
                  <c:v>39783</c:v>
                </c:pt>
                <c:pt idx="208">
                  <c:v>39753</c:v>
                </c:pt>
                <c:pt idx="209">
                  <c:v>39722</c:v>
                </c:pt>
                <c:pt idx="210">
                  <c:v>39692</c:v>
                </c:pt>
                <c:pt idx="211">
                  <c:v>39661</c:v>
                </c:pt>
                <c:pt idx="212">
                  <c:v>39630</c:v>
                </c:pt>
                <c:pt idx="213">
                  <c:v>39600</c:v>
                </c:pt>
                <c:pt idx="214">
                  <c:v>39569</c:v>
                </c:pt>
                <c:pt idx="215">
                  <c:v>39539</c:v>
                </c:pt>
                <c:pt idx="216">
                  <c:v>39508</c:v>
                </c:pt>
                <c:pt idx="217">
                  <c:v>39479</c:v>
                </c:pt>
                <c:pt idx="218">
                  <c:v>39448</c:v>
                </c:pt>
                <c:pt idx="219">
                  <c:v>39417</c:v>
                </c:pt>
                <c:pt idx="220">
                  <c:v>39387</c:v>
                </c:pt>
                <c:pt idx="221">
                  <c:v>39356</c:v>
                </c:pt>
                <c:pt idx="222">
                  <c:v>39326</c:v>
                </c:pt>
                <c:pt idx="223">
                  <c:v>39295</c:v>
                </c:pt>
                <c:pt idx="224">
                  <c:v>39264</c:v>
                </c:pt>
                <c:pt idx="225">
                  <c:v>39234</c:v>
                </c:pt>
                <c:pt idx="226">
                  <c:v>39203</c:v>
                </c:pt>
                <c:pt idx="227">
                  <c:v>39173</c:v>
                </c:pt>
                <c:pt idx="228">
                  <c:v>39142</c:v>
                </c:pt>
                <c:pt idx="229">
                  <c:v>39114</c:v>
                </c:pt>
                <c:pt idx="230">
                  <c:v>39083</c:v>
                </c:pt>
                <c:pt idx="231">
                  <c:v>39052</c:v>
                </c:pt>
                <c:pt idx="232">
                  <c:v>39022</c:v>
                </c:pt>
                <c:pt idx="233">
                  <c:v>38991</c:v>
                </c:pt>
                <c:pt idx="234">
                  <c:v>38961</c:v>
                </c:pt>
                <c:pt idx="235">
                  <c:v>38930</c:v>
                </c:pt>
                <c:pt idx="236">
                  <c:v>38899</c:v>
                </c:pt>
                <c:pt idx="237">
                  <c:v>38869</c:v>
                </c:pt>
                <c:pt idx="238">
                  <c:v>38838</c:v>
                </c:pt>
                <c:pt idx="239">
                  <c:v>38808</c:v>
                </c:pt>
                <c:pt idx="240">
                  <c:v>38777</c:v>
                </c:pt>
                <c:pt idx="241">
                  <c:v>38749</c:v>
                </c:pt>
                <c:pt idx="242">
                  <c:v>38718</c:v>
                </c:pt>
                <c:pt idx="243">
                  <c:v>38687</c:v>
                </c:pt>
                <c:pt idx="244">
                  <c:v>38657</c:v>
                </c:pt>
                <c:pt idx="245">
                  <c:v>38626</c:v>
                </c:pt>
                <c:pt idx="246">
                  <c:v>38596</c:v>
                </c:pt>
                <c:pt idx="247">
                  <c:v>38565</c:v>
                </c:pt>
                <c:pt idx="248">
                  <c:v>38534</c:v>
                </c:pt>
                <c:pt idx="249">
                  <c:v>38504</c:v>
                </c:pt>
                <c:pt idx="250">
                  <c:v>38473</c:v>
                </c:pt>
                <c:pt idx="251">
                  <c:v>38443</c:v>
                </c:pt>
                <c:pt idx="252">
                  <c:v>38412</c:v>
                </c:pt>
                <c:pt idx="253">
                  <c:v>38384</c:v>
                </c:pt>
                <c:pt idx="254">
                  <c:v>38353</c:v>
                </c:pt>
                <c:pt idx="255">
                  <c:v>38322</c:v>
                </c:pt>
                <c:pt idx="256">
                  <c:v>38292</c:v>
                </c:pt>
                <c:pt idx="257">
                  <c:v>38261</c:v>
                </c:pt>
                <c:pt idx="258">
                  <c:v>38231</c:v>
                </c:pt>
                <c:pt idx="259">
                  <c:v>38200</c:v>
                </c:pt>
                <c:pt idx="260">
                  <c:v>38169</c:v>
                </c:pt>
                <c:pt idx="261">
                  <c:v>38139</c:v>
                </c:pt>
                <c:pt idx="262">
                  <c:v>38108</c:v>
                </c:pt>
                <c:pt idx="263">
                  <c:v>38078</c:v>
                </c:pt>
                <c:pt idx="264">
                  <c:v>38047</c:v>
                </c:pt>
                <c:pt idx="265">
                  <c:v>38018</c:v>
                </c:pt>
                <c:pt idx="266">
                  <c:v>37987</c:v>
                </c:pt>
                <c:pt idx="267">
                  <c:v>37956</c:v>
                </c:pt>
                <c:pt idx="268">
                  <c:v>37926</c:v>
                </c:pt>
                <c:pt idx="269">
                  <c:v>37895</c:v>
                </c:pt>
                <c:pt idx="270">
                  <c:v>37865</c:v>
                </c:pt>
                <c:pt idx="271">
                  <c:v>37834</c:v>
                </c:pt>
                <c:pt idx="272">
                  <c:v>37803</c:v>
                </c:pt>
                <c:pt idx="273">
                  <c:v>37773</c:v>
                </c:pt>
                <c:pt idx="274">
                  <c:v>37742</c:v>
                </c:pt>
                <c:pt idx="275">
                  <c:v>37712</c:v>
                </c:pt>
                <c:pt idx="276">
                  <c:v>37681</c:v>
                </c:pt>
                <c:pt idx="277">
                  <c:v>37653</c:v>
                </c:pt>
                <c:pt idx="278">
                  <c:v>37622</c:v>
                </c:pt>
                <c:pt idx="279">
                  <c:v>37591</c:v>
                </c:pt>
                <c:pt idx="280">
                  <c:v>37561</c:v>
                </c:pt>
                <c:pt idx="281">
                  <c:v>37530</c:v>
                </c:pt>
                <c:pt idx="282">
                  <c:v>37500</c:v>
                </c:pt>
                <c:pt idx="283">
                  <c:v>37469</c:v>
                </c:pt>
                <c:pt idx="284">
                  <c:v>37438</c:v>
                </c:pt>
                <c:pt idx="285">
                  <c:v>37408</c:v>
                </c:pt>
                <c:pt idx="286">
                  <c:v>37377</c:v>
                </c:pt>
                <c:pt idx="287">
                  <c:v>37347</c:v>
                </c:pt>
                <c:pt idx="288">
                  <c:v>37316</c:v>
                </c:pt>
                <c:pt idx="289">
                  <c:v>37288</c:v>
                </c:pt>
                <c:pt idx="290">
                  <c:v>37257</c:v>
                </c:pt>
                <c:pt idx="291">
                  <c:v>37226</c:v>
                </c:pt>
                <c:pt idx="292">
                  <c:v>37196</c:v>
                </c:pt>
                <c:pt idx="293">
                  <c:v>37165</c:v>
                </c:pt>
                <c:pt idx="294">
                  <c:v>37135</c:v>
                </c:pt>
                <c:pt idx="295">
                  <c:v>37104</c:v>
                </c:pt>
                <c:pt idx="296">
                  <c:v>37073</c:v>
                </c:pt>
                <c:pt idx="297">
                  <c:v>37043</c:v>
                </c:pt>
                <c:pt idx="298">
                  <c:v>37012</c:v>
                </c:pt>
              </c:numCache>
            </c:numRef>
          </c:cat>
          <c:val>
            <c:numRef>
              <c:f>'Chart 2.13 data'!$H$8:$H$306</c:f>
              <c:numCache>
                <c:formatCode>General</c:formatCode>
                <c:ptCount val="299"/>
                <c:pt idx="73" formatCode="0.0">
                  <c:v>5.5266592254166635</c:v>
                </c:pt>
                <c:pt idx="74" formatCode="0.0">
                  <c:v>5.5266592254166635</c:v>
                </c:pt>
                <c:pt idx="75" formatCode="0.0">
                  <c:v>5.5266592254166635</c:v>
                </c:pt>
                <c:pt idx="76" formatCode="0.0">
                  <c:v>5.5266592254166635</c:v>
                </c:pt>
                <c:pt idx="77" formatCode="0.0">
                  <c:v>5.5266592254166635</c:v>
                </c:pt>
                <c:pt idx="78" formatCode="0.0">
                  <c:v>5.5266592254166635</c:v>
                </c:pt>
                <c:pt idx="79" formatCode="0.0">
                  <c:v>5.5266592254166635</c:v>
                </c:pt>
                <c:pt idx="80" formatCode="0.0">
                  <c:v>5.5266592254166635</c:v>
                </c:pt>
                <c:pt idx="81" formatCode="0.0">
                  <c:v>5.5266592254166635</c:v>
                </c:pt>
                <c:pt idx="82" formatCode="0.0">
                  <c:v>5.5266592254166635</c:v>
                </c:pt>
                <c:pt idx="83" formatCode="0.0">
                  <c:v>5.5266592254166635</c:v>
                </c:pt>
                <c:pt idx="84" formatCode="0.0">
                  <c:v>5.5266592254166635</c:v>
                </c:pt>
                <c:pt idx="85" formatCode="0.0">
                  <c:v>5.5266592254166635</c:v>
                </c:pt>
                <c:pt idx="86" formatCode="0.0">
                  <c:v>5.5266592254166635</c:v>
                </c:pt>
                <c:pt idx="87" formatCode="0.0">
                  <c:v>5.5266592254166635</c:v>
                </c:pt>
                <c:pt idx="88" formatCode="0.0">
                  <c:v>5.5266592254166635</c:v>
                </c:pt>
                <c:pt idx="89" formatCode="0.0">
                  <c:v>5.5266592254166635</c:v>
                </c:pt>
                <c:pt idx="90" formatCode="0.0">
                  <c:v>5.5266592254166635</c:v>
                </c:pt>
                <c:pt idx="91" formatCode="0.0">
                  <c:v>5.5266592254166635</c:v>
                </c:pt>
                <c:pt idx="92" formatCode="0.0">
                  <c:v>5.5266592254166635</c:v>
                </c:pt>
                <c:pt idx="93" formatCode="0.0">
                  <c:v>5.5266592254166635</c:v>
                </c:pt>
                <c:pt idx="94" formatCode="0.0">
                  <c:v>5.5266592254166635</c:v>
                </c:pt>
                <c:pt idx="95" formatCode="0.0">
                  <c:v>5.5266592254166635</c:v>
                </c:pt>
                <c:pt idx="96" formatCode="0.0">
                  <c:v>5.5266592254166635</c:v>
                </c:pt>
                <c:pt idx="97" formatCode="0.0">
                  <c:v>5.5266592254166635</c:v>
                </c:pt>
                <c:pt idx="98" formatCode="0.0">
                  <c:v>5.5266592254166635</c:v>
                </c:pt>
                <c:pt idx="99" formatCode="0.0">
                  <c:v>5.5266592254166635</c:v>
                </c:pt>
                <c:pt idx="100" formatCode="0.0">
                  <c:v>5.5266592254166635</c:v>
                </c:pt>
                <c:pt idx="101" formatCode="0.0">
                  <c:v>5.5266592254166635</c:v>
                </c:pt>
                <c:pt idx="102" formatCode="0.0">
                  <c:v>5.5266592254166635</c:v>
                </c:pt>
                <c:pt idx="103" formatCode="0.0">
                  <c:v>5.5266592254166635</c:v>
                </c:pt>
                <c:pt idx="104" formatCode="0.0">
                  <c:v>5.5266592254166635</c:v>
                </c:pt>
                <c:pt idx="105" formatCode="0.0">
                  <c:v>5.5266592254166635</c:v>
                </c:pt>
                <c:pt idx="106" formatCode="0.0">
                  <c:v>5.5266592254166635</c:v>
                </c:pt>
                <c:pt idx="107" formatCode="0.0">
                  <c:v>5.5266592254166635</c:v>
                </c:pt>
                <c:pt idx="108" formatCode="0.0">
                  <c:v>5.5266592254166635</c:v>
                </c:pt>
                <c:pt idx="109" formatCode="0.0">
                  <c:v>5.5266592254166635</c:v>
                </c:pt>
                <c:pt idx="110" formatCode="0.0">
                  <c:v>5.5266592254166635</c:v>
                </c:pt>
                <c:pt idx="111" formatCode="0.0">
                  <c:v>5.5266592254166635</c:v>
                </c:pt>
                <c:pt idx="112" formatCode="0.0">
                  <c:v>5.5266592254166635</c:v>
                </c:pt>
                <c:pt idx="113" formatCode="0.0">
                  <c:v>5.5266592254166635</c:v>
                </c:pt>
                <c:pt idx="114" formatCode="0.0">
                  <c:v>5.5266592254166635</c:v>
                </c:pt>
                <c:pt idx="115" formatCode="0.0">
                  <c:v>5.5266592254166635</c:v>
                </c:pt>
                <c:pt idx="116" formatCode="0.0">
                  <c:v>5.5266592254166635</c:v>
                </c:pt>
                <c:pt idx="117" formatCode="0.0">
                  <c:v>5.5266592254166635</c:v>
                </c:pt>
                <c:pt idx="118" formatCode="0.0">
                  <c:v>5.5266592254166635</c:v>
                </c:pt>
                <c:pt idx="119" formatCode="0.0">
                  <c:v>5.5266592254166635</c:v>
                </c:pt>
                <c:pt idx="120" formatCode="0.0">
                  <c:v>5.5266592254166635</c:v>
                </c:pt>
                <c:pt idx="121" formatCode="0.0">
                  <c:v>5.5266592254166635</c:v>
                </c:pt>
                <c:pt idx="122" formatCode="0.0">
                  <c:v>5.5266592254166635</c:v>
                </c:pt>
                <c:pt idx="123" formatCode="0.0">
                  <c:v>5.5266592254166635</c:v>
                </c:pt>
                <c:pt idx="124" formatCode="0.0">
                  <c:v>5.5266592254166635</c:v>
                </c:pt>
                <c:pt idx="125" formatCode="0.0">
                  <c:v>5.5266592254166635</c:v>
                </c:pt>
                <c:pt idx="126" formatCode="0.0">
                  <c:v>5.5266592254166635</c:v>
                </c:pt>
                <c:pt idx="127" formatCode="0.0">
                  <c:v>5.5266592254166635</c:v>
                </c:pt>
                <c:pt idx="128" formatCode="0.0">
                  <c:v>5.5266592254166635</c:v>
                </c:pt>
                <c:pt idx="129" formatCode="0.0">
                  <c:v>5.5266592254166635</c:v>
                </c:pt>
                <c:pt idx="130" formatCode="0.0">
                  <c:v>5.5266592254166635</c:v>
                </c:pt>
                <c:pt idx="131" formatCode="0.0">
                  <c:v>5.5266592254166635</c:v>
                </c:pt>
                <c:pt idx="132" formatCode="0.0">
                  <c:v>5.5266592254166635</c:v>
                </c:pt>
                <c:pt idx="133" formatCode="0.0">
                  <c:v>5.5266592254166635</c:v>
                </c:pt>
                <c:pt idx="134" formatCode="0.0">
                  <c:v>5.5266592254166635</c:v>
                </c:pt>
                <c:pt idx="135" formatCode="0.0">
                  <c:v>5.5266592254166635</c:v>
                </c:pt>
                <c:pt idx="136" formatCode="0.0">
                  <c:v>5.5266592254166635</c:v>
                </c:pt>
                <c:pt idx="137" formatCode="0.0">
                  <c:v>5.5266592254166635</c:v>
                </c:pt>
                <c:pt idx="138" formatCode="0.0">
                  <c:v>5.5266592254166635</c:v>
                </c:pt>
                <c:pt idx="139" formatCode="0.0">
                  <c:v>5.5266592254166635</c:v>
                </c:pt>
                <c:pt idx="140" formatCode="0.0">
                  <c:v>5.5266592254166635</c:v>
                </c:pt>
                <c:pt idx="141" formatCode="0.0">
                  <c:v>5.5266592254166635</c:v>
                </c:pt>
                <c:pt idx="142" formatCode="0.0">
                  <c:v>5.5266592254166635</c:v>
                </c:pt>
                <c:pt idx="143" formatCode="0.0">
                  <c:v>5.5266592254166635</c:v>
                </c:pt>
                <c:pt idx="144" formatCode="0.0">
                  <c:v>5.5266592254166635</c:v>
                </c:pt>
                <c:pt idx="145" formatCode="0.0">
                  <c:v>5.5266592254166635</c:v>
                </c:pt>
                <c:pt idx="146" formatCode="0.0">
                  <c:v>5.5266592254166635</c:v>
                </c:pt>
                <c:pt idx="147" formatCode="0.0">
                  <c:v>5.5266592254166635</c:v>
                </c:pt>
                <c:pt idx="148" formatCode="0.0">
                  <c:v>5.5266592254166635</c:v>
                </c:pt>
                <c:pt idx="149" formatCode="0.0">
                  <c:v>5.5266592254166635</c:v>
                </c:pt>
                <c:pt idx="150" formatCode="0.0">
                  <c:v>5.5266592254166635</c:v>
                </c:pt>
                <c:pt idx="151" formatCode="0.0">
                  <c:v>5.5266592254166635</c:v>
                </c:pt>
                <c:pt idx="152" formatCode="0.0">
                  <c:v>5.5266592254166635</c:v>
                </c:pt>
                <c:pt idx="153" formatCode="0.0">
                  <c:v>5.5266592254166635</c:v>
                </c:pt>
                <c:pt idx="154" formatCode="0.0">
                  <c:v>5.5266592254166635</c:v>
                </c:pt>
                <c:pt idx="155" formatCode="0.0">
                  <c:v>5.5266592254166635</c:v>
                </c:pt>
                <c:pt idx="156" formatCode="0.0">
                  <c:v>5.5266592254166635</c:v>
                </c:pt>
                <c:pt idx="157" formatCode="0.0">
                  <c:v>5.5266592254166635</c:v>
                </c:pt>
                <c:pt idx="158" formatCode="0.0">
                  <c:v>5.5266592254166635</c:v>
                </c:pt>
                <c:pt idx="159" formatCode="0.0">
                  <c:v>5.5266592254166635</c:v>
                </c:pt>
                <c:pt idx="160" formatCode="0.0">
                  <c:v>5.5266592254166635</c:v>
                </c:pt>
                <c:pt idx="161" formatCode="0.0">
                  <c:v>5.5266592254166635</c:v>
                </c:pt>
                <c:pt idx="162" formatCode="0.0">
                  <c:v>5.5266592254166635</c:v>
                </c:pt>
                <c:pt idx="163" formatCode="0.0">
                  <c:v>5.5266592254166635</c:v>
                </c:pt>
                <c:pt idx="164" formatCode="0.0">
                  <c:v>5.5266592254166635</c:v>
                </c:pt>
                <c:pt idx="165" formatCode="0.0">
                  <c:v>5.5266592254166635</c:v>
                </c:pt>
                <c:pt idx="166" formatCode="0.0">
                  <c:v>5.5266592254166635</c:v>
                </c:pt>
                <c:pt idx="167" formatCode="0.0">
                  <c:v>5.5266592254166635</c:v>
                </c:pt>
                <c:pt idx="168" formatCode="0.0">
                  <c:v>5.5266592254166635</c:v>
                </c:pt>
                <c:pt idx="169" formatCode="0.0">
                  <c:v>5.5266592254166635</c:v>
                </c:pt>
                <c:pt idx="170" formatCode="0.0">
                  <c:v>5.5266592254166635</c:v>
                </c:pt>
                <c:pt idx="171" formatCode="0.0">
                  <c:v>5.5266592254166635</c:v>
                </c:pt>
                <c:pt idx="172" formatCode="0.0">
                  <c:v>5.5266592254166635</c:v>
                </c:pt>
                <c:pt idx="173" formatCode="0.0">
                  <c:v>5.5266592254166635</c:v>
                </c:pt>
                <c:pt idx="174" formatCode="0.0">
                  <c:v>5.5266592254166635</c:v>
                </c:pt>
                <c:pt idx="175" formatCode="0.0">
                  <c:v>5.5266592254166635</c:v>
                </c:pt>
                <c:pt idx="176" formatCode="0.0">
                  <c:v>5.5266592254166635</c:v>
                </c:pt>
                <c:pt idx="177" formatCode="0.0">
                  <c:v>5.5266592254166635</c:v>
                </c:pt>
                <c:pt idx="178" formatCode="0.0">
                  <c:v>5.5266592254166635</c:v>
                </c:pt>
                <c:pt idx="179" formatCode="0.0">
                  <c:v>5.5266592254166635</c:v>
                </c:pt>
                <c:pt idx="180" formatCode="0.0">
                  <c:v>5.5266592254166635</c:v>
                </c:pt>
                <c:pt idx="181" formatCode="0.0">
                  <c:v>5.5266592254166635</c:v>
                </c:pt>
                <c:pt idx="182" formatCode="0.0">
                  <c:v>5.5266592254166635</c:v>
                </c:pt>
                <c:pt idx="183" formatCode="0.0">
                  <c:v>5.5266592254166635</c:v>
                </c:pt>
                <c:pt idx="184" formatCode="0.0">
                  <c:v>5.5266592254166635</c:v>
                </c:pt>
                <c:pt idx="185" formatCode="0.0">
                  <c:v>5.5266592254166635</c:v>
                </c:pt>
                <c:pt idx="186" formatCode="0.0">
                  <c:v>5.5266592254166635</c:v>
                </c:pt>
                <c:pt idx="187" formatCode="0.0">
                  <c:v>5.5266592254166635</c:v>
                </c:pt>
                <c:pt idx="188" formatCode="0.0">
                  <c:v>5.5266592254166635</c:v>
                </c:pt>
                <c:pt idx="189" formatCode="0.0">
                  <c:v>5.5266592254166635</c:v>
                </c:pt>
                <c:pt idx="190" formatCode="0.0">
                  <c:v>5.5266592254166635</c:v>
                </c:pt>
                <c:pt idx="191" formatCode="0.0">
                  <c:v>5.5266592254166635</c:v>
                </c:pt>
                <c:pt idx="192" formatCode="0.0">
                  <c:v>5.5266592254166635</c:v>
                </c:pt>
                <c:pt idx="193" formatCode="0.0">
                  <c:v>5.5266592254166635</c:v>
                </c:pt>
                <c:pt idx="194" formatCode="0.0">
                  <c:v>5.5266592254166635</c:v>
                </c:pt>
                <c:pt idx="195" formatCode="0.0">
                  <c:v>5.5266592254166635</c:v>
                </c:pt>
                <c:pt idx="196" formatCode="0.0">
                  <c:v>5.5266592254166635</c:v>
                </c:pt>
                <c:pt idx="197" formatCode="0.0">
                  <c:v>5.5266592254166635</c:v>
                </c:pt>
                <c:pt idx="198" formatCode="0.0">
                  <c:v>5.5266592254166635</c:v>
                </c:pt>
                <c:pt idx="199" formatCode="0.0">
                  <c:v>5.5266592254166635</c:v>
                </c:pt>
                <c:pt idx="200" formatCode="0.0">
                  <c:v>5.5266592254166635</c:v>
                </c:pt>
                <c:pt idx="201" formatCode="0.0">
                  <c:v>5.5266592254166635</c:v>
                </c:pt>
                <c:pt idx="202" formatCode="0.0">
                  <c:v>5.5266592254166635</c:v>
                </c:pt>
                <c:pt idx="203" formatCode="0.0">
                  <c:v>5.5266592254166635</c:v>
                </c:pt>
                <c:pt idx="204" formatCode="0.0">
                  <c:v>5.5266592254166635</c:v>
                </c:pt>
                <c:pt idx="205" formatCode="0.0">
                  <c:v>5.5266592254166635</c:v>
                </c:pt>
                <c:pt idx="206" formatCode="0.0">
                  <c:v>5.5266592254166635</c:v>
                </c:pt>
                <c:pt idx="207" formatCode="0.0">
                  <c:v>5.5266592254166635</c:v>
                </c:pt>
                <c:pt idx="208" formatCode="0.0">
                  <c:v>5.5266592254166635</c:v>
                </c:pt>
                <c:pt idx="209" formatCode="0.0">
                  <c:v>5.5266592254166635</c:v>
                </c:pt>
                <c:pt idx="210" formatCode="0.0">
                  <c:v>5.5266592254166635</c:v>
                </c:pt>
                <c:pt idx="211" formatCode="0.0">
                  <c:v>5.5266592254166635</c:v>
                </c:pt>
                <c:pt idx="212" formatCode="0.0">
                  <c:v>5.5266592254166635</c:v>
                </c:pt>
                <c:pt idx="213" formatCode="0.0">
                  <c:v>5.5266592254166635</c:v>
                </c:pt>
                <c:pt idx="214" formatCode="0.0">
                  <c:v>5.5266592254166635</c:v>
                </c:pt>
                <c:pt idx="215" formatCode="0.0">
                  <c:v>5.5266592254166635</c:v>
                </c:pt>
                <c:pt idx="216" formatCode="0.0">
                  <c:v>5.5266592254166635</c:v>
                </c:pt>
                <c:pt idx="217" formatCode="0.0">
                  <c:v>5.5266592254166635</c:v>
                </c:pt>
                <c:pt idx="218" formatCode="0.0">
                  <c:v>5.5266592254166635</c:v>
                </c:pt>
                <c:pt idx="219" formatCode="0.0">
                  <c:v>5.5266592254166635</c:v>
                </c:pt>
                <c:pt idx="220" formatCode="0.0">
                  <c:v>5.5266592254166635</c:v>
                </c:pt>
                <c:pt idx="221" formatCode="0.0">
                  <c:v>5.5266592254166635</c:v>
                </c:pt>
                <c:pt idx="222" formatCode="0.0">
                  <c:v>5.5266592254166635</c:v>
                </c:pt>
                <c:pt idx="223" formatCode="0.0">
                  <c:v>5.5266592254166635</c:v>
                </c:pt>
                <c:pt idx="224" formatCode="0.0">
                  <c:v>5.5266592254166635</c:v>
                </c:pt>
                <c:pt idx="225" formatCode="0.0">
                  <c:v>5.5266592254166635</c:v>
                </c:pt>
                <c:pt idx="226" formatCode="0.0">
                  <c:v>5.5266592254166635</c:v>
                </c:pt>
                <c:pt idx="227" formatCode="0.0">
                  <c:v>5.5266592254166635</c:v>
                </c:pt>
                <c:pt idx="228" formatCode="0.0">
                  <c:v>5.5266592254166635</c:v>
                </c:pt>
                <c:pt idx="229" formatCode="0.0">
                  <c:v>5.5266592254166635</c:v>
                </c:pt>
                <c:pt idx="230" formatCode="0.0">
                  <c:v>5.5266592254166635</c:v>
                </c:pt>
                <c:pt idx="231" formatCode="0.0">
                  <c:v>5.5266592254166635</c:v>
                </c:pt>
                <c:pt idx="232" formatCode="0.0">
                  <c:v>5.5266592254166635</c:v>
                </c:pt>
                <c:pt idx="233" formatCode="0.0">
                  <c:v>5.5266592254166635</c:v>
                </c:pt>
                <c:pt idx="234" formatCode="0.0">
                  <c:v>5.5266592254166635</c:v>
                </c:pt>
                <c:pt idx="235" formatCode="0.0">
                  <c:v>5.5266592254166635</c:v>
                </c:pt>
                <c:pt idx="236" formatCode="0.0">
                  <c:v>5.5266592254166635</c:v>
                </c:pt>
                <c:pt idx="237" formatCode="0.0">
                  <c:v>5.5266592254166635</c:v>
                </c:pt>
                <c:pt idx="238" formatCode="0.0">
                  <c:v>5.5266592254166635</c:v>
                </c:pt>
                <c:pt idx="239" formatCode="0.0">
                  <c:v>5.5266592254166635</c:v>
                </c:pt>
                <c:pt idx="240" formatCode="0.0">
                  <c:v>5.5266592254166635</c:v>
                </c:pt>
                <c:pt idx="241" formatCode="0.0">
                  <c:v>5.5266592254166635</c:v>
                </c:pt>
                <c:pt idx="242" formatCode="0.0">
                  <c:v>5.5266592254166635</c:v>
                </c:pt>
                <c:pt idx="243" formatCode="0.0">
                  <c:v>5.5266592254166635</c:v>
                </c:pt>
                <c:pt idx="244" formatCode="0.0">
                  <c:v>5.5266592254166635</c:v>
                </c:pt>
                <c:pt idx="245" formatCode="0.0">
                  <c:v>5.5266592254166635</c:v>
                </c:pt>
                <c:pt idx="246" formatCode="0.0">
                  <c:v>5.5266592254166635</c:v>
                </c:pt>
                <c:pt idx="247" formatCode="0.0">
                  <c:v>5.5266592254166635</c:v>
                </c:pt>
                <c:pt idx="248" formatCode="0.0">
                  <c:v>5.5266592254166635</c:v>
                </c:pt>
                <c:pt idx="249" formatCode="0.0">
                  <c:v>5.5266592254166635</c:v>
                </c:pt>
                <c:pt idx="250" formatCode="0.0">
                  <c:v>5.5266592254166635</c:v>
                </c:pt>
                <c:pt idx="251" formatCode="0.0">
                  <c:v>5.5266592254166635</c:v>
                </c:pt>
                <c:pt idx="252" formatCode="0.0">
                  <c:v>5.5266592254166635</c:v>
                </c:pt>
                <c:pt idx="253" formatCode="0.0">
                  <c:v>5.5266592254166635</c:v>
                </c:pt>
                <c:pt idx="254" formatCode="0.0">
                  <c:v>5.5266592254166635</c:v>
                </c:pt>
                <c:pt idx="255" formatCode="0.0">
                  <c:v>5.5266592254166635</c:v>
                </c:pt>
                <c:pt idx="256" formatCode="0.0">
                  <c:v>5.5266592254166635</c:v>
                </c:pt>
                <c:pt idx="257" formatCode="0.0">
                  <c:v>5.5266592254166635</c:v>
                </c:pt>
                <c:pt idx="258" formatCode="0.0">
                  <c:v>5.5266592254166635</c:v>
                </c:pt>
                <c:pt idx="259" formatCode="0.0">
                  <c:v>5.5266592254166635</c:v>
                </c:pt>
                <c:pt idx="260" formatCode="0.0">
                  <c:v>5.5266592254166635</c:v>
                </c:pt>
                <c:pt idx="261" formatCode="0.0">
                  <c:v>5.5266592254166635</c:v>
                </c:pt>
                <c:pt idx="262" formatCode="0.0">
                  <c:v>5.5266592254166635</c:v>
                </c:pt>
                <c:pt idx="263" formatCode="0.0">
                  <c:v>5.5266592254166635</c:v>
                </c:pt>
                <c:pt idx="264" formatCode="0.0">
                  <c:v>5.5266592254166635</c:v>
                </c:pt>
                <c:pt idx="265" formatCode="0.0">
                  <c:v>5.5266592254166635</c:v>
                </c:pt>
                <c:pt idx="266" formatCode="0.0">
                  <c:v>5.5266592254166635</c:v>
                </c:pt>
                <c:pt idx="267" formatCode="0.0">
                  <c:v>5.5266592254166635</c:v>
                </c:pt>
                <c:pt idx="268" formatCode="0.0">
                  <c:v>5.5266592254166635</c:v>
                </c:pt>
                <c:pt idx="269" formatCode="0.0">
                  <c:v>5.5266592254166635</c:v>
                </c:pt>
                <c:pt idx="270" formatCode="0.0">
                  <c:v>5.5266592254166635</c:v>
                </c:pt>
                <c:pt idx="271" formatCode="0.0">
                  <c:v>5.5266592254166635</c:v>
                </c:pt>
                <c:pt idx="272" formatCode="0.0">
                  <c:v>5.5266592254166635</c:v>
                </c:pt>
                <c:pt idx="273" formatCode="0.0">
                  <c:v>5.5266592254166635</c:v>
                </c:pt>
                <c:pt idx="274" formatCode="0.0">
                  <c:v>5.5266592254166635</c:v>
                </c:pt>
                <c:pt idx="275" formatCode="0.0">
                  <c:v>5.5266592254166635</c:v>
                </c:pt>
                <c:pt idx="276" formatCode="0.0">
                  <c:v>5.5266592254166635</c:v>
                </c:pt>
                <c:pt idx="277" formatCode="0.0">
                  <c:v>5.5266592254166635</c:v>
                </c:pt>
                <c:pt idx="278" formatCode="0.0">
                  <c:v>5.5266592254166635</c:v>
                </c:pt>
                <c:pt idx="279" formatCode="0.0">
                  <c:v>5.5266592254166635</c:v>
                </c:pt>
                <c:pt idx="280" formatCode="0.0">
                  <c:v>5.5266592254166635</c:v>
                </c:pt>
                <c:pt idx="281" formatCode="0.0">
                  <c:v>5.5266592254166635</c:v>
                </c:pt>
                <c:pt idx="282" formatCode="0.0">
                  <c:v>5.5266592254166635</c:v>
                </c:pt>
                <c:pt idx="283" formatCode="0.0">
                  <c:v>5.5266592254166635</c:v>
                </c:pt>
                <c:pt idx="284" formatCode="0.0">
                  <c:v>5.5266592254166635</c:v>
                </c:pt>
                <c:pt idx="285" formatCode="0.0">
                  <c:v>5.5266592254166635</c:v>
                </c:pt>
                <c:pt idx="286" formatCode="0.0">
                  <c:v>5.5266592254166635</c:v>
                </c:pt>
                <c:pt idx="287" formatCode="0.0">
                  <c:v>5.5266592254166635</c:v>
                </c:pt>
                <c:pt idx="288" formatCode="0.0">
                  <c:v>5.5266592254166635</c:v>
                </c:pt>
                <c:pt idx="289" formatCode="0.0">
                  <c:v>5.5266592254166635</c:v>
                </c:pt>
                <c:pt idx="290" formatCode="0.0">
                  <c:v>5.5266592254166635</c:v>
                </c:pt>
                <c:pt idx="291" formatCode="0.0">
                  <c:v>5.5266592254166635</c:v>
                </c:pt>
                <c:pt idx="292" formatCode="0.0">
                  <c:v>5.5266592254166635</c:v>
                </c:pt>
                <c:pt idx="293" formatCode="0.0">
                  <c:v>5.5266592254166635</c:v>
                </c:pt>
                <c:pt idx="294" formatCode="0.0">
                  <c:v>5.5266592254166635</c:v>
                </c:pt>
                <c:pt idx="295" formatCode="0.0">
                  <c:v>5.5266592254166635</c:v>
                </c:pt>
                <c:pt idx="296" formatCode="0.0">
                  <c:v>5.5266592254166635</c:v>
                </c:pt>
                <c:pt idx="297" formatCode="0.0">
                  <c:v>5.5266592254166635</c:v>
                </c:pt>
                <c:pt idx="298" formatCode="0.0">
                  <c:v>5.5266592254166635</c:v>
                </c:pt>
              </c:numCache>
            </c:numRef>
          </c:val>
          <c:smooth val="0"/>
          <c:extLst>
            <c:ext xmlns:c16="http://schemas.microsoft.com/office/drawing/2014/chart" uri="{C3380CC4-5D6E-409C-BE32-E72D297353CC}">
              <c16:uniqueId val="{00000001-A53A-41DE-AE1D-A76E5E99A62B}"/>
            </c:ext>
          </c:extLst>
        </c:ser>
        <c:dLbls>
          <c:showLegendKey val="0"/>
          <c:showVal val="0"/>
          <c:showCatName val="0"/>
          <c:showSerName val="0"/>
          <c:showPercent val="0"/>
          <c:showBubbleSize val="0"/>
        </c:dLbls>
        <c:smooth val="0"/>
        <c:axId val="279655728"/>
        <c:axId val="279651768"/>
      </c:lineChart>
      <c:dateAx>
        <c:axId val="279655728"/>
        <c:scaling>
          <c:orientation val="minMax"/>
          <c:min val="42370"/>
        </c:scaling>
        <c:delete val="0"/>
        <c:axPos val="b"/>
        <c:numFmt formatCode="yyyy" sourceLinked="0"/>
        <c:majorTickMark val="out"/>
        <c:minorTickMark val="none"/>
        <c:tickLblPos val="low"/>
        <c:spPr>
          <a:noFill/>
          <a:ln w="9525" cap="flat" cmpd="sng" algn="ctr">
            <a:solidFill>
              <a:schemeClr val="bg1">
                <a:lumMod val="50000"/>
              </a:schemeClr>
            </a:solidFill>
            <a:round/>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n-US"/>
          </a:p>
        </c:txPr>
        <c:crossAx val="279651768"/>
        <c:crosses val="autoZero"/>
        <c:auto val="1"/>
        <c:lblOffset val="100"/>
        <c:baseTimeUnit val="months"/>
        <c:majorUnit val="2"/>
        <c:majorTimeUnit val="years"/>
        <c:minorUnit val="1"/>
        <c:minorTimeUnit val="years"/>
      </c:dateAx>
      <c:valAx>
        <c:axId val="279651768"/>
        <c:scaling>
          <c:orientation val="minMax"/>
        </c:scaling>
        <c:delete val="0"/>
        <c:axPos val="l"/>
        <c:majorGridlines>
          <c:spPr>
            <a:ln w="6350" cap="flat" cmpd="sng" algn="ctr">
              <a:solidFill>
                <a:sysClr val="window" lastClr="FFFFFF">
                  <a:lumMod val="85000"/>
                </a:sysClr>
              </a:solidFill>
              <a:prstDash val="dash"/>
              <a:round/>
              <a:headEnd type="none" w="med" len="med"/>
              <a:tailEnd type="none" w="med" len="me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r>
                  <a:rPr lang="en-AU" i="1"/>
                  <a:t>per cent</a:t>
                </a:r>
              </a:p>
            </c:rich>
          </c:tx>
          <c:layout>
            <c:manualLayout>
              <c:xMode val="edge"/>
              <c:yMode val="edge"/>
              <c:x val="2.9538965236845971E-3"/>
              <c:y val="0.31878896465858031"/>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n-US"/>
            </a:p>
          </c:txPr>
        </c:title>
        <c:numFmt formatCode="0" sourceLinked="0"/>
        <c:majorTickMark val="none"/>
        <c:minorTickMark val="none"/>
        <c:tickLblPos val="nextTo"/>
        <c:spPr>
          <a:noFill/>
          <a:ln>
            <a:solidFill>
              <a:schemeClr val="bg1">
                <a:lumMod val="50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n-US"/>
          </a:p>
        </c:txPr>
        <c:crossAx val="279655728"/>
        <c:crosses val="autoZero"/>
        <c:crossBetween val="midCat"/>
      </c:valAx>
      <c:spPr>
        <a:noFill/>
        <a:ln>
          <a:noFill/>
        </a:ln>
        <a:effectLst/>
        <a:extLst>
          <a:ext uri="{909E8E84-426E-40DD-AFC4-6F175D3DCCD1}">
            <a14:hiddenFill xmlns:a14="http://schemas.microsoft.com/office/drawing/2010/main">
              <a:noFill/>
            </a14:hiddenFill>
          </a:ext>
        </a:extLst>
      </c:spPr>
    </c:plotArea>
    <c:legend>
      <c:legendPos val="b"/>
      <c:layout>
        <c:manualLayout>
          <c:xMode val="edge"/>
          <c:yMode val="edge"/>
          <c:x val="0.12998749761957992"/>
          <c:y val="0.85781407556613565"/>
          <c:w val="0.70237361111111118"/>
          <c:h val="7.2867068956372377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j-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ysClr val="window" lastClr="FFFFFF"/>
    </a:solidFill>
    <a:ln w="9525" cap="flat" cmpd="sng" algn="ctr">
      <a:noFill/>
      <a:round/>
    </a:ln>
    <a:effectLst/>
    <a:extLst>
      <a:ext uri="{91240B29-F687-4F45-9708-019B960494DF}">
        <a14:hiddenLine xmlns:a14="http://schemas.microsoft.com/office/drawing/2010/main" w="9525" cap="flat" cmpd="sng" algn="ctr">
          <a:solidFill>
            <a:sysClr val="windowText" lastClr="000000">
              <a:lumMod val="15000"/>
              <a:lumOff val="85000"/>
            </a:sysClr>
          </a:solidFill>
          <a:round/>
        </a14:hiddenLine>
      </a:ext>
    </a:extLst>
  </c:spPr>
  <c:txPr>
    <a:bodyPr/>
    <a:lstStyle/>
    <a:p>
      <a:pPr>
        <a:defRPr sz="900">
          <a:latin typeface="+mj-lt"/>
        </a:defRPr>
      </a:pPr>
      <a:endParaRPr lang="en-US"/>
    </a:p>
  </c:txPr>
  <c:externalData r:id="rId3">
    <c:autoUpdate val="0"/>
  </c:externalData>
  <c:userShapes r:id="rId4"/>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0144276741233724"/>
          <c:y val="2.714699214602613E-2"/>
          <c:w val="0.71753909804779581"/>
          <c:h val="0.69621708055723797"/>
        </c:manualLayout>
      </c:layout>
      <c:lineChart>
        <c:grouping val="standard"/>
        <c:varyColors val="0"/>
        <c:ser>
          <c:idx val="0"/>
          <c:order val="0"/>
          <c:tx>
            <c:v>Participation rate</c:v>
          </c:tx>
          <c:spPr>
            <a:ln w="15875" cap="rnd">
              <a:solidFill>
                <a:schemeClr val="tx1">
                  <a:lumMod val="65000"/>
                  <a:lumOff val="35000"/>
                </a:schemeClr>
              </a:solidFill>
              <a:round/>
            </a:ln>
            <a:effectLst/>
          </c:spPr>
          <c:marker>
            <c:symbol val="none"/>
          </c:marker>
          <c:cat>
            <c:numRef>
              <c:f>'Chart 2.13 data'!$D$8:$D$307</c:f>
              <c:numCache>
                <c:formatCode>mmm"-"yyyy</c:formatCode>
                <c:ptCount val="300"/>
                <c:pt idx="0">
                  <c:v>46082</c:v>
                </c:pt>
                <c:pt idx="1">
                  <c:v>46054</c:v>
                </c:pt>
                <c:pt idx="2">
                  <c:v>46023</c:v>
                </c:pt>
                <c:pt idx="3">
                  <c:v>45992</c:v>
                </c:pt>
                <c:pt idx="4">
                  <c:v>45962</c:v>
                </c:pt>
                <c:pt idx="5">
                  <c:v>45931</c:v>
                </c:pt>
                <c:pt idx="6">
                  <c:v>45901</c:v>
                </c:pt>
                <c:pt idx="7">
                  <c:v>45870</c:v>
                </c:pt>
                <c:pt idx="8">
                  <c:v>45839</c:v>
                </c:pt>
                <c:pt idx="9">
                  <c:v>45809</c:v>
                </c:pt>
                <c:pt idx="10">
                  <c:v>45778</c:v>
                </c:pt>
                <c:pt idx="11">
                  <c:v>45748</c:v>
                </c:pt>
                <c:pt idx="12">
                  <c:v>45717</c:v>
                </c:pt>
                <c:pt idx="13">
                  <c:v>45689</c:v>
                </c:pt>
                <c:pt idx="14">
                  <c:v>45658</c:v>
                </c:pt>
                <c:pt idx="15">
                  <c:v>45627</c:v>
                </c:pt>
                <c:pt idx="16">
                  <c:v>45597</c:v>
                </c:pt>
                <c:pt idx="17">
                  <c:v>45566</c:v>
                </c:pt>
                <c:pt idx="18">
                  <c:v>45536</c:v>
                </c:pt>
                <c:pt idx="19">
                  <c:v>45505</c:v>
                </c:pt>
                <c:pt idx="20">
                  <c:v>45474</c:v>
                </c:pt>
                <c:pt idx="21">
                  <c:v>45444</c:v>
                </c:pt>
                <c:pt idx="22">
                  <c:v>45413</c:v>
                </c:pt>
                <c:pt idx="23">
                  <c:v>45383</c:v>
                </c:pt>
                <c:pt idx="24">
                  <c:v>45352</c:v>
                </c:pt>
                <c:pt idx="25">
                  <c:v>45323</c:v>
                </c:pt>
                <c:pt idx="26">
                  <c:v>45292</c:v>
                </c:pt>
                <c:pt idx="27">
                  <c:v>45261</c:v>
                </c:pt>
                <c:pt idx="28">
                  <c:v>45231</c:v>
                </c:pt>
                <c:pt idx="29">
                  <c:v>45200</c:v>
                </c:pt>
                <c:pt idx="30">
                  <c:v>45170</c:v>
                </c:pt>
                <c:pt idx="31">
                  <c:v>45139</c:v>
                </c:pt>
                <c:pt idx="32">
                  <c:v>45108</c:v>
                </c:pt>
                <c:pt idx="33">
                  <c:v>45078</c:v>
                </c:pt>
                <c:pt idx="34">
                  <c:v>45047</c:v>
                </c:pt>
                <c:pt idx="35">
                  <c:v>45017</c:v>
                </c:pt>
                <c:pt idx="36">
                  <c:v>44986</c:v>
                </c:pt>
                <c:pt idx="37">
                  <c:v>44958</c:v>
                </c:pt>
                <c:pt idx="38">
                  <c:v>44927</c:v>
                </c:pt>
                <c:pt idx="39">
                  <c:v>44896</c:v>
                </c:pt>
                <c:pt idx="40">
                  <c:v>44866</c:v>
                </c:pt>
                <c:pt idx="41">
                  <c:v>44835</c:v>
                </c:pt>
                <c:pt idx="42">
                  <c:v>44805</c:v>
                </c:pt>
                <c:pt idx="43">
                  <c:v>44774</c:v>
                </c:pt>
                <c:pt idx="44">
                  <c:v>44743</c:v>
                </c:pt>
                <c:pt idx="45">
                  <c:v>44713</c:v>
                </c:pt>
                <c:pt idx="46">
                  <c:v>44682</c:v>
                </c:pt>
                <c:pt idx="47">
                  <c:v>44652</c:v>
                </c:pt>
                <c:pt idx="48">
                  <c:v>44621</c:v>
                </c:pt>
                <c:pt idx="49">
                  <c:v>44593</c:v>
                </c:pt>
                <c:pt idx="50">
                  <c:v>44562</c:v>
                </c:pt>
                <c:pt idx="51">
                  <c:v>44531</c:v>
                </c:pt>
                <c:pt idx="52">
                  <c:v>44501</c:v>
                </c:pt>
                <c:pt idx="53">
                  <c:v>44470</c:v>
                </c:pt>
                <c:pt idx="54">
                  <c:v>44440</c:v>
                </c:pt>
                <c:pt idx="55">
                  <c:v>44409</c:v>
                </c:pt>
                <c:pt idx="56">
                  <c:v>44378</c:v>
                </c:pt>
                <c:pt idx="57">
                  <c:v>44348</c:v>
                </c:pt>
                <c:pt idx="58">
                  <c:v>44317</c:v>
                </c:pt>
                <c:pt idx="59">
                  <c:v>44287</c:v>
                </c:pt>
                <c:pt idx="60">
                  <c:v>44256</c:v>
                </c:pt>
                <c:pt idx="61">
                  <c:v>44228</c:v>
                </c:pt>
                <c:pt idx="62">
                  <c:v>44197</c:v>
                </c:pt>
                <c:pt idx="63">
                  <c:v>44166</c:v>
                </c:pt>
                <c:pt idx="64">
                  <c:v>44136</c:v>
                </c:pt>
                <c:pt idx="65">
                  <c:v>44105</c:v>
                </c:pt>
                <c:pt idx="66">
                  <c:v>44075</c:v>
                </c:pt>
                <c:pt idx="67">
                  <c:v>44044</c:v>
                </c:pt>
                <c:pt idx="68">
                  <c:v>44013</c:v>
                </c:pt>
                <c:pt idx="69">
                  <c:v>43983</c:v>
                </c:pt>
                <c:pt idx="70">
                  <c:v>43952</c:v>
                </c:pt>
                <c:pt idx="71">
                  <c:v>43922</c:v>
                </c:pt>
                <c:pt idx="72">
                  <c:v>43891</c:v>
                </c:pt>
                <c:pt idx="73">
                  <c:v>43862</c:v>
                </c:pt>
                <c:pt idx="74">
                  <c:v>43831</c:v>
                </c:pt>
                <c:pt idx="75">
                  <c:v>43800</c:v>
                </c:pt>
                <c:pt idx="76">
                  <c:v>43770</c:v>
                </c:pt>
                <c:pt idx="77">
                  <c:v>43739</c:v>
                </c:pt>
                <c:pt idx="78">
                  <c:v>43709</c:v>
                </c:pt>
                <c:pt idx="79">
                  <c:v>43678</c:v>
                </c:pt>
                <c:pt idx="80">
                  <c:v>43647</c:v>
                </c:pt>
                <c:pt idx="81">
                  <c:v>43617</c:v>
                </c:pt>
                <c:pt idx="82">
                  <c:v>43586</c:v>
                </c:pt>
                <c:pt idx="83">
                  <c:v>43556</c:v>
                </c:pt>
                <c:pt idx="84">
                  <c:v>43525</c:v>
                </c:pt>
                <c:pt idx="85">
                  <c:v>43497</c:v>
                </c:pt>
                <c:pt idx="86">
                  <c:v>43466</c:v>
                </c:pt>
                <c:pt idx="87">
                  <c:v>43435</c:v>
                </c:pt>
                <c:pt idx="88">
                  <c:v>43405</c:v>
                </c:pt>
                <c:pt idx="89">
                  <c:v>43374</c:v>
                </c:pt>
                <c:pt idx="90">
                  <c:v>43344</c:v>
                </c:pt>
                <c:pt idx="91">
                  <c:v>43313</c:v>
                </c:pt>
                <c:pt idx="92">
                  <c:v>43282</c:v>
                </c:pt>
                <c:pt idx="93">
                  <c:v>43252</c:v>
                </c:pt>
                <c:pt idx="94">
                  <c:v>43221</c:v>
                </c:pt>
                <c:pt idx="95">
                  <c:v>43191</c:v>
                </c:pt>
                <c:pt idx="96">
                  <c:v>43160</c:v>
                </c:pt>
                <c:pt idx="97">
                  <c:v>43132</c:v>
                </c:pt>
                <c:pt idx="98">
                  <c:v>43101</c:v>
                </c:pt>
                <c:pt idx="99">
                  <c:v>43070</c:v>
                </c:pt>
                <c:pt idx="100">
                  <c:v>43040</c:v>
                </c:pt>
                <c:pt idx="101">
                  <c:v>43009</c:v>
                </c:pt>
                <c:pt idx="102">
                  <c:v>42979</c:v>
                </c:pt>
                <c:pt idx="103">
                  <c:v>42948</c:v>
                </c:pt>
                <c:pt idx="104">
                  <c:v>42917</c:v>
                </c:pt>
                <c:pt idx="105">
                  <c:v>42887</c:v>
                </c:pt>
                <c:pt idx="106">
                  <c:v>42856</c:v>
                </c:pt>
                <c:pt idx="107">
                  <c:v>42826</c:v>
                </c:pt>
                <c:pt idx="108">
                  <c:v>42795</c:v>
                </c:pt>
                <c:pt idx="109">
                  <c:v>42767</c:v>
                </c:pt>
                <c:pt idx="110">
                  <c:v>42736</c:v>
                </c:pt>
                <c:pt idx="111">
                  <c:v>42705</c:v>
                </c:pt>
                <c:pt idx="112">
                  <c:v>42675</c:v>
                </c:pt>
                <c:pt idx="113">
                  <c:v>42644</c:v>
                </c:pt>
                <c:pt idx="114">
                  <c:v>42614</c:v>
                </c:pt>
                <c:pt idx="115">
                  <c:v>42583</c:v>
                </c:pt>
                <c:pt idx="116">
                  <c:v>42552</c:v>
                </c:pt>
                <c:pt idx="117">
                  <c:v>42522</c:v>
                </c:pt>
                <c:pt idx="118">
                  <c:v>42491</c:v>
                </c:pt>
                <c:pt idx="119">
                  <c:v>42461</c:v>
                </c:pt>
                <c:pt idx="120">
                  <c:v>42430</c:v>
                </c:pt>
                <c:pt idx="121">
                  <c:v>42401</c:v>
                </c:pt>
                <c:pt idx="122">
                  <c:v>42370</c:v>
                </c:pt>
                <c:pt idx="123">
                  <c:v>42339</c:v>
                </c:pt>
                <c:pt idx="124">
                  <c:v>42309</c:v>
                </c:pt>
                <c:pt idx="125">
                  <c:v>42278</c:v>
                </c:pt>
                <c:pt idx="126">
                  <c:v>42248</c:v>
                </c:pt>
                <c:pt idx="127">
                  <c:v>42217</c:v>
                </c:pt>
                <c:pt idx="128">
                  <c:v>42186</c:v>
                </c:pt>
                <c:pt idx="129">
                  <c:v>42156</c:v>
                </c:pt>
                <c:pt idx="130">
                  <c:v>42125</c:v>
                </c:pt>
                <c:pt idx="131">
                  <c:v>42095</c:v>
                </c:pt>
                <c:pt idx="132">
                  <c:v>42064</c:v>
                </c:pt>
                <c:pt idx="133">
                  <c:v>42036</c:v>
                </c:pt>
                <c:pt idx="134">
                  <c:v>42005</c:v>
                </c:pt>
                <c:pt idx="135">
                  <c:v>41974</c:v>
                </c:pt>
                <c:pt idx="136">
                  <c:v>41944</c:v>
                </c:pt>
                <c:pt idx="137">
                  <c:v>41913</c:v>
                </c:pt>
                <c:pt idx="138">
                  <c:v>41883</c:v>
                </c:pt>
                <c:pt idx="139">
                  <c:v>41852</c:v>
                </c:pt>
                <c:pt idx="140">
                  <c:v>41821</c:v>
                </c:pt>
                <c:pt idx="141">
                  <c:v>41791</c:v>
                </c:pt>
                <c:pt idx="142">
                  <c:v>41760</c:v>
                </c:pt>
                <c:pt idx="143">
                  <c:v>41730</c:v>
                </c:pt>
                <c:pt idx="144">
                  <c:v>41699</c:v>
                </c:pt>
                <c:pt idx="145">
                  <c:v>41671</c:v>
                </c:pt>
                <c:pt idx="146">
                  <c:v>41640</c:v>
                </c:pt>
                <c:pt idx="147">
                  <c:v>41609</c:v>
                </c:pt>
                <c:pt idx="148">
                  <c:v>41579</c:v>
                </c:pt>
                <c:pt idx="149">
                  <c:v>41548</c:v>
                </c:pt>
                <c:pt idx="150">
                  <c:v>41518</c:v>
                </c:pt>
                <c:pt idx="151">
                  <c:v>41487</c:v>
                </c:pt>
                <c:pt idx="152">
                  <c:v>41456</c:v>
                </c:pt>
                <c:pt idx="153">
                  <c:v>41426</c:v>
                </c:pt>
                <c:pt idx="154">
                  <c:v>41395</c:v>
                </c:pt>
                <c:pt idx="155">
                  <c:v>41365</c:v>
                </c:pt>
                <c:pt idx="156">
                  <c:v>41334</c:v>
                </c:pt>
                <c:pt idx="157">
                  <c:v>41306</c:v>
                </c:pt>
                <c:pt idx="158">
                  <c:v>41275</c:v>
                </c:pt>
                <c:pt idx="159">
                  <c:v>41244</c:v>
                </c:pt>
                <c:pt idx="160">
                  <c:v>41214</c:v>
                </c:pt>
                <c:pt idx="161">
                  <c:v>41183</c:v>
                </c:pt>
                <c:pt idx="162">
                  <c:v>41153</c:v>
                </c:pt>
                <c:pt idx="163">
                  <c:v>41122</c:v>
                </c:pt>
                <c:pt idx="164">
                  <c:v>41091</c:v>
                </c:pt>
                <c:pt idx="165">
                  <c:v>41061</c:v>
                </c:pt>
                <c:pt idx="166">
                  <c:v>41030</c:v>
                </c:pt>
                <c:pt idx="167">
                  <c:v>41000</c:v>
                </c:pt>
                <c:pt idx="168">
                  <c:v>40969</c:v>
                </c:pt>
                <c:pt idx="169">
                  <c:v>40940</c:v>
                </c:pt>
                <c:pt idx="170">
                  <c:v>40909</c:v>
                </c:pt>
                <c:pt idx="171">
                  <c:v>40878</c:v>
                </c:pt>
                <c:pt idx="172">
                  <c:v>40848</c:v>
                </c:pt>
                <c:pt idx="173">
                  <c:v>40817</c:v>
                </c:pt>
                <c:pt idx="174">
                  <c:v>40787</c:v>
                </c:pt>
                <c:pt idx="175">
                  <c:v>40756</c:v>
                </c:pt>
                <c:pt idx="176">
                  <c:v>40725</c:v>
                </c:pt>
                <c:pt idx="177">
                  <c:v>40695</c:v>
                </c:pt>
                <c:pt idx="178">
                  <c:v>40664</c:v>
                </c:pt>
                <c:pt idx="179">
                  <c:v>40634</c:v>
                </c:pt>
                <c:pt idx="180">
                  <c:v>40603</c:v>
                </c:pt>
                <c:pt idx="181">
                  <c:v>40575</c:v>
                </c:pt>
                <c:pt idx="182">
                  <c:v>40544</c:v>
                </c:pt>
                <c:pt idx="183">
                  <c:v>40513</c:v>
                </c:pt>
                <c:pt idx="184">
                  <c:v>40483</c:v>
                </c:pt>
                <c:pt idx="185">
                  <c:v>40452</c:v>
                </c:pt>
                <c:pt idx="186">
                  <c:v>40422</c:v>
                </c:pt>
                <c:pt idx="187">
                  <c:v>40391</c:v>
                </c:pt>
                <c:pt idx="188">
                  <c:v>40360</c:v>
                </c:pt>
                <c:pt idx="189">
                  <c:v>40330</c:v>
                </c:pt>
                <c:pt idx="190">
                  <c:v>40299</c:v>
                </c:pt>
                <c:pt idx="191">
                  <c:v>40269</c:v>
                </c:pt>
                <c:pt idx="192">
                  <c:v>40238</c:v>
                </c:pt>
                <c:pt idx="193">
                  <c:v>40210</c:v>
                </c:pt>
                <c:pt idx="194">
                  <c:v>40179</c:v>
                </c:pt>
                <c:pt idx="195">
                  <c:v>40148</c:v>
                </c:pt>
                <c:pt idx="196">
                  <c:v>40118</c:v>
                </c:pt>
                <c:pt idx="197">
                  <c:v>40087</c:v>
                </c:pt>
                <c:pt idx="198">
                  <c:v>40057</c:v>
                </c:pt>
                <c:pt idx="199">
                  <c:v>40026</c:v>
                </c:pt>
                <c:pt idx="200">
                  <c:v>39995</c:v>
                </c:pt>
                <c:pt idx="201">
                  <c:v>39965</c:v>
                </c:pt>
                <c:pt idx="202">
                  <c:v>39934</c:v>
                </c:pt>
                <c:pt idx="203">
                  <c:v>39904</c:v>
                </c:pt>
                <c:pt idx="204">
                  <c:v>39873</c:v>
                </c:pt>
                <c:pt idx="205">
                  <c:v>39845</c:v>
                </c:pt>
                <c:pt idx="206">
                  <c:v>39814</c:v>
                </c:pt>
                <c:pt idx="207">
                  <c:v>39783</c:v>
                </c:pt>
                <c:pt idx="208">
                  <c:v>39753</c:v>
                </c:pt>
                <c:pt idx="209">
                  <c:v>39722</c:v>
                </c:pt>
                <c:pt idx="210">
                  <c:v>39692</c:v>
                </c:pt>
                <c:pt idx="211">
                  <c:v>39661</c:v>
                </c:pt>
                <c:pt idx="212">
                  <c:v>39630</c:v>
                </c:pt>
                <c:pt idx="213">
                  <c:v>39600</c:v>
                </c:pt>
                <c:pt idx="214">
                  <c:v>39569</c:v>
                </c:pt>
                <c:pt idx="215">
                  <c:v>39539</c:v>
                </c:pt>
                <c:pt idx="216">
                  <c:v>39508</c:v>
                </c:pt>
                <c:pt idx="217">
                  <c:v>39479</c:v>
                </c:pt>
                <c:pt idx="218">
                  <c:v>39448</c:v>
                </c:pt>
                <c:pt idx="219">
                  <c:v>39417</c:v>
                </c:pt>
                <c:pt idx="220">
                  <c:v>39387</c:v>
                </c:pt>
                <c:pt idx="221">
                  <c:v>39356</c:v>
                </c:pt>
                <c:pt idx="222">
                  <c:v>39326</c:v>
                </c:pt>
                <c:pt idx="223">
                  <c:v>39295</c:v>
                </c:pt>
                <c:pt idx="224">
                  <c:v>39264</c:v>
                </c:pt>
                <c:pt idx="225">
                  <c:v>39234</c:v>
                </c:pt>
                <c:pt idx="226">
                  <c:v>39203</c:v>
                </c:pt>
                <c:pt idx="227">
                  <c:v>39173</c:v>
                </c:pt>
                <c:pt idx="228">
                  <c:v>39142</c:v>
                </c:pt>
                <c:pt idx="229">
                  <c:v>39114</c:v>
                </c:pt>
                <c:pt idx="230">
                  <c:v>39083</c:v>
                </c:pt>
                <c:pt idx="231">
                  <c:v>39052</c:v>
                </c:pt>
                <c:pt idx="232">
                  <c:v>39022</c:v>
                </c:pt>
                <c:pt idx="233">
                  <c:v>38991</c:v>
                </c:pt>
                <c:pt idx="234">
                  <c:v>38961</c:v>
                </c:pt>
                <c:pt idx="235">
                  <c:v>38930</c:v>
                </c:pt>
                <c:pt idx="236">
                  <c:v>38899</c:v>
                </c:pt>
                <c:pt idx="237">
                  <c:v>38869</c:v>
                </c:pt>
                <c:pt idx="238">
                  <c:v>38838</c:v>
                </c:pt>
                <c:pt idx="239">
                  <c:v>38808</c:v>
                </c:pt>
                <c:pt idx="240">
                  <c:v>38777</c:v>
                </c:pt>
                <c:pt idx="241">
                  <c:v>38749</c:v>
                </c:pt>
                <c:pt idx="242">
                  <c:v>38718</c:v>
                </c:pt>
                <c:pt idx="243">
                  <c:v>38687</c:v>
                </c:pt>
                <c:pt idx="244">
                  <c:v>38657</c:v>
                </c:pt>
                <c:pt idx="245">
                  <c:v>38626</c:v>
                </c:pt>
                <c:pt idx="246">
                  <c:v>38596</c:v>
                </c:pt>
                <c:pt idx="247">
                  <c:v>38565</c:v>
                </c:pt>
                <c:pt idx="248">
                  <c:v>38534</c:v>
                </c:pt>
                <c:pt idx="249">
                  <c:v>38504</c:v>
                </c:pt>
                <c:pt idx="250">
                  <c:v>38473</c:v>
                </c:pt>
                <c:pt idx="251">
                  <c:v>38443</c:v>
                </c:pt>
                <c:pt idx="252">
                  <c:v>38412</c:v>
                </c:pt>
                <c:pt idx="253">
                  <c:v>38384</c:v>
                </c:pt>
                <c:pt idx="254">
                  <c:v>38353</c:v>
                </c:pt>
                <c:pt idx="255">
                  <c:v>38322</c:v>
                </c:pt>
                <c:pt idx="256">
                  <c:v>38292</c:v>
                </c:pt>
                <c:pt idx="257">
                  <c:v>38261</c:v>
                </c:pt>
                <c:pt idx="258">
                  <c:v>38231</c:v>
                </c:pt>
                <c:pt idx="259">
                  <c:v>38200</c:v>
                </c:pt>
                <c:pt idx="260">
                  <c:v>38169</c:v>
                </c:pt>
                <c:pt idx="261">
                  <c:v>38139</c:v>
                </c:pt>
                <c:pt idx="262">
                  <c:v>38108</c:v>
                </c:pt>
                <c:pt idx="263">
                  <c:v>38078</c:v>
                </c:pt>
                <c:pt idx="264">
                  <c:v>38047</c:v>
                </c:pt>
                <c:pt idx="265">
                  <c:v>38018</c:v>
                </c:pt>
                <c:pt idx="266">
                  <c:v>37987</c:v>
                </c:pt>
                <c:pt idx="267">
                  <c:v>37956</c:v>
                </c:pt>
                <c:pt idx="268">
                  <c:v>37926</c:v>
                </c:pt>
                <c:pt idx="269">
                  <c:v>37895</c:v>
                </c:pt>
                <c:pt idx="270">
                  <c:v>37865</c:v>
                </c:pt>
                <c:pt idx="271">
                  <c:v>37834</c:v>
                </c:pt>
                <c:pt idx="272">
                  <c:v>37803</c:v>
                </c:pt>
                <c:pt idx="273">
                  <c:v>37773</c:v>
                </c:pt>
                <c:pt idx="274">
                  <c:v>37742</c:v>
                </c:pt>
                <c:pt idx="275">
                  <c:v>37712</c:v>
                </c:pt>
                <c:pt idx="276">
                  <c:v>37681</c:v>
                </c:pt>
                <c:pt idx="277">
                  <c:v>37653</c:v>
                </c:pt>
                <c:pt idx="278">
                  <c:v>37622</c:v>
                </c:pt>
                <c:pt idx="279">
                  <c:v>37591</c:v>
                </c:pt>
                <c:pt idx="280">
                  <c:v>37561</c:v>
                </c:pt>
                <c:pt idx="281">
                  <c:v>37530</c:v>
                </c:pt>
                <c:pt idx="282">
                  <c:v>37500</c:v>
                </c:pt>
                <c:pt idx="283">
                  <c:v>37469</c:v>
                </c:pt>
                <c:pt idx="284">
                  <c:v>37438</c:v>
                </c:pt>
                <c:pt idx="285">
                  <c:v>37408</c:v>
                </c:pt>
                <c:pt idx="286">
                  <c:v>37377</c:v>
                </c:pt>
                <c:pt idx="287">
                  <c:v>37347</c:v>
                </c:pt>
                <c:pt idx="288">
                  <c:v>37316</c:v>
                </c:pt>
                <c:pt idx="289">
                  <c:v>37288</c:v>
                </c:pt>
                <c:pt idx="290">
                  <c:v>37257</c:v>
                </c:pt>
                <c:pt idx="291">
                  <c:v>37226</c:v>
                </c:pt>
                <c:pt idx="292">
                  <c:v>37196</c:v>
                </c:pt>
                <c:pt idx="293">
                  <c:v>37165</c:v>
                </c:pt>
                <c:pt idx="294">
                  <c:v>37135</c:v>
                </c:pt>
                <c:pt idx="295">
                  <c:v>37104</c:v>
                </c:pt>
                <c:pt idx="296">
                  <c:v>37073</c:v>
                </c:pt>
                <c:pt idx="297">
                  <c:v>37043</c:v>
                </c:pt>
                <c:pt idx="298">
                  <c:v>37012</c:v>
                </c:pt>
                <c:pt idx="299">
                  <c:v>36982</c:v>
                </c:pt>
              </c:numCache>
            </c:numRef>
          </c:cat>
          <c:val>
            <c:numRef>
              <c:f>'Chart 2.13 data'!$I$8:$I$307</c:f>
              <c:numCache>
                <c:formatCode>0.0000000</c:formatCode>
                <c:ptCount val="300"/>
                <c:pt idx="0">
                  <c:v>66.988502999999994</c:v>
                </c:pt>
                <c:pt idx="1">
                  <c:v>67.546210299999998</c:v>
                </c:pt>
                <c:pt idx="2">
                  <c:v>67.359056699999996</c:v>
                </c:pt>
                <c:pt idx="3">
                  <c:v>67.680690299999995</c:v>
                </c:pt>
                <c:pt idx="4">
                  <c:v>68.007389900000007</c:v>
                </c:pt>
                <c:pt idx="5">
                  <c:v>67.765096499999999</c:v>
                </c:pt>
                <c:pt idx="6">
                  <c:v>68.040519700000004</c:v>
                </c:pt>
                <c:pt idx="7">
                  <c:v>67.950796999999994</c:v>
                </c:pt>
                <c:pt idx="8">
                  <c:v>67.690605899999994</c:v>
                </c:pt>
                <c:pt idx="9">
                  <c:v>67.834677999999997</c:v>
                </c:pt>
                <c:pt idx="10">
                  <c:v>67.594168199999999</c:v>
                </c:pt>
                <c:pt idx="11">
                  <c:v>67.828322400000005</c:v>
                </c:pt>
                <c:pt idx="12">
                  <c:v>67.511959000000004</c:v>
                </c:pt>
                <c:pt idx="13">
                  <c:v>67.351107400000004</c:v>
                </c:pt>
                <c:pt idx="14">
                  <c:v>67.929973799999999</c:v>
                </c:pt>
                <c:pt idx="15">
                  <c:v>67.899995899999993</c:v>
                </c:pt>
                <c:pt idx="16">
                  <c:v>67.871491500000005</c:v>
                </c:pt>
                <c:pt idx="17">
                  <c:v>68.192431600000006</c:v>
                </c:pt>
                <c:pt idx="18">
                  <c:v>68.208481899999995</c:v>
                </c:pt>
                <c:pt idx="19">
                  <c:v>68.103371600000003</c:v>
                </c:pt>
                <c:pt idx="20">
                  <c:v>68.106509500000001</c:v>
                </c:pt>
                <c:pt idx="21">
                  <c:v>67.746276800000004</c:v>
                </c:pt>
                <c:pt idx="22">
                  <c:v>67.698420100000007</c:v>
                </c:pt>
                <c:pt idx="23">
                  <c:v>67.440818800000002</c:v>
                </c:pt>
                <c:pt idx="24">
                  <c:v>67.355843300000004</c:v>
                </c:pt>
                <c:pt idx="25">
                  <c:v>67.273582300000001</c:v>
                </c:pt>
                <c:pt idx="26">
                  <c:v>66.717518699999999</c:v>
                </c:pt>
                <c:pt idx="27">
                  <c:v>67.113358099999999</c:v>
                </c:pt>
                <c:pt idx="28">
                  <c:v>67.294113899999999</c:v>
                </c:pt>
                <c:pt idx="29">
                  <c:v>67.537966400000002</c:v>
                </c:pt>
                <c:pt idx="30">
                  <c:v>66.849991599999996</c:v>
                </c:pt>
                <c:pt idx="31">
                  <c:v>67.090436800000006</c:v>
                </c:pt>
                <c:pt idx="32">
                  <c:v>67.471098999999995</c:v>
                </c:pt>
                <c:pt idx="33">
                  <c:v>67.432836199999997</c:v>
                </c:pt>
                <c:pt idx="34">
                  <c:v>67.430613600000001</c:v>
                </c:pt>
                <c:pt idx="35">
                  <c:v>67.173781399999996</c:v>
                </c:pt>
                <c:pt idx="36">
                  <c:v>67.677576000000002</c:v>
                </c:pt>
                <c:pt idx="37">
                  <c:v>67.029606700000002</c:v>
                </c:pt>
                <c:pt idx="38">
                  <c:v>66.2779326</c:v>
                </c:pt>
                <c:pt idx="39">
                  <c:v>66.600603500000005</c:v>
                </c:pt>
                <c:pt idx="40">
                  <c:v>66.994120699999996</c:v>
                </c:pt>
                <c:pt idx="41">
                  <c:v>66.597896300000002</c:v>
                </c:pt>
                <c:pt idx="42">
                  <c:v>66.362805800000004</c:v>
                </c:pt>
                <c:pt idx="43">
                  <c:v>66.810689499999995</c:v>
                </c:pt>
                <c:pt idx="44">
                  <c:v>66.352370699999994</c:v>
                </c:pt>
                <c:pt idx="45">
                  <c:v>66.801212599999999</c:v>
                </c:pt>
                <c:pt idx="46">
                  <c:v>66.535864700000005</c:v>
                </c:pt>
                <c:pt idx="47">
                  <c:v>67.086697299999997</c:v>
                </c:pt>
                <c:pt idx="48">
                  <c:v>66.765964999999994</c:v>
                </c:pt>
                <c:pt idx="49">
                  <c:v>66.831322799999995</c:v>
                </c:pt>
                <c:pt idx="50">
                  <c:v>66.503759400000007</c:v>
                </c:pt>
                <c:pt idx="51">
                  <c:v>66.853895300000005</c:v>
                </c:pt>
                <c:pt idx="52">
                  <c:v>66.493405800000005</c:v>
                </c:pt>
                <c:pt idx="53">
                  <c:v>64.280277100000006</c:v>
                </c:pt>
                <c:pt idx="54">
                  <c:v>64.467101900000003</c:v>
                </c:pt>
                <c:pt idx="55">
                  <c:v>66.417712699999996</c:v>
                </c:pt>
                <c:pt idx="56">
                  <c:v>66.223259799999994</c:v>
                </c:pt>
                <c:pt idx="57">
                  <c:v>65.733736500000006</c:v>
                </c:pt>
                <c:pt idx="58">
                  <c:v>66.077861400000003</c:v>
                </c:pt>
                <c:pt idx="59">
                  <c:v>66.087538199999997</c:v>
                </c:pt>
                <c:pt idx="60">
                  <c:v>66.503203200000002</c:v>
                </c:pt>
                <c:pt idx="61">
                  <c:v>66.078787599999998</c:v>
                </c:pt>
                <c:pt idx="62">
                  <c:v>66.287001099999998</c:v>
                </c:pt>
                <c:pt idx="63">
                  <c:v>65.7273675</c:v>
                </c:pt>
                <c:pt idx="64">
                  <c:v>65.672565500000005</c:v>
                </c:pt>
                <c:pt idx="65">
                  <c:v>64.478257799999994</c:v>
                </c:pt>
                <c:pt idx="66">
                  <c:v>62.442592500000003</c:v>
                </c:pt>
                <c:pt idx="67">
                  <c:v>63.584179200000001</c:v>
                </c:pt>
                <c:pt idx="68">
                  <c:v>64.237477699999999</c:v>
                </c:pt>
                <c:pt idx="69">
                  <c:v>64.346661900000001</c:v>
                </c:pt>
                <c:pt idx="70">
                  <c:v>63.301521700000002</c:v>
                </c:pt>
                <c:pt idx="71">
                  <c:v>64.225900199999998</c:v>
                </c:pt>
                <c:pt idx="72">
                  <c:v>66.151766100000003</c:v>
                </c:pt>
                <c:pt idx="73">
                  <c:v>66.145604300000002</c:v>
                </c:pt>
                <c:pt idx="74">
                  <c:v>66.7893574</c:v>
                </c:pt>
                <c:pt idx="75">
                  <c:v>66.708688499999994</c:v>
                </c:pt>
                <c:pt idx="76">
                  <c:v>66.217207099999996</c:v>
                </c:pt>
                <c:pt idx="77">
                  <c:v>66.264508300000003</c:v>
                </c:pt>
                <c:pt idx="78">
                  <c:v>66.277549300000004</c:v>
                </c:pt>
                <c:pt idx="79">
                  <c:v>66.401020500000001</c:v>
                </c:pt>
                <c:pt idx="80">
                  <c:v>66.021285000000006</c:v>
                </c:pt>
                <c:pt idx="81">
                  <c:v>65.967727999999994</c:v>
                </c:pt>
                <c:pt idx="82">
                  <c:v>65.8539545</c:v>
                </c:pt>
                <c:pt idx="83">
                  <c:v>65.9433978</c:v>
                </c:pt>
                <c:pt idx="84">
                  <c:v>65.896501400000005</c:v>
                </c:pt>
                <c:pt idx="85">
                  <c:v>65.989382500000005</c:v>
                </c:pt>
                <c:pt idx="86">
                  <c:v>65.903255200000004</c:v>
                </c:pt>
                <c:pt idx="87">
                  <c:v>65.740490699999995</c:v>
                </c:pt>
                <c:pt idx="88">
                  <c:v>65.854260699999998</c:v>
                </c:pt>
                <c:pt idx="89">
                  <c:v>65.406499699999998</c:v>
                </c:pt>
                <c:pt idx="90">
                  <c:v>65.560356200000001</c:v>
                </c:pt>
                <c:pt idx="91">
                  <c:v>65.415886499999999</c:v>
                </c:pt>
                <c:pt idx="92">
                  <c:v>65.702894900000004</c:v>
                </c:pt>
                <c:pt idx="93">
                  <c:v>65.683327500000004</c:v>
                </c:pt>
                <c:pt idx="94">
                  <c:v>65.547397900000007</c:v>
                </c:pt>
                <c:pt idx="95">
                  <c:v>65.287737899999996</c:v>
                </c:pt>
                <c:pt idx="96">
                  <c:v>65.492326800000001</c:v>
                </c:pt>
                <c:pt idx="97">
                  <c:v>65.397712400000003</c:v>
                </c:pt>
                <c:pt idx="98">
                  <c:v>65.965526299999993</c:v>
                </c:pt>
                <c:pt idx="99">
                  <c:v>66.241977500000004</c:v>
                </c:pt>
                <c:pt idx="100">
                  <c:v>65.905208700000003</c:v>
                </c:pt>
                <c:pt idx="101">
                  <c:v>65.818763099999998</c:v>
                </c:pt>
                <c:pt idx="102">
                  <c:v>66.275615599999995</c:v>
                </c:pt>
                <c:pt idx="103">
                  <c:v>66.226394600000006</c:v>
                </c:pt>
                <c:pt idx="104">
                  <c:v>66.005105299999997</c:v>
                </c:pt>
                <c:pt idx="105">
                  <c:v>66.009606500000004</c:v>
                </c:pt>
                <c:pt idx="106">
                  <c:v>66.031003400000003</c:v>
                </c:pt>
                <c:pt idx="107">
                  <c:v>66.151392400000006</c:v>
                </c:pt>
                <c:pt idx="108">
                  <c:v>65.838605099999995</c:v>
                </c:pt>
                <c:pt idx="109">
                  <c:v>65.772270599999999</c:v>
                </c:pt>
                <c:pt idx="110">
                  <c:v>65.418669499999993</c:v>
                </c:pt>
                <c:pt idx="111">
                  <c:v>65.981359800000007</c:v>
                </c:pt>
                <c:pt idx="112">
                  <c:v>65.729616300000004</c:v>
                </c:pt>
                <c:pt idx="113">
                  <c:v>65.825213599999998</c:v>
                </c:pt>
                <c:pt idx="114">
                  <c:v>65.355781199999996</c:v>
                </c:pt>
                <c:pt idx="115">
                  <c:v>65.413174299999994</c:v>
                </c:pt>
                <c:pt idx="116">
                  <c:v>65.518896400000003</c:v>
                </c:pt>
                <c:pt idx="117">
                  <c:v>65.336101499999998</c:v>
                </c:pt>
                <c:pt idx="118">
                  <c:v>64.903501800000001</c:v>
                </c:pt>
                <c:pt idx="119">
                  <c:v>64.791914399999996</c:v>
                </c:pt>
                <c:pt idx="120">
                  <c:v>64.858324499999995</c:v>
                </c:pt>
                <c:pt idx="121">
                  <c:v>64.977907799999997</c:v>
                </c:pt>
                <c:pt idx="122">
                  <c:v>64.634407899999999</c:v>
                </c:pt>
                <c:pt idx="123">
                  <c:v>64.630911600000005</c:v>
                </c:pt>
                <c:pt idx="124">
                  <c:v>65.147473599999998</c:v>
                </c:pt>
                <c:pt idx="125">
                  <c:v>64.7865362</c:v>
                </c:pt>
                <c:pt idx="126">
                  <c:v>64.632088499999995</c:v>
                </c:pt>
                <c:pt idx="127">
                  <c:v>64.268418100000005</c:v>
                </c:pt>
                <c:pt idx="128">
                  <c:v>65.053679099999997</c:v>
                </c:pt>
                <c:pt idx="129">
                  <c:v>64.6268551</c:v>
                </c:pt>
                <c:pt idx="130">
                  <c:v>64.812750600000001</c:v>
                </c:pt>
                <c:pt idx="131">
                  <c:v>65.031278200000003</c:v>
                </c:pt>
                <c:pt idx="132">
                  <c:v>65.094192500000005</c:v>
                </c:pt>
                <c:pt idx="133">
                  <c:v>64.997123799999997</c:v>
                </c:pt>
                <c:pt idx="134">
                  <c:v>65.139752000000001</c:v>
                </c:pt>
                <c:pt idx="135">
                  <c:v>65.1232428</c:v>
                </c:pt>
                <c:pt idx="136">
                  <c:v>64.617183299999994</c:v>
                </c:pt>
                <c:pt idx="137">
                  <c:v>64.832224600000004</c:v>
                </c:pt>
                <c:pt idx="138">
                  <c:v>64.944162300000002</c:v>
                </c:pt>
                <c:pt idx="139">
                  <c:v>64.729914100000002</c:v>
                </c:pt>
                <c:pt idx="140">
                  <c:v>64.888764699999996</c:v>
                </c:pt>
                <c:pt idx="141">
                  <c:v>64.363600300000002</c:v>
                </c:pt>
                <c:pt idx="142">
                  <c:v>64.390607000000003</c:v>
                </c:pt>
                <c:pt idx="143">
                  <c:v>64.180771399999998</c:v>
                </c:pt>
                <c:pt idx="144">
                  <c:v>64.283931699999997</c:v>
                </c:pt>
                <c:pt idx="145">
                  <c:v>64.123489500000005</c:v>
                </c:pt>
                <c:pt idx="146">
                  <c:v>64.667737000000002</c:v>
                </c:pt>
                <c:pt idx="147">
                  <c:v>64.413230100000007</c:v>
                </c:pt>
                <c:pt idx="148">
                  <c:v>64.822996000000003</c:v>
                </c:pt>
                <c:pt idx="149">
                  <c:v>64.996995100000007</c:v>
                </c:pt>
                <c:pt idx="150">
                  <c:v>64.669450900000001</c:v>
                </c:pt>
                <c:pt idx="151">
                  <c:v>64.850770100000005</c:v>
                </c:pt>
                <c:pt idx="152">
                  <c:v>64.866658299999997</c:v>
                </c:pt>
                <c:pt idx="153">
                  <c:v>65.420766999999998</c:v>
                </c:pt>
                <c:pt idx="154">
                  <c:v>64.743918800000003</c:v>
                </c:pt>
                <c:pt idx="155">
                  <c:v>65.0153265</c:v>
                </c:pt>
                <c:pt idx="156">
                  <c:v>64.637409899999994</c:v>
                </c:pt>
                <c:pt idx="157">
                  <c:v>64.887623199999993</c:v>
                </c:pt>
                <c:pt idx="158">
                  <c:v>64.814824599999994</c:v>
                </c:pt>
                <c:pt idx="159">
                  <c:v>65.053321600000004</c:v>
                </c:pt>
                <c:pt idx="160">
                  <c:v>64.660677899999996</c:v>
                </c:pt>
                <c:pt idx="161">
                  <c:v>65.040691300000006</c:v>
                </c:pt>
                <c:pt idx="162">
                  <c:v>65.321723399999996</c:v>
                </c:pt>
                <c:pt idx="163">
                  <c:v>65.005771100000004</c:v>
                </c:pt>
                <c:pt idx="164">
                  <c:v>65.226006799999993</c:v>
                </c:pt>
                <c:pt idx="165">
                  <c:v>65.587802400000001</c:v>
                </c:pt>
                <c:pt idx="166">
                  <c:v>65.690573099999995</c:v>
                </c:pt>
                <c:pt idx="167">
                  <c:v>65.449592899999999</c:v>
                </c:pt>
                <c:pt idx="168">
                  <c:v>65.332162699999998</c:v>
                </c:pt>
                <c:pt idx="169">
                  <c:v>64.8033231</c:v>
                </c:pt>
                <c:pt idx="170">
                  <c:v>64.964615499999994</c:v>
                </c:pt>
                <c:pt idx="171">
                  <c:v>65.032519300000004</c:v>
                </c:pt>
                <c:pt idx="172">
                  <c:v>65.353049600000006</c:v>
                </c:pt>
                <c:pt idx="173">
                  <c:v>65.6655947</c:v>
                </c:pt>
                <c:pt idx="174">
                  <c:v>65.6676389</c:v>
                </c:pt>
                <c:pt idx="175">
                  <c:v>65.452479400000001</c:v>
                </c:pt>
                <c:pt idx="176">
                  <c:v>65.463052300000001</c:v>
                </c:pt>
                <c:pt idx="177">
                  <c:v>65.669268400000007</c:v>
                </c:pt>
                <c:pt idx="178">
                  <c:v>65.632897</c:v>
                </c:pt>
                <c:pt idx="179">
                  <c:v>65.265870100000001</c:v>
                </c:pt>
                <c:pt idx="180">
                  <c:v>65.491715299999996</c:v>
                </c:pt>
                <c:pt idx="181">
                  <c:v>65.901758900000004</c:v>
                </c:pt>
                <c:pt idx="182">
                  <c:v>66.088993000000002</c:v>
                </c:pt>
                <c:pt idx="183">
                  <c:v>65.621471999999997</c:v>
                </c:pt>
                <c:pt idx="184">
                  <c:v>66.019059200000001</c:v>
                </c:pt>
                <c:pt idx="185">
                  <c:v>65.777350600000005</c:v>
                </c:pt>
                <c:pt idx="186">
                  <c:v>65.541050600000005</c:v>
                </c:pt>
                <c:pt idx="187">
                  <c:v>65.802858799999996</c:v>
                </c:pt>
                <c:pt idx="188">
                  <c:v>65.229355299999995</c:v>
                </c:pt>
                <c:pt idx="189">
                  <c:v>65.097216099999997</c:v>
                </c:pt>
                <c:pt idx="190">
                  <c:v>65.200626999999997</c:v>
                </c:pt>
                <c:pt idx="191">
                  <c:v>65.140967900000007</c:v>
                </c:pt>
                <c:pt idx="192">
                  <c:v>65.187656899999993</c:v>
                </c:pt>
                <c:pt idx="193">
                  <c:v>65.057641399999994</c:v>
                </c:pt>
                <c:pt idx="194">
                  <c:v>65.687900099999993</c:v>
                </c:pt>
                <c:pt idx="195">
                  <c:v>65.454985800000003</c:v>
                </c:pt>
                <c:pt idx="196">
                  <c:v>65.375827299999997</c:v>
                </c:pt>
                <c:pt idx="197">
                  <c:v>65.291600900000006</c:v>
                </c:pt>
                <c:pt idx="198">
                  <c:v>64.703432399999997</c:v>
                </c:pt>
                <c:pt idx="199">
                  <c:v>65.087595300000004</c:v>
                </c:pt>
                <c:pt idx="200">
                  <c:v>64.789264200000005</c:v>
                </c:pt>
                <c:pt idx="201">
                  <c:v>64.7260651</c:v>
                </c:pt>
                <c:pt idx="202">
                  <c:v>64.655529700000002</c:v>
                </c:pt>
                <c:pt idx="203">
                  <c:v>64.469706000000002</c:v>
                </c:pt>
                <c:pt idx="204">
                  <c:v>64.645762899999994</c:v>
                </c:pt>
                <c:pt idx="205">
                  <c:v>64.904236999999995</c:v>
                </c:pt>
                <c:pt idx="206">
                  <c:v>64.586370700000003</c:v>
                </c:pt>
                <c:pt idx="207">
                  <c:v>64.612813599999996</c:v>
                </c:pt>
                <c:pt idx="208">
                  <c:v>64.462211999999994</c:v>
                </c:pt>
                <c:pt idx="209">
                  <c:v>64.639901199999997</c:v>
                </c:pt>
                <c:pt idx="210">
                  <c:v>64.650760599999998</c:v>
                </c:pt>
                <c:pt idx="211">
                  <c:v>64.946527200000006</c:v>
                </c:pt>
                <c:pt idx="212">
                  <c:v>65.098425800000001</c:v>
                </c:pt>
                <c:pt idx="213">
                  <c:v>65.195309199999997</c:v>
                </c:pt>
                <c:pt idx="214">
                  <c:v>64.993775600000006</c:v>
                </c:pt>
                <c:pt idx="215">
                  <c:v>65.3185237</c:v>
                </c:pt>
                <c:pt idx="216">
                  <c:v>64.744228300000003</c:v>
                </c:pt>
                <c:pt idx="217">
                  <c:v>65.185266400000003</c:v>
                </c:pt>
                <c:pt idx="218">
                  <c:v>65.591762000000003</c:v>
                </c:pt>
                <c:pt idx="219">
                  <c:v>65.836084099999994</c:v>
                </c:pt>
                <c:pt idx="220">
                  <c:v>65.481080199999994</c:v>
                </c:pt>
                <c:pt idx="221">
                  <c:v>64.952539400000006</c:v>
                </c:pt>
                <c:pt idx="222">
                  <c:v>64.967015500000002</c:v>
                </c:pt>
                <c:pt idx="223">
                  <c:v>65.245516800000004</c:v>
                </c:pt>
                <c:pt idx="224">
                  <c:v>65.054935</c:v>
                </c:pt>
                <c:pt idx="225">
                  <c:v>64.948202300000005</c:v>
                </c:pt>
                <c:pt idx="226">
                  <c:v>65.105907900000005</c:v>
                </c:pt>
                <c:pt idx="227">
                  <c:v>65.304739799999993</c:v>
                </c:pt>
                <c:pt idx="228">
                  <c:v>65.020364999999998</c:v>
                </c:pt>
                <c:pt idx="229">
                  <c:v>64.856436299999999</c:v>
                </c:pt>
                <c:pt idx="230">
                  <c:v>64.606807000000003</c:v>
                </c:pt>
                <c:pt idx="231">
                  <c:v>64.879703300000003</c:v>
                </c:pt>
                <c:pt idx="232">
                  <c:v>64.201276800000002</c:v>
                </c:pt>
                <c:pt idx="233">
                  <c:v>64.577196400000005</c:v>
                </c:pt>
                <c:pt idx="234">
                  <c:v>64.705667899999995</c:v>
                </c:pt>
                <c:pt idx="235">
                  <c:v>64.467729500000004</c:v>
                </c:pt>
                <c:pt idx="236">
                  <c:v>64.742198900000005</c:v>
                </c:pt>
                <c:pt idx="237">
                  <c:v>64.674595299999993</c:v>
                </c:pt>
                <c:pt idx="238">
                  <c:v>64.157680999999997</c:v>
                </c:pt>
                <c:pt idx="239">
                  <c:v>64.5964879</c:v>
                </c:pt>
                <c:pt idx="240">
                  <c:v>64.181417300000007</c:v>
                </c:pt>
                <c:pt idx="241">
                  <c:v>64.102048199999999</c:v>
                </c:pt>
                <c:pt idx="242">
                  <c:v>63.775173000000002</c:v>
                </c:pt>
                <c:pt idx="243">
                  <c:v>64.118827199999998</c:v>
                </c:pt>
                <c:pt idx="244">
                  <c:v>64.091880599999996</c:v>
                </c:pt>
                <c:pt idx="245">
                  <c:v>64.558679499999997</c:v>
                </c:pt>
                <c:pt idx="246">
                  <c:v>64.215360200000006</c:v>
                </c:pt>
                <c:pt idx="247">
                  <c:v>64.411059100000003</c:v>
                </c:pt>
                <c:pt idx="248">
                  <c:v>64.057677400000003</c:v>
                </c:pt>
                <c:pt idx="249">
                  <c:v>64.382580399999995</c:v>
                </c:pt>
                <c:pt idx="250">
                  <c:v>64.611355500000002</c:v>
                </c:pt>
                <c:pt idx="251">
                  <c:v>64.355574599999997</c:v>
                </c:pt>
                <c:pt idx="252">
                  <c:v>64.356312099999997</c:v>
                </c:pt>
                <c:pt idx="253">
                  <c:v>64.271153799999993</c:v>
                </c:pt>
                <c:pt idx="254">
                  <c:v>64.379123500000006</c:v>
                </c:pt>
                <c:pt idx="255">
                  <c:v>64.37997</c:v>
                </c:pt>
                <c:pt idx="256">
                  <c:v>64.167327499999999</c:v>
                </c:pt>
                <c:pt idx="257">
                  <c:v>63.9859036</c:v>
                </c:pt>
                <c:pt idx="258">
                  <c:v>63.872572400000003</c:v>
                </c:pt>
                <c:pt idx="259">
                  <c:v>63.665996499999999</c:v>
                </c:pt>
                <c:pt idx="260">
                  <c:v>63.216411000000001</c:v>
                </c:pt>
                <c:pt idx="261">
                  <c:v>63.088607799999998</c:v>
                </c:pt>
                <c:pt idx="262">
                  <c:v>62.854314700000003</c:v>
                </c:pt>
                <c:pt idx="263">
                  <c:v>63.087178899999998</c:v>
                </c:pt>
                <c:pt idx="264">
                  <c:v>63.031841399999998</c:v>
                </c:pt>
                <c:pt idx="265">
                  <c:v>63.063683099999999</c:v>
                </c:pt>
                <c:pt idx="266">
                  <c:v>63.1101837</c:v>
                </c:pt>
                <c:pt idx="267">
                  <c:v>63.086487699999999</c:v>
                </c:pt>
                <c:pt idx="268">
                  <c:v>62.764295699999998</c:v>
                </c:pt>
                <c:pt idx="269">
                  <c:v>63.102966100000003</c:v>
                </c:pt>
                <c:pt idx="270">
                  <c:v>63.281308099999997</c:v>
                </c:pt>
                <c:pt idx="271">
                  <c:v>63.010377200000001</c:v>
                </c:pt>
                <c:pt idx="272">
                  <c:v>63.033529299999998</c:v>
                </c:pt>
                <c:pt idx="273">
                  <c:v>63.2287088</c:v>
                </c:pt>
                <c:pt idx="274">
                  <c:v>63.472841600000002</c:v>
                </c:pt>
                <c:pt idx="275">
                  <c:v>63.127268899999997</c:v>
                </c:pt>
                <c:pt idx="276">
                  <c:v>63.132810300000003</c:v>
                </c:pt>
                <c:pt idx="277">
                  <c:v>63.540939799999997</c:v>
                </c:pt>
                <c:pt idx="278">
                  <c:v>63.771918900000003</c:v>
                </c:pt>
                <c:pt idx="279">
                  <c:v>63.685256899999999</c:v>
                </c:pt>
                <c:pt idx="280">
                  <c:v>63.335687700000001</c:v>
                </c:pt>
                <c:pt idx="281">
                  <c:v>62.787579600000001</c:v>
                </c:pt>
                <c:pt idx="282">
                  <c:v>63.059478499999997</c:v>
                </c:pt>
                <c:pt idx="283">
                  <c:v>63.365896399999997</c:v>
                </c:pt>
                <c:pt idx="284">
                  <c:v>62.588345599999997</c:v>
                </c:pt>
                <c:pt idx="285">
                  <c:v>63.179629499999997</c:v>
                </c:pt>
                <c:pt idx="286">
                  <c:v>62.870828699999997</c:v>
                </c:pt>
                <c:pt idx="287">
                  <c:v>62.694357500000002</c:v>
                </c:pt>
                <c:pt idx="288">
                  <c:v>62.959001499999999</c:v>
                </c:pt>
                <c:pt idx="289">
                  <c:v>63.106517500000002</c:v>
                </c:pt>
                <c:pt idx="290">
                  <c:v>63.510310500000003</c:v>
                </c:pt>
                <c:pt idx="291">
                  <c:v>63.1978753</c:v>
                </c:pt>
                <c:pt idx="292">
                  <c:v>63.674754499999999</c:v>
                </c:pt>
                <c:pt idx="293">
                  <c:v>63.837259500000002</c:v>
                </c:pt>
                <c:pt idx="294">
                  <c:v>63.356104999999999</c:v>
                </c:pt>
                <c:pt idx="295">
                  <c:v>63.483575199999997</c:v>
                </c:pt>
                <c:pt idx="296">
                  <c:v>63.419243600000001</c:v>
                </c:pt>
                <c:pt idx="297">
                  <c:v>63.414983100000001</c:v>
                </c:pt>
                <c:pt idx="298">
                  <c:v>63.571237799999999</c:v>
                </c:pt>
                <c:pt idx="299">
                  <c:v>63.362825700000002</c:v>
                </c:pt>
              </c:numCache>
            </c:numRef>
          </c:val>
          <c:smooth val="0"/>
          <c:extLst>
            <c:ext xmlns:c16="http://schemas.microsoft.com/office/drawing/2014/chart" uri="{C3380CC4-5D6E-409C-BE32-E72D297353CC}">
              <c16:uniqueId val="{00000000-193E-4AA0-B6A3-5BDDF5DC9EDD}"/>
            </c:ext>
          </c:extLst>
        </c:ser>
        <c:ser>
          <c:idx val="1"/>
          <c:order val="1"/>
          <c:tx>
            <c:v>Employment-to-population ratio</c:v>
          </c:tx>
          <c:spPr>
            <a:ln w="15875" cap="rnd">
              <a:solidFill>
                <a:schemeClr val="bg2">
                  <a:lumMod val="75000"/>
                </a:schemeClr>
              </a:solidFill>
              <a:round/>
            </a:ln>
            <a:effectLst/>
          </c:spPr>
          <c:marker>
            <c:symbol val="none"/>
          </c:marker>
          <c:cat>
            <c:numRef>
              <c:f>'Chart 2.13 data'!$D$8:$D$307</c:f>
              <c:numCache>
                <c:formatCode>mmm"-"yyyy</c:formatCode>
                <c:ptCount val="300"/>
                <c:pt idx="0">
                  <c:v>46082</c:v>
                </c:pt>
                <c:pt idx="1">
                  <c:v>46054</c:v>
                </c:pt>
                <c:pt idx="2">
                  <c:v>46023</c:v>
                </c:pt>
                <c:pt idx="3">
                  <c:v>45992</c:v>
                </c:pt>
                <c:pt idx="4">
                  <c:v>45962</c:v>
                </c:pt>
                <c:pt idx="5">
                  <c:v>45931</c:v>
                </c:pt>
                <c:pt idx="6">
                  <c:v>45901</c:v>
                </c:pt>
                <c:pt idx="7">
                  <c:v>45870</c:v>
                </c:pt>
                <c:pt idx="8">
                  <c:v>45839</c:v>
                </c:pt>
                <c:pt idx="9">
                  <c:v>45809</c:v>
                </c:pt>
                <c:pt idx="10">
                  <c:v>45778</c:v>
                </c:pt>
                <c:pt idx="11">
                  <c:v>45748</c:v>
                </c:pt>
                <c:pt idx="12">
                  <c:v>45717</c:v>
                </c:pt>
                <c:pt idx="13">
                  <c:v>45689</c:v>
                </c:pt>
                <c:pt idx="14">
                  <c:v>45658</c:v>
                </c:pt>
                <c:pt idx="15">
                  <c:v>45627</c:v>
                </c:pt>
                <c:pt idx="16">
                  <c:v>45597</c:v>
                </c:pt>
                <c:pt idx="17">
                  <c:v>45566</c:v>
                </c:pt>
                <c:pt idx="18">
                  <c:v>45536</c:v>
                </c:pt>
                <c:pt idx="19">
                  <c:v>45505</c:v>
                </c:pt>
                <c:pt idx="20">
                  <c:v>45474</c:v>
                </c:pt>
                <c:pt idx="21">
                  <c:v>45444</c:v>
                </c:pt>
                <c:pt idx="22">
                  <c:v>45413</c:v>
                </c:pt>
                <c:pt idx="23">
                  <c:v>45383</c:v>
                </c:pt>
                <c:pt idx="24">
                  <c:v>45352</c:v>
                </c:pt>
                <c:pt idx="25">
                  <c:v>45323</c:v>
                </c:pt>
                <c:pt idx="26">
                  <c:v>45292</c:v>
                </c:pt>
                <c:pt idx="27">
                  <c:v>45261</c:v>
                </c:pt>
                <c:pt idx="28">
                  <c:v>45231</c:v>
                </c:pt>
                <c:pt idx="29">
                  <c:v>45200</c:v>
                </c:pt>
                <c:pt idx="30">
                  <c:v>45170</c:v>
                </c:pt>
                <c:pt idx="31">
                  <c:v>45139</c:v>
                </c:pt>
                <c:pt idx="32">
                  <c:v>45108</c:v>
                </c:pt>
                <c:pt idx="33">
                  <c:v>45078</c:v>
                </c:pt>
                <c:pt idx="34">
                  <c:v>45047</c:v>
                </c:pt>
                <c:pt idx="35">
                  <c:v>45017</c:v>
                </c:pt>
                <c:pt idx="36">
                  <c:v>44986</c:v>
                </c:pt>
                <c:pt idx="37">
                  <c:v>44958</c:v>
                </c:pt>
                <c:pt idx="38">
                  <c:v>44927</c:v>
                </c:pt>
                <c:pt idx="39">
                  <c:v>44896</c:v>
                </c:pt>
                <c:pt idx="40">
                  <c:v>44866</c:v>
                </c:pt>
                <c:pt idx="41">
                  <c:v>44835</c:v>
                </c:pt>
                <c:pt idx="42">
                  <c:v>44805</c:v>
                </c:pt>
                <c:pt idx="43">
                  <c:v>44774</c:v>
                </c:pt>
                <c:pt idx="44">
                  <c:v>44743</c:v>
                </c:pt>
                <c:pt idx="45">
                  <c:v>44713</c:v>
                </c:pt>
                <c:pt idx="46">
                  <c:v>44682</c:v>
                </c:pt>
                <c:pt idx="47">
                  <c:v>44652</c:v>
                </c:pt>
                <c:pt idx="48">
                  <c:v>44621</c:v>
                </c:pt>
                <c:pt idx="49">
                  <c:v>44593</c:v>
                </c:pt>
                <c:pt idx="50">
                  <c:v>44562</c:v>
                </c:pt>
                <c:pt idx="51">
                  <c:v>44531</c:v>
                </c:pt>
                <c:pt idx="52">
                  <c:v>44501</c:v>
                </c:pt>
                <c:pt idx="53">
                  <c:v>44470</c:v>
                </c:pt>
                <c:pt idx="54">
                  <c:v>44440</c:v>
                </c:pt>
                <c:pt idx="55">
                  <c:v>44409</c:v>
                </c:pt>
                <c:pt idx="56">
                  <c:v>44378</c:v>
                </c:pt>
                <c:pt idx="57">
                  <c:v>44348</c:v>
                </c:pt>
                <c:pt idx="58">
                  <c:v>44317</c:v>
                </c:pt>
                <c:pt idx="59">
                  <c:v>44287</c:v>
                </c:pt>
                <c:pt idx="60">
                  <c:v>44256</c:v>
                </c:pt>
                <c:pt idx="61">
                  <c:v>44228</c:v>
                </c:pt>
                <c:pt idx="62">
                  <c:v>44197</c:v>
                </c:pt>
                <c:pt idx="63">
                  <c:v>44166</c:v>
                </c:pt>
                <c:pt idx="64">
                  <c:v>44136</c:v>
                </c:pt>
                <c:pt idx="65">
                  <c:v>44105</c:v>
                </c:pt>
                <c:pt idx="66">
                  <c:v>44075</c:v>
                </c:pt>
                <c:pt idx="67">
                  <c:v>44044</c:v>
                </c:pt>
                <c:pt idx="68">
                  <c:v>44013</c:v>
                </c:pt>
                <c:pt idx="69">
                  <c:v>43983</c:v>
                </c:pt>
                <c:pt idx="70">
                  <c:v>43952</c:v>
                </c:pt>
                <c:pt idx="71">
                  <c:v>43922</c:v>
                </c:pt>
                <c:pt idx="72">
                  <c:v>43891</c:v>
                </c:pt>
                <c:pt idx="73">
                  <c:v>43862</c:v>
                </c:pt>
                <c:pt idx="74">
                  <c:v>43831</c:v>
                </c:pt>
                <c:pt idx="75">
                  <c:v>43800</c:v>
                </c:pt>
                <c:pt idx="76">
                  <c:v>43770</c:v>
                </c:pt>
                <c:pt idx="77">
                  <c:v>43739</c:v>
                </c:pt>
                <c:pt idx="78">
                  <c:v>43709</c:v>
                </c:pt>
                <c:pt idx="79">
                  <c:v>43678</c:v>
                </c:pt>
                <c:pt idx="80">
                  <c:v>43647</c:v>
                </c:pt>
                <c:pt idx="81">
                  <c:v>43617</c:v>
                </c:pt>
                <c:pt idx="82">
                  <c:v>43586</c:v>
                </c:pt>
                <c:pt idx="83">
                  <c:v>43556</c:v>
                </c:pt>
                <c:pt idx="84">
                  <c:v>43525</c:v>
                </c:pt>
                <c:pt idx="85">
                  <c:v>43497</c:v>
                </c:pt>
                <c:pt idx="86">
                  <c:v>43466</c:v>
                </c:pt>
                <c:pt idx="87">
                  <c:v>43435</c:v>
                </c:pt>
                <c:pt idx="88">
                  <c:v>43405</c:v>
                </c:pt>
                <c:pt idx="89">
                  <c:v>43374</c:v>
                </c:pt>
                <c:pt idx="90">
                  <c:v>43344</c:v>
                </c:pt>
                <c:pt idx="91">
                  <c:v>43313</c:v>
                </c:pt>
                <c:pt idx="92">
                  <c:v>43282</c:v>
                </c:pt>
                <c:pt idx="93">
                  <c:v>43252</c:v>
                </c:pt>
                <c:pt idx="94">
                  <c:v>43221</c:v>
                </c:pt>
                <c:pt idx="95">
                  <c:v>43191</c:v>
                </c:pt>
                <c:pt idx="96">
                  <c:v>43160</c:v>
                </c:pt>
                <c:pt idx="97">
                  <c:v>43132</c:v>
                </c:pt>
                <c:pt idx="98">
                  <c:v>43101</c:v>
                </c:pt>
                <c:pt idx="99">
                  <c:v>43070</c:v>
                </c:pt>
                <c:pt idx="100">
                  <c:v>43040</c:v>
                </c:pt>
                <c:pt idx="101">
                  <c:v>43009</c:v>
                </c:pt>
                <c:pt idx="102">
                  <c:v>42979</c:v>
                </c:pt>
                <c:pt idx="103">
                  <c:v>42948</c:v>
                </c:pt>
                <c:pt idx="104">
                  <c:v>42917</c:v>
                </c:pt>
                <c:pt idx="105">
                  <c:v>42887</c:v>
                </c:pt>
                <c:pt idx="106">
                  <c:v>42856</c:v>
                </c:pt>
                <c:pt idx="107">
                  <c:v>42826</c:v>
                </c:pt>
                <c:pt idx="108">
                  <c:v>42795</c:v>
                </c:pt>
                <c:pt idx="109">
                  <c:v>42767</c:v>
                </c:pt>
                <c:pt idx="110">
                  <c:v>42736</c:v>
                </c:pt>
                <c:pt idx="111">
                  <c:v>42705</c:v>
                </c:pt>
                <c:pt idx="112">
                  <c:v>42675</c:v>
                </c:pt>
                <c:pt idx="113">
                  <c:v>42644</c:v>
                </c:pt>
                <c:pt idx="114">
                  <c:v>42614</c:v>
                </c:pt>
                <c:pt idx="115">
                  <c:v>42583</c:v>
                </c:pt>
                <c:pt idx="116">
                  <c:v>42552</c:v>
                </c:pt>
                <c:pt idx="117">
                  <c:v>42522</c:v>
                </c:pt>
                <c:pt idx="118">
                  <c:v>42491</c:v>
                </c:pt>
                <c:pt idx="119">
                  <c:v>42461</c:v>
                </c:pt>
                <c:pt idx="120">
                  <c:v>42430</c:v>
                </c:pt>
                <c:pt idx="121">
                  <c:v>42401</c:v>
                </c:pt>
                <c:pt idx="122">
                  <c:v>42370</c:v>
                </c:pt>
                <c:pt idx="123">
                  <c:v>42339</c:v>
                </c:pt>
                <c:pt idx="124">
                  <c:v>42309</c:v>
                </c:pt>
                <c:pt idx="125">
                  <c:v>42278</c:v>
                </c:pt>
                <c:pt idx="126">
                  <c:v>42248</c:v>
                </c:pt>
                <c:pt idx="127">
                  <c:v>42217</c:v>
                </c:pt>
                <c:pt idx="128">
                  <c:v>42186</c:v>
                </c:pt>
                <c:pt idx="129">
                  <c:v>42156</c:v>
                </c:pt>
                <c:pt idx="130">
                  <c:v>42125</c:v>
                </c:pt>
                <c:pt idx="131">
                  <c:v>42095</c:v>
                </c:pt>
                <c:pt idx="132">
                  <c:v>42064</c:v>
                </c:pt>
                <c:pt idx="133">
                  <c:v>42036</c:v>
                </c:pt>
                <c:pt idx="134">
                  <c:v>42005</c:v>
                </c:pt>
                <c:pt idx="135">
                  <c:v>41974</c:v>
                </c:pt>
                <c:pt idx="136">
                  <c:v>41944</c:v>
                </c:pt>
                <c:pt idx="137">
                  <c:v>41913</c:v>
                </c:pt>
                <c:pt idx="138">
                  <c:v>41883</c:v>
                </c:pt>
                <c:pt idx="139">
                  <c:v>41852</c:v>
                </c:pt>
                <c:pt idx="140">
                  <c:v>41821</c:v>
                </c:pt>
                <c:pt idx="141">
                  <c:v>41791</c:v>
                </c:pt>
                <c:pt idx="142">
                  <c:v>41760</c:v>
                </c:pt>
                <c:pt idx="143">
                  <c:v>41730</c:v>
                </c:pt>
                <c:pt idx="144">
                  <c:v>41699</c:v>
                </c:pt>
                <c:pt idx="145">
                  <c:v>41671</c:v>
                </c:pt>
                <c:pt idx="146">
                  <c:v>41640</c:v>
                </c:pt>
                <c:pt idx="147">
                  <c:v>41609</c:v>
                </c:pt>
                <c:pt idx="148">
                  <c:v>41579</c:v>
                </c:pt>
                <c:pt idx="149">
                  <c:v>41548</c:v>
                </c:pt>
                <c:pt idx="150">
                  <c:v>41518</c:v>
                </c:pt>
                <c:pt idx="151">
                  <c:v>41487</c:v>
                </c:pt>
                <c:pt idx="152">
                  <c:v>41456</c:v>
                </c:pt>
                <c:pt idx="153">
                  <c:v>41426</c:v>
                </c:pt>
                <c:pt idx="154">
                  <c:v>41395</c:v>
                </c:pt>
                <c:pt idx="155">
                  <c:v>41365</c:v>
                </c:pt>
                <c:pt idx="156">
                  <c:v>41334</c:v>
                </c:pt>
                <c:pt idx="157">
                  <c:v>41306</c:v>
                </c:pt>
                <c:pt idx="158">
                  <c:v>41275</c:v>
                </c:pt>
                <c:pt idx="159">
                  <c:v>41244</c:v>
                </c:pt>
                <c:pt idx="160">
                  <c:v>41214</c:v>
                </c:pt>
                <c:pt idx="161">
                  <c:v>41183</c:v>
                </c:pt>
                <c:pt idx="162">
                  <c:v>41153</c:v>
                </c:pt>
                <c:pt idx="163">
                  <c:v>41122</c:v>
                </c:pt>
                <c:pt idx="164">
                  <c:v>41091</c:v>
                </c:pt>
                <c:pt idx="165">
                  <c:v>41061</c:v>
                </c:pt>
                <c:pt idx="166">
                  <c:v>41030</c:v>
                </c:pt>
                <c:pt idx="167">
                  <c:v>41000</c:v>
                </c:pt>
                <c:pt idx="168">
                  <c:v>40969</c:v>
                </c:pt>
                <c:pt idx="169">
                  <c:v>40940</c:v>
                </c:pt>
                <c:pt idx="170">
                  <c:v>40909</c:v>
                </c:pt>
                <c:pt idx="171">
                  <c:v>40878</c:v>
                </c:pt>
                <c:pt idx="172">
                  <c:v>40848</c:v>
                </c:pt>
                <c:pt idx="173">
                  <c:v>40817</c:v>
                </c:pt>
                <c:pt idx="174">
                  <c:v>40787</c:v>
                </c:pt>
                <c:pt idx="175">
                  <c:v>40756</c:v>
                </c:pt>
                <c:pt idx="176">
                  <c:v>40725</c:v>
                </c:pt>
                <c:pt idx="177">
                  <c:v>40695</c:v>
                </c:pt>
                <c:pt idx="178">
                  <c:v>40664</c:v>
                </c:pt>
                <c:pt idx="179">
                  <c:v>40634</c:v>
                </c:pt>
                <c:pt idx="180">
                  <c:v>40603</c:v>
                </c:pt>
                <c:pt idx="181">
                  <c:v>40575</c:v>
                </c:pt>
                <c:pt idx="182">
                  <c:v>40544</c:v>
                </c:pt>
                <c:pt idx="183">
                  <c:v>40513</c:v>
                </c:pt>
                <c:pt idx="184">
                  <c:v>40483</c:v>
                </c:pt>
                <c:pt idx="185">
                  <c:v>40452</c:v>
                </c:pt>
                <c:pt idx="186">
                  <c:v>40422</c:v>
                </c:pt>
                <c:pt idx="187">
                  <c:v>40391</c:v>
                </c:pt>
                <c:pt idx="188">
                  <c:v>40360</c:v>
                </c:pt>
                <c:pt idx="189">
                  <c:v>40330</c:v>
                </c:pt>
                <c:pt idx="190">
                  <c:v>40299</c:v>
                </c:pt>
                <c:pt idx="191">
                  <c:v>40269</c:v>
                </c:pt>
                <c:pt idx="192">
                  <c:v>40238</c:v>
                </c:pt>
                <c:pt idx="193">
                  <c:v>40210</c:v>
                </c:pt>
                <c:pt idx="194">
                  <c:v>40179</c:v>
                </c:pt>
                <c:pt idx="195">
                  <c:v>40148</c:v>
                </c:pt>
                <c:pt idx="196">
                  <c:v>40118</c:v>
                </c:pt>
                <c:pt idx="197">
                  <c:v>40087</c:v>
                </c:pt>
                <c:pt idx="198">
                  <c:v>40057</c:v>
                </c:pt>
                <c:pt idx="199">
                  <c:v>40026</c:v>
                </c:pt>
                <c:pt idx="200">
                  <c:v>39995</c:v>
                </c:pt>
                <c:pt idx="201">
                  <c:v>39965</c:v>
                </c:pt>
                <c:pt idx="202">
                  <c:v>39934</c:v>
                </c:pt>
                <c:pt idx="203">
                  <c:v>39904</c:v>
                </c:pt>
                <c:pt idx="204">
                  <c:v>39873</c:v>
                </c:pt>
                <c:pt idx="205">
                  <c:v>39845</c:v>
                </c:pt>
                <c:pt idx="206">
                  <c:v>39814</c:v>
                </c:pt>
                <c:pt idx="207">
                  <c:v>39783</c:v>
                </c:pt>
                <c:pt idx="208">
                  <c:v>39753</c:v>
                </c:pt>
                <c:pt idx="209">
                  <c:v>39722</c:v>
                </c:pt>
                <c:pt idx="210">
                  <c:v>39692</c:v>
                </c:pt>
                <c:pt idx="211">
                  <c:v>39661</c:v>
                </c:pt>
                <c:pt idx="212">
                  <c:v>39630</c:v>
                </c:pt>
                <c:pt idx="213">
                  <c:v>39600</c:v>
                </c:pt>
                <c:pt idx="214">
                  <c:v>39569</c:v>
                </c:pt>
                <c:pt idx="215">
                  <c:v>39539</c:v>
                </c:pt>
                <c:pt idx="216">
                  <c:v>39508</c:v>
                </c:pt>
                <c:pt idx="217">
                  <c:v>39479</c:v>
                </c:pt>
                <c:pt idx="218">
                  <c:v>39448</c:v>
                </c:pt>
                <c:pt idx="219">
                  <c:v>39417</c:v>
                </c:pt>
                <c:pt idx="220">
                  <c:v>39387</c:v>
                </c:pt>
                <c:pt idx="221">
                  <c:v>39356</c:v>
                </c:pt>
                <c:pt idx="222">
                  <c:v>39326</c:v>
                </c:pt>
                <c:pt idx="223">
                  <c:v>39295</c:v>
                </c:pt>
                <c:pt idx="224">
                  <c:v>39264</c:v>
                </c:pt>
                <c:pt idx="225">
                  <c:v>39234</c:v>
                </c:pt>
                <c:pt idx="226">
                  <c:v>39203</c:v>
                </c:pt>
                <c:pt idx="227">
                  <c:v>39173</c:v>
                </c:pt>
                <c:pt idx="228">
                  <c:v>39142</c:v>
                </c:pt>
                <c:pt idx="229">
                  <c:v>39114</c:v>
                </c:pt>
                <c:pt idx="230">
                  <c:v>39083</c:v>
                </c:pt>
                <c:pt idx="231">
                  <c:v>39052</c:v>
                </c:pt>
                <c:pt idx="232">
                  <c:v>39022</c:v>
                </c:pt>
                <c:pt idx="233">
                  <c:v>38991</c:v>
                </c:pt>
                <c:pt idx="234">
                  <c:v>38961</c:v>
                </c:pt>
                <c:pt idx="235">
                  <c:v>38930</c:v>
                </c:pt>
                <c:pt idx="236">
                  <c:v>38899</c:v>
                </c:pt>
                <c:pt idx="237">
                  <c:v>38869</c:v>
                </c:pt>
                <c:pt idx="238">
                  <c:v>38838</c:v>
                </c:pt>
                <c:pt idx="239">
                  <c:v>38808</c:v>
                </c:pt>
                <c:pt idx="240">
                  <c:v>38777</c:v>
                </c:pt>
                <c:pt idx="241">
                  <c:v>38749</c:v>
                </c:pt>
                <c:pt idx="242">
                  <c:v>38718</c:v>
                </c:pt>
                <c:pt idx="243">
                  <c:v>38687</c:v>
                </c:pt>
                <c:pt idx="244">
                  <c:v>38657</c:v>
                </c:pt>
                <c:pt idx="245">
                  <c:v>38626</c:v>
                </c:pt>
                <c:pt idx="246">
                  <c:v>38596</c:v>
                </c:pt>
                <c:pt idx="247">
                  <c:v>38565</c:v>
                </c:pt>
                <c:pt idx="248">
                  <c:v>38534</c:v>
                </c:pt>
                <c:pt idx="249">
                  <c:v>38504</c:v>
                </c:pt>
                <c:pt idx="250">
                  <c:v>38473</c:v>
                </c:pt>
                <c:pt idx="251">
                  <c:v>38443</c:v>
                </c:pt>
                <c:pt idx="252">
                  <c:v>38412</c:v>
                </c:pt>
                <c:pt idx="253">
                  <c:v>38384</c:v>
                </c:pt>
                <c:pt idx="254">
                  <c:v>38353</c:v>
                </c:pt>
                <c:pt idx="255">
                  <c:v>38322</c:v>
                </c:pt>
                <c:pt idx="256">
                  <c:v>38292</c:v>
                </c:pt>
                <c:pt idx="257">
                  <c:v>38261</c:v>
                </c:pt>
                <c:pt idx="258">
                  <c:v>38231</c:v>
                </c:pt>
                <c:pt idx="259">
                  <c:v>38200</c:v>
                </c:pt>
                <c:pt idx="260">
                  <c:v>38169</c:v>
                </c:pt>
                <c:pt idx="261">
                  <c:v>38139</c:v>
                </c:pt>
                <c:pt idx="262">
                  <c:v>38108</c:v>
                </c:pt>
                <c:pt idx="263">
                  <c:v>38078</c:v>
                </c:pt>
                <c:pt idx="264">
                  <c:v>38047</c:v>
                </c:pt>
                <c:pt idx="265">
                  <c:v>38018</c:v>
                </c:pt>
                <c:pt idx="266">
                  <c:v>37987</c:v>
                </c:pt>
                <c:pt idx="267">
                  <c:v>37956</c:v>
                </c:pt>
                <c:pt idx="268">
                  <c:v>37926</c:v>
                </c:pt>
                <c:pt idx="269">
                  <c:v>37895</c:v>
                </c:pt>
                <c:pt idx="270">
                  <c:v>37865</c:v>
                </c:pt>
                <c:pt idx="271">
                  <c:v>37834</c:v>
                </c:pt>
                <c:pt idx="272">
                  <c:v>37803</c:v>
                </c:pt>
                <c:pt idx="273">
                  <c:v>37773</c:v>
                </c:pt>
                <c:pt idx="274">
                  <c:v>37742</c:v>
                </c:pt>
                <c:pt idx="275">
                  <c:v>37712</c:v>
                </c:pt>
                <c:pt idx="276">
                  <c:v>37681</c:v>
                </c:pt>
                <c:pt idx="277">
                  <c:v>37653</c:v>
                </c:pt>
                <c:pt idx="278">
                  <c:v>37622</c:v>
                </c:pt>
                <c:pt idx="279">
                  <c:v>37591</c:v>
                </c:pt>
                <c:pt idx="280">
                  <c:v>37561</c:v>
                </c:pt>
                <c:pt idx="281">
                  <c:v>37530</c:v>
                </c:pt>
                <c:pt idx="282">
                  <c:v>37500</c:v>
                </c:pt>
                <c:pt idx="283">
                  <c:v>37469</c:v>
                </c:pt>
                <c:pt idx="284">
                  <c:v>37438</c:v>
                </c:pt>
                <c:pt idx="285">
                  <c:v>37408</c:v>
                </c:pt>
                <c:pt idx="286">
                  <c:v>37377</c:v>
                </c:pt>
                <c:pt idx="287">
                  <c:v>37347</c:v>
                </c:pt>
                <c:pt idx="288">
                  <c:v>37316</c:v>
                </c:pt>
                <c:pt idx="289">
                  <c:v>37288</c:v>
                </c:pt>
                <c:pt idx="290">
                  <c:v>37257</c:v>
                </c:pt>
                <c:pt idx="291">
                  <c:v>37226</c:v>
                </c:pt>
                <c:pt idx="292">
                  <c:v>37196</c:v>
                </c:pt>
                <c:pt idx="293">
                  <c:v>37165</c:v>
                </c:pt>
                <c:pt idx="294">
                  <c:v>37135</c:v>
                </c:pt>
                <c:pt idx="295">
                  <c:v>37104</c:v>
                </c:pt>
                <c:pt idx="296">
                  <c:v>37073</c:v>
                </c:pt>
                <c:pt idx="297">
                  <c:v>37043</c:v>
                </c:pt>
                <c:pt idx="298">
                  <c:v>37012</c:v>
                </c:pt>
                <c:pt idx="299">
                  <c:v>36982</c:v>
                </c:pt>
              </c:numCache>
            </c:numRef>
          </c:cat>
          <c:val>
            <c:numRef>
              <c:f>'Chart 2.13 data'!$F$8:$F$307</c:f>
              <c:numCache>
                <c:formatCode>0.0000000</c:formatCode>
                <c:ptCount val="300"/>
                <c:pt idx="0">
                  <c:v>63.778919799999997</c:v>
                </c:pt>
                <c:pt idx="1">
                  <c:v>64.389630299999993</c:v>
                </c:pt>
                <c:pt idx="2">
                  <c:v>64.502172900000005</c:v>
                </c:pt>
                <c:pt idx="3">
                  <c:v>64.5900642</c:v>
                </c:pt>
                <c:pt idx="4">
                  <c:v>64.788519300000004</c:v>
                </c:pt>
                <c:pt idx="5">
                  <c:v>64.597771899999998</c:v>
                </c:pt>
                <c:pt idx="6">
                  <c:v>64.816387300000002</c:v>
                </c:pt>
                <c:pt idx="7">
                  <c:v>65.002691600000006</c:v>
                </c:pt>
                <c:pt idx="8">
                  <c:v>64.564276899999996</c:v>
                </c:pt>
                <c:pt idx="9">
                  <c:v>64.738498300000003</c:v>
                </c:pt>
                <c:pt idx="10">
                  <c:v>64.621105400000005</c:v>
                </c:pt>
                <c:pt idx="11">
                  <c:v>64.954603199999994</c:v>
                </c:pt>
                <c:pt idx="12">
                  <c:v>64.586248900000001</c:v>
                </c:pt>
                <c:pt idx="13">
                  <c:v>64.239260400000006</c:v>
                </c:pt>
                <c:pt idx="14">
                  <c:v>64.7295175</c:v>
                </c:pt>
                <c:pt idx="15">
                  <c:v>64.878085900000002</c:v>
                </c:pt>
                <c:pt idx="16">
                  <c:v>65.061615099999997</c:v>
                </c:pt>
                <c:pt idx="17">
                  <c:v>65.115924100000001</c:v>
                </c:pt>
                <c:pt idx="18">
                  <c:v>65.241520899999998</c:v>
                </c:pt>
                <c:pt idx="19">
                  <c:v>65.056491100000002</c:v>
                </c:pt>
                <c:pt idx="20">
                  <c:v>65.004818299999997</c:v>
                </c:pt>
                <c:pt idx="21">
                  <c:v>64.680011399999998</c:v>
                </c:pt>
                <c:pt idx="22">
                  <c:v>64.710602600000001</c:v>
                </c:pt>
                <c:pt idx="23">
                  <c:v>64.522279400000002</c:v>
                </c:pt>
                <c:pt idx="24">
                  <c:v>64.590342100000001</c:v>
                </c:pt>
                <c:pt idx="25">
                  <c:v>64.6736267</c:v>
                </c:pt>
                <c:pt idx="26">
                  <c:v>64.071042800000001</c:v>
                </c:pt>
                <c:pt idx="27">
                  <c:v>64.380351700000006</c:v>
                </c:pt>
                <c:pt idx="28">
                  <c:v>64.599638999999996</c:v>
                </c:pt>
                <c:pt idx="29">
                  <c:v>64.948372899999995</c:v>
                </c:pt>
                <c:pt idx="30">
                  <c:v>64.517580600000002</c:v>
                </c:pt>
                <c:pt idx="31">
                  <c:v>64.697842800000004</c:v>
                </c:pt>
                <c:pt idx="32">
                  <c:v>65.000607599999995</c:v>
                </c:pt>
                <c:pt idx="33">
                  <c:v>64.931430500000005</c:v>
                </c:pt>
                <c:pt idx="34">
                  <c:v>64.916946699999997</c:v>
                </c:pt>
                <c:pt idx="35">
                  <c:v>64.546252300000006</c:v>
                </c:pt>
                <c:pt idx="36">
                  <c:v>65.164738499999999</c:v>
                </c:pt>
                <c:pt idx="37">
                  <c:v>64.511247999999995</c:v>
                </c:pt>
                <c:pt idx="38">
                  <c:v>63.583008599999999</c:v>
                </c:pt>
                <c:pt idx="39">
                  <c:v>64.2696775</c:v>
                </c:pt>
                <c:pt idx="40">
                  <c:v>64.553426599999995</c:v>
                </c:pt>
                <c:pt idx="41">
                  <c:v>64.132388000000006</c:v>
                </c:pt>
                <c:pt idx="42">
                  <c:v>64.056272899999996</c:v>
                </c:pt>
                <c:pt idx="43">
                  <c:v>64.244367299999993</c:v>
                </c:pt>
                <c:pt idx="44">
                  <c:v>64.191211300000006</c:v>
                </c:pt>
                <c:pt idx="45">
                  <c:v>64.585874599999997</c:v>
                </c:pt>
                <c:pt idx="46">
                  <c:v>64.023670499999994</c:v>
                </c:pt>
                <c:pt idx="47">
                  <c:v>64.254983300000006</c:v>
                </c:pt>
                <c:pt idx="48">
                  <c:v>64.033316200000002</c:v>
                </c:pt>
                <c:pt idx="49">
                  <c:v>64.047970599999999</c:v>
                </c:pt>
                <c:pt idx="50">
                  <c:v>63.780785700000003</c:v>
                </c:pt>
                <c:pt idx="51">
                  <c:v>64.012857800000006</c:v>
                </c:pt>
                <c:pt idx="52">
                  <c:v>63.388235600000002</c:v>
                </c:pt>
                <c:pt idx="53">
                  <c:v>60.679412599999999</c:v>
                </c:pt>
                <c:pt idx="54">
                  <c:v>61.421710099999999</c:v>
                </c:pt>
                <c:pt idx="55">
                  <c:v>63.700388400000001</c:v>
                </c:pt>
                <c:pt idx="56">
                  <c:v>63.166096899999999</c:v>
                </c:pt>
                <c:pt idx="57">
                  <c:v>62.734798599999998</c:v>
                </c:pt>
                <c:pt idx="58">
                  <c:v>62.945086400000001</c:v>
                </c:pt>
                <c:pt idx="59">
                  <c:v>62.528037400000002</c:v>
                </c:pt>
                <c:pt idx="60">
                  <c:v>62.485853200000001</c:v>
                </c:pt>
                <c:pt idx="61">
                  <c:v>62.312226299999999</c:v>
                </c:pt>
                <c:pt idx="62">
                  <c:v>62.135691600000001</c:v>
                </c:pt>
                <c:pt idx="63">
                  <c:v>61.5145731</c:v>
                </c:pt>
                <c:pt idx="64">
                  <c:v>61.0141177</c:v>
                </c:pt>
                <c:pt idx="65">
                  <c:v>59.786306699999997</c:v>
                </c:pt>
                <c:pt idx="66">
                  <c:v>58.2755084</c:v>
                </c:pt>
                <c:pt idx="67">
                  <c:v>59.050105799999997</c:v>
                </c:pt>
                <c:pt idx="68">
                  <c:v>59.767361600000001</c:v>
                </c:pt>
                <c:pt idx="69">
                  <c:v>59.521715800000003</c:v>
                </c:pt>
                <c:pt idx="70">
                  <c:v>59.047064399999996</c:v>
                </c:pt>
                <c:pt idx="71">
                  <c:v>60.431857899999997</c:v>
                </c:pt>
                <c:pt idx="72">
                  <c:v>62.759835600000002</c:v>
                </c:pt>
                <c:pt idx="73">
                  <c:v>62.627039799999999</c:v>
                </c:pt>
                <c:pt idx="74">
                  <c:v>63.255672099999998</c:v>
                </c:pt>
                <c:pt idx="75">
                  <c:v>63.471708</c:v>
                </c:pt>
                <c:pt idx="76">
                  <c:v>63.1962622</c:v>
                </c:pt>
                <c:pt idx="77">
                  <c:v>63.075165699999999</c:v>
                </c:pt>
                <c:pt idx="78">
                  <c:v>63.145760899999999</c:v>
                </c:pt>
                <c:pt idx="79">
                  <c:v>63.116775599999997</c:v>
                </c:pt>
                <c:pt idx="80">
                  <c:v>62.768755300000002</c:v>
                </c:pt>
                <c:pt idx="81">
                  <c:v>62.762185799999997</c:v>
                </c:pt>
                <c:pt idx="82">
                  <c:v>62.861560900000001</c:v>
                </c:pt>
                <c:pt idx="83">
                  <c:v>62.754185900000003</c:v>
                </c:pt>
                <c:pt idx="84">
                  <c:v>62.8577984</c:v>
                </c:pt>
                <c:pt idx="85">
                  <c:v>62.828115400000002</c:v>
                </c:pt>
                <c:pt idx="86">
                  <c:v>62.892692599999997</c:v>
                </c:pt>
                <c:pt idx="87">
                  <c:v>62.995926300000001</c:v>
                </c:pt>
                <c:pt idx="88">
                  <c:v>62.814818899999999</c:v>
                </c:pt>
                <c:pt idx="89">
                  <c:v>62.448031200000003</c:v>
                </c:pt>
                <c:pt idx="90">
                  <c:v>62.5628277</c:v>
                </c:pt>
                <c:pt idx="91">
                  <c:v>62.290084899999997</c:v>
                </c:pt>
                <c:pt idx="92">
                  <c:v>62.4143075</c:v>
                </c:pt>
                <c:pt idx="93">
                  <c:v>62.004958100000003</c:v>
                </c:pt>
                <c:pt idx="94">
                  <c:v>62.2519876</c:v>
                </c:pt>
                <c:pt idx="95">
                  <c:v>61.896723399999999</c:v>
                </c:pt>
                <c:pt idx="96">
                  <c:v>62.065099199999999</c:v>
                </c:pt>
                <c:pt idx="97">
                  <c:v>61.713749100000001</c:v>
                </c:pt>
                <c:pt idx="98">
                  <c:v>62.303213499999998</c:v>
                </c:pt>
                <c:pt idx="99">
                  <c:v>62.180052699999997</c:v>
                </c:pt>
                <c:pt idx="100">
                  <c:v>62.268904599999999</c:v>
                </c:pt>
                <c:pt idx="101">
                  <c:v>62.020890199999997</c:v>
                </c:pt>
                <c:pt idx="102">
                  <c:v>62.291195399999999</c:v>
                </c:pt>
                <c:pt idx="103">
                  <c:v>62.173256600000002</c:v>
                </c:pt>
                <c:pt idx="104">
                  <c:v>61.950167700000002</c:v>
                </c:pt>
                <c:pt idx="105">
                  <c:v>62.0881428</c:v>
                </c:pt>
                <c:pt idx="106">
                  <c:v>62.080664900000002</c:v>
                </c:pt>
                <c:pt idx="107">
                  <c:v>62.110503700000002</c:v>
                </c:pt>
                <c:pt idx="108">
                  <c:v>61.763450499999998</c:v>
                </c:pt>
                <c:pt idx="109">
                  <c:v>61.855051600000003</c:v>
                </c:pt>
                <c:pt idx="110">
                  <c:v>61.642056699999998</c:v>
                </c:pt>
                <c:pt idx="111">
                  <c:v>61.985564199999999</c:v>
                </c:pt>
                <c:pt idx="112">
                  <c:v>61.727679100000003</c:v>
                </c:pt>
                <c:pt idx="113">
                  <c:v>61.979612400000001</c:v>
                </c:pt>
                <c:pt idx="114">
                  <c:v>61.560495099999997</c:v>
                </c:pt>
                <c:pt idx="115">
                  <c:v>61.789441199999999</c:v>
                </c:pt>
                <c:pt idx="116">
                  <c:v>61.669382200000001</c:v>
                </c:pt>
                <c:pt idx="117">
                  <c:v>61.628195099999999</c:v>
                </c:pt>
                <c:pt idx="118">
                  <c:v>61.1386331</c:v>
                </c:pt>
                <c:pt idx="119">
                  <c:v>61.194853199999997</c:v>
                </c:pt>
                <c:pt idx="120">
                  <c:v>61.197616500000002</c:v>
                </c:pt>
                <c:pt idx="121">
                  <c:v>61.200582199999999</c:v>
                </c:pt>
                <c:pt idx="122">
                  <c:v>60.546192400000002</c:v>
                </c:pt>
                <c:pt idx="123">
                  <c:v>60.7694714</c:v>
                </c:pt>
                <c:pt idx="124">
                  <c:v>61.089096599999998</c:v>
                </c:pt>
                <c:pt idx="125">
                  <c:v>61.097657599999998</c:v>
                </c:pt>
                <c:pt idx="126">
                  <c:v>60.5510199</c:v>
                </c:pt>
                <c:pt idx="127">
                  <c:v>60.4506163</c:v>
                </c:pt>
                <c:pt idx="128">
                  <c:v>60.909919600000002</c:v>
                </c:pt>
                <c:pt idx="129">
                  <c:v>60.7332258</c:v>
                </c:pt>
                <c:pt idx="130">
                  <c:v>60.965857200000002</c:v>
                </c:pt>
                <c:pt idx="131">
                  <c:v>61.019168999999998</c:v>
                </c:pt>
                <c:pt idx="132">
                  <c:v>61.040359600000002</c:v>
                </c:pt>
                <c:pt idx="133">
                  <c:v>61.152336599999998</c:v>
                </c:pt>
                <c:pt idx="134">
                  <c:v>60.884774700000001</c:v>
                </c:pt>
                <c:pt idx="135">
                  <c:v>60.928133099999997</c:v>
                </c:pt>
                <c:pt idx="136">
                  <c:v>60.256110900000003</c:v>
                </c:pt>
                <c:pt idx="137">
                  <c:v>60.303934499999997</c:v>
                </c:pt>
                <c:pt idx="138">
                  <c:v>60.4907787</c:v>
                </c:pt>
                <c:pt idx="139">
                  <c:v>60.323778099999998</c:v>
                </c:pt>
                <c:pt idx="140">
                  <c:v>60.464853099999999</c:v>
                </c:pt>
                <c:pt idx="141">
                  <c:v>60.113093399999997</c:v>
                </c:pt>
                <c:pt idx="142">
                  <c:v>60.3850944</c:v>
                </c:pt>
                <c:pt idx="143">
                  <c:v>60.033746100000002</c:v>
                </c:pt>
                <c:pt idx="144">
                  <c:v>60.109775399999997</c:v>
                </c:pt>
                <c:pt idx="145">
                  <c:v>60.061359899999999</c:v>
                </c:pt>
                <c:pt idx="146">
                  <c:v>60.556531499999998</c:v>
                </c:pt>
                <c:pt idx="147">
                  <c:v>60.376678200000001</c:v>
                </c:pt>
                <c:pt idx="148">
                  <c:v>60.812442400000002</c:v>
                </c:pt>
                <c:pt idx="149">
                  <c:v>60.999624900000001</c:v>
                </c:pt>
                <c:pt idx="150">
                  <c:v>60.866373600000003</c:v>
                </c:pt>
                <c:pt idx="151">
                  <c:v>61.080419900000003</c:v>
                </c:pt>
                <c:pt idx="152">
                  <c:v>61.192346100000002</c:v>
                </c:pt>
                <c:pt idx="153">
                  <c:v>61.546743599999999</c:v>
                </c:pt>
                <c:pt idx="154">
                  <c:v>61.123066299999998</c:v>
                </c:pt>
                <c:pt idx="155">
                  <c:v>61.176654200000002</c:v>
                </c:pt>
                <c:pt idx="156">
                  <c:v>60.947639700000003</c:v>
                </c:pt>
                <c:pt idx="157">
                  <c:v>61.2417333</c:v>
                </c:pt>
                <c:pt idx="158">
                  <c:v>60.954356099999998</c:v>
                </c:pt>
                <c:pt idx="159">
                  <c:v>61.369422299999997</c:v>
                </c:pt>
                <c:pt idx="160">
                  <c:v>61.167345500000003</c:v>
                </c:pt>
                <c:pt idx="161">
                  <c:v>61.473865099999998</c:v>
                </c:pt>
                <c:pt idx="162">
                  <c:v>61.633657300000003</c:v>
                </c:pt>
                <c:pt idx="163">
                  <c:v>61.363183300000003</c:v>
                </c:pt>
                <c:pt idx="164">
                  <c:v>61.699303100000002</c:v>
                </c:pt>
                <c:pt idx="165">
                  <c:v>61.958591499999997</c:v>
                </c:pt>
                <c:pt idx="166">
                  <c:v>62.0473736</c:v>
                </c:pt>
                <c:pt idx="167">
                  <c:v>61.980569699999997</c:v>
                </c:pt>
                <c:pt idx="168">
                  <c:v>61.5225717</c:v>
                </c:pt>
                <c:pt idx="169">
                  <c:v>61.228878299999998</c:v>
                </c:pt>
                <c:pt idx="170">
                  <c:v>61.702922000000001</c:v>
                </c:pt>
                <c:pt idx="171">
                  <c:v>61.6524328</c:v>
                </c:pt>
                <c:pt idx="172">
                  <c:v>61.829356500000003</c:v>
                </c:pt>
                <c:pt idx="173">
                  <c:v>62.122225399999998</c:v>
                </c:pt>
                <c:pt idx="174">
                  <c:v>62.172780600000003</c:v>
                </c:pt>
                <c:pt idx="175">
                  <c:v>62.074774900000001</c:v>
                </c:pt>
                <c:pt idx="176">
                  <c:v>62.067545899999999</c:v>
                </c:pt>
                <c:pt idx="177">
                  <c:v>62.609407599999997</c:v>
                </c:pt>
                <c:pt idx="178">
                  <c:v>62.223204000000003</c:v>
                </c:pt>
                <c:pt idx="179">
                  <c:v>62.175005800000001</c:v>
                </c:pt>
                <c:pt idx="180">
                  <c:v>62.606031999999999</c:v>
                </c:pt>
                <c:pt idx="181">
                  <c:v>62.5955023</c:v>
                </c:pt>
                <c:pt idx="182">
                  <c:v>62.8109021</c:v>
                </c:pt>
                <c:pt idx="183">
                  <c:v>62.442245800000002</c:v>
                </c:pt>
                <c:pt idx="184">
                  <c:v>62.577673500000003</c:v>
                </c:pt>
                <c:pt idx="185">
                  <c:v>62.174732200000001</c:v>
                </c:pt>
                <c:pt idx="186">
                  <c:v>62.153008100000001</c:v>
                </c:pt>
                <c:pt idx="187">
                  <c:v>62.230159700000002</c:v>
                </c:pt>
                <c:pt idx="188">
                  <c:v>61.668779100000002</c:v>
                </c:pt>
                <c:pt idx="189">
                  <c:v>61.514566199999997</c:v>
                </c:pt>
                <c:pt idx="190">
                  <c:v>61.606389299999996</c:v>
                </c:pt>
                <c:pt idx="191">
                  <c:v>61.607615600000003</c:v>
                </c:pt>
                <c:pt idx="192">
                  <c:v>61.634720299999998</c:v>
                </c:pt>
                <c:pt idx="193">
                  <c:v>61.603237999999997</c:v>
                </c:pt>
                <c:pt idx="194">
                  <c:v>62.226635899999998</c:v>
                </c:pt>
                <c:pt idx="195">
                  <c:v>61.948521300000003</c:v>
                </c:pt>
                <c:pt idx="196">
                  <c:v>61.988157299999997</c:v>
                </c:pt>
                <c:pt idx="197">
                  <c:v>61.647598600000002</c:v>
                </c:pt>
                <c:pt idx="198">
                  <c:v>61.099269300000003</c:v>
                </c:pt>
                <c:pt idx="199">
                  <c:v>61.119377900000003</c:v>
                </c:pt>
                <c:pt idx="200">
                  <c:v>61.046661399999998</c:v>
                </c:pt>
                <c:pt idx="201">
                  <c:v>60.745120700000001</c:v>
                </c:pt>
                <c:pt idx="202">
                  <c:v>60.765665200000001</c:v>
                </c:pt>
                <c:pt idx="203">
                  <c:v>60.751881699999998</c:v>
                </c:pt>
                <c:pt idx="204">
                  <c:v>60.9591517</c:v>
                </c:pt>
                <c:pt idx="205">
                  <c:v>61.237035400000003</c:v>
                </c:pt>
                <c:pt idx="206">
                  <c:v>61.419445400000001</c:v>
                </c:pt>
                <c:pt idx="207">
                  <c:v>61.504219200000001</c:v>
                </c:pt>
                <c:pt idx="208">
                  <c:v>61.567149899999997</c:v>
                </c:pt>
                <c:pt idx="209">
                  <c:v>61.840784900000003</c:v>
                </c:pt>
                <c:pt idx="210">
                  <c:v>61.827240799999998</c:v>
                </c:pt>
                <c:pt idx="211">
                  <c:v>62.231515999999999</c:v>
                </c:pt>
                <c:pt idx="212">
                  <c:v>62.0833206</c:v>
                </c:pt>
                <c:pt idx="213">
                  <c:v>62.1538903</c:v>
                </c:pt>
                <c:pt idx="214">
                  <c:v>62.187355500000002</c:v>
                </c:pt>
                <c:pt idx="215">
                  <c:v>62.256482400000003</c:v>
                </c:pt>
                <c:pt idx="216">
                  <c:v>61.980496899999999</c:v>
                </c:pt>
                <c:pt idx="217">
                  <c:v>62.471811799999998</c:v>
                </c:pt>
                <c:pt idx="218">
                  <c:v>62.6358757</c:v>
                </c:pt>
                <c:pt idx="219">
                  <c:v>62.622794800000001</c:v>
                </c:pt>
                <c:pt idx="220">
                  <c:v>62.251692900000002</c:v>
                </c:pt>
                <c:pt idx="221">
                  <c:v>62.101466299999998</c:v>
                </c:pt>
                <c:pt idx="222">
                  <c:v>62.205992500000001</c:v>
                </c:pt>
                <c:pt idx="223">
                  <c:v>62.164467999999999</c:v>
                </c:pt>
                <c:pt idx="224">
                  <c:v>62.243770099999999</c:v>
                </c:pt>
                <c:pt idx="225">
                  <c:v>61.931507500000002</c:v>
                </c:pt>
                <c:pt idx="226">
                  <c:v>62.037927600000003</c:v>
                </c:pt>
                <c:pt idx="227">
                  <c:v>62.233525200000003</c:v>
                </c:pt>
                <c:pt idx="228">
                  <c:v>61.874586200000003</c:v>
                </c:pt>
                <c:pt idx="229">
                  <c:v>61.733196900000003</c:v>
                </c:pt>
                <c:pt idx="230">
                  <c:v>61.407294999999998</c:v>
                </c:pt>
                <c:pt idx="231">
                  <c:v>61.6031871</c:v>
                </c:pt>
                <c:pt idx="232">
                  <c:v>61.161475099999997</c:v>
                </c:pt>
                <c:pt idx="233">
                  <c:v>61.4028542</c:v>
                </c:pt>
                <c:pt idx="234">
                  <c:v>61.742533600000002</c:v>
                </c:pt>
                <c:pt idx="235">
                  <c:v>61.545613000000003</c:v>
                </c:pt>
                <c:pt idx="236">
                  <c:v>61.469460599999998</c:v>
                </c:pt>
                <c:pt idx="237">
                  <c:v>61.4341553</c:v>
                </c:pt>
                <c:pt idx="238">
                  <c:v>60.930634400000002</c:v>
                </c:pt>
                <c:pt idx="239">
                  <c:v>61.245701699999998</c:v>
                </c:pt>
                <c:pt idx="240">
                  <c:v>60.8985688</c:v>
                </c:pt>
                <c:pt idx="241">
                  <c:v>60.702597099999998</c:v>
                </c:pt>
                <c:pt idx="242">
                  <c:v>60.4120451</c:v>
                </c:pt>
                <c:pt idx="243">
                  <c:v>60.709555600000002</c:v>
                </c:pt>
                <c:pt idx="244">
                  <c:v>60.695318499999999</c:v>
                </c:pt>
                <c:pt idx="245">
                  <c:v>61.107047199999997</c:v>
                </c:pt>
                <c:pt idx="246">
                  <c:v>60.697773499999997</c:v>
                </c:pt>
                <c:pt idx="247">
                  <c:v>61.135644499999998</c:v>
                </c:pt>
                <c:pt idx="248">
                  <c:v>60.692539199999999</c:v>
                </c:pt>
                <c:pt idx="249">
                  <c:v>61.051531099999998</c:v>
                </c:pt>
                <c:pt idx="250">
                  <c:v>61.146787600000003</c:v>
                </c:pt>
                <c:pt idx="251">
                  <c:v>60.873179999999998</c:v>
                </c:pt>
                <c:pt idx="252">
                  <c:v>60.900232199999998</c:v>
                </c:pt>
                <c:pt idx="253">
                  <c:v>60.763791099999999</c:v>
                </c:pt>
                <c:pt idx="254">
                  <c:v>60.9070763</c:v>
                </c:pt>
                <c:pt idx="255">
                  <c:v>60.805910599999997</c:v>
                </c:pt>
                <c:pt idx="256">
                  <c:v>60.525950700000003</c:v>
                </c:pt>
                <c:pt idx="257">
                  <c:v>60.365163099999997</c:v>
                </c:pt>
                <c:pt idx="258">
                  <c:v>60.1589192</c:v>
                </c:pt>
                <c:pt idx="259">
                  <c:v>59.957828800000001</c:v>
                </c:pt>
                <c:pt idx="260">
                  <c:v>59.790490599999998</c:v>
                </c:pt>
                <c:pt idx="261">
                  <c:v>59.732270999999997</c:v>
                </c:pt>
                <c:pt idx="262">
                  <c:v>59.676332600000002</c:v>
                </c:pt>
                <c:pt idx="263">
                  <c:v>59.581341500000001</c:v>
                </c:pt>
                <c:pt idx="264">
                  <c:v>59.7376188</c:v>
                </c:pt>
                <c:pt idx="265">
                  <c:v>59.539307999999998</c:v>
                </c:pt>
                <c:pt idx="266">
                  <c:v>59.650657500000001</c:v>
                </c:pt>
                <c:pt idx="267">
                  <c:v>59.579739400000001</c:v>
                </c:pt>
                <c:pt idx="268">
                  <c:v>59.451594299999996</c:v>
                </c:pt>
                <c:pt idx="269">
                  <c:v>59.600091499999998</c:v>
                </c:pt>
                <c:pt idx="270">
                  <c:v>59.9261895</c:v>
                </c:pt>
                <c:pt idx="271">
                  <c:v>59.535718699999997</c:v>
                </c:pt>
                <c:pt idx="272">
                  <c:v>59.450442700000004</c:v>
                </c:pt>
                <c:pt idx="273">
                  <c:v>59.499745099999998</c:v>
                </c:pt>
                <c:pt idx="274">
                  <c:v>59.736327600000003</c:v>
                </c:pt>
                <c:pt idx="275">
                  <c:v>59.508855199999999</c:v>
                </c:pt>
                <c:pt idx="276">
                  <c:v>59.586421899999998</c:v>
                </c:pt>
                <c:pt idx="277">
                  <c:v>60.318337399999997</c:v>
                </c:pt>
                <c:pt idx="278">
                  <c:v>60.217064100000002</c:v>
                </c:pt>
                <c:pt idx="279">
                  <c:v>60.121088700000001</c:v>
                </c:pt>
                <c:pt idx="280">
                  <c:v>59.679039299999999</c:v>
                </c:pt>
                <c:pt idx="281">
                  <c:v>59.040755500000003</c:v>
                </c:pt>
                <c:pt idx="282">
                  <c:v>59.3398082</c:v>
                </c:pt>
                <c:pt idx="283">
                  <c:v>59.422230800000001</c:v>
                </c:pt>
                <c:pt idx="284">
                  <c:v>59.105961999999998</c:v>
                </c:pt>
                <c:pt idx="285">
                  <c:v>59.185894500000003</c:v>
                </c:pt>
                <c:pt idx="286">
                  <c:v>59.229742399999999</c:v>
                </c:pt>
                <c:pt idx="287">
                  <c:v>59.163868399999998</c:v>
                </c:pt>
                <c:pt idx="288">
                  <c:v>59.160335099999998</c:v>
                </c:pt>
                <c:pt idx="289">
                  <c:v>59.150171100000001</c:v>
                </c:pt>
                <c:pt idx="290">
                  <c:v>59.321382</c:v>
                </c:pt>
                <c:pt idx="291">
                  <c:v>58.935318600000002</c:v>
                </c:pt>
                <c:pt idx="292">
                  <c:v>59.424094799999999</c:v>
                </c:pt>
                <c:pt idx="293">
                  <c:v>59.276666900000002</c:v>
                </c:pt>
                <c:pt idx="294">
                  <c:v>59.326403300000003</c:v>
                </c:pt>
                <c:pt idx="295">
                  <c:v>59.300014500000003</c:v>
                </c:pt>
                <c:pt idx="296">
                  <c:v>59.323154700000003</c:v>
                </c:pt>
                <c:pt idx="297">
                  <c:v>59.404525599999999</c:v>
                </c:pt>
                <c:pt idx="298">
                  <c:v>59.491461399999999</c:v>
                </c:pt>
                <c:pt idx="299">
                  <c:v>59.392439500000002</c:v>
                </c:pt>
              </c:numCache>
            </c:numRef>
          </c:val>
          <c:smooth val="0"/>
          <c:extLst>
            <c:ext xmlns:c16="http://schemas.microsoft.com/office/drawing/2014/chart" uri="{C3380CC4-5D6E-409C-BE32-E72D297353CC}">
              <c16:uniqueId val="{00000001-193E-4AA0-B6A3-5BDDF5DC9EDD}"/>
            </c:ext>
          </c:extLst>
        </c:ser>
        <c:dLbls>
          <c:showLegendKey val="0"/>
          <c:showVal val="0"/>
          <c:showCatName val="0"/>
          <c:showSerName val="0"/>
          <c:showPercent val="0"/>
          <c:showBubbleSize val="0"/>
        </c:dLbls>
        <c:smooth val="0"/>
        <c:axId val="2093118808"/>
        <c:axId val="2093120248"/>
      </c:lineChart>
      <c:dateAx>
        <c:axId val="2093118808"/>
        <c:scaling>
          <c:orientation val="minMax"/>
          <c:min val="42370"/>
        </c:scaling>
        <c:delete val="0"/>
        <c:axPos val="b"/>
        <c:numFmt formatCode="yyyy" sourceLinked="0"/>
        <c:majorTickMark val="out"/>
        <c:minorTickMark val="none"/>
        <c:tickLblPos val="low"/>
        <c:spPr>
          <a:noFill/>
          <a:ln w="9525" cap="flat" cmpd="sng" algn="ctr">
            <a:solidFill>
              <a:schemeClr val="bg1">
                <a:lumMod val="50000"/>
              </a:schemeClr>
            </a:solidFill>
            <a:round/>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n-US"/>
          </a:p>
        </c:txPr>
        <c:crossAx val="2093120248"/>
        <c:crosses val="autoZero"/>
        <c:auto val="1"/>
        <c:lblOffset val="100"/>
        <c:baseTimeUnit val="months"/>
        <c:majorUnit val="2"/>
        <c:majorTimeUnit val="years"/>
        <c:minorUnit val="1"/>
        <c:minorTimeUnit val="years"/>
      </c:dateAx>
      <c:valAx>
        <c:axId val="2093120248"/>
        <c:scaling>
          <c:orientation val="minMax"/>
          <c:min val="54"/>
        </c:scaling>
        <c:delete val="0"/>
        <c:axPos val="l"/>
        <c:majorGridlines>
          <c:spPr>
            <a:ln w="6350" cap="flat" cmpd="sng" algn="ctr">
              <a:solidFill>
                <a:sysClr val="window" lastClr="FFFFFF">
                  <a:lumMod val="85000"/>
                </a:sysClr>
              </a:solidFill>
              <a:prstDash val="dash"/>
              <a:round/>
              <a:headEnd type="none" w="med" len="med"/>
              <a:tailEnd type="none" w="med" len="me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r>
                  <a:rPr lang="en-AU" i="1"/>
                  <a:t>per cent</a:t>
                </a:r>
              </a:p>
            </c:rich>
          </c:tx>
          <c:layout>
            <c:manualLayout>
              <c:xMode val="edge"/>
              <c:yMode val="edge"/>
              <c:x val="2.6140788773952272E-2"/>
              <c:y val="0.33311738340399755"/>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n-US"/>
            </a:p>
          </c:txPr>
        </c:title>
        <c:numFmt formatCode="0" sourceLinked="0"/>
        <c:majorTickMark val="none"/>
        <c:minorTickMark val="none"/>
        <c:tickLblPos val="nextTo"/>
        <c:spPr>
          <a:noFill/>
          <a:ln>
            <a:solidFill>
              <a:schemeClr val="bg1">
                <a:lumMod val="50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n-US"/>
          </a:p>
        </c:txPr>
        <c:crossAx val="2093118808"/>
        <c:crosses val="autoZero"/>
        <c:crossBetween val="midCat"/>
      </c:valAx>
      <c:spPr>
        <a:noFill/>
        <a:ln>
          <a:noFill/>
        </a:ln>
        <a:effectLst/>
        <a:extLst>
          <a:ext uri="{909E8E84-426E-40DD-AFC4-6F175D3DCCD1}">
            <a14:hiddenFill xmlns:a14="http://schemas.microsoft.com/office/drawing/2010/main">
              <a:noFill/>
            </a14:hiddenFill>
          </a:ext>
        </a:extLst>
      </c:spPr>
    </c:plotArea>
    <c:legend>
      <c:legendPos val="b"/>
      <c:layout>
        <c:manualLayout>
          <c:xMode val="edge"/>
          <c:yMode val="edge"/>
          <c:x val="0"/>
          <c:y val="0.86326783767413695"/>
          <c:w val="1"/>
          <c:h val="0.13244046032707446"/>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j-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noFill/>
      <a:round/>
    </a:ln>
    <a:effectLst/>
    <a:extLst>
      <a:ext uri="{91240B29-F687-4F45-9708-019B960494DF}">
        <a14:hiddenLine xmlns:a14="http://schemas.microsoft.com/office/drawing/2010/main" w="9525" cap="flat" cmpd="sng" algn="ctr">
          <a:solidFill>
            <a:sysClr val="windowText" lastClr="000000">
              <a:lumMod val="15000"/>
              <a:lumOff val="85000"/>
            </a:sysClr>
          </a:solidFill>
          <a:round/>
        </a14:hiddenLine>
      </a:ext>
    </a:extLst>
  </c:spPr>
  <c:txPr>
    <a:bodyPr/>
    <a:lstStyle/>
    <a:p>
      <a:pPr>
        <a:defRPr sz="900">
          <a:latin typeface="+mj-lt"/>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50" b="1" i="0" u="none" strike="noStrike" kern="1200" spc="0" baseline="0">
                <a:solidFill>
                  <a:schemeClr val="tx1">
                    <a:lumMod val="65000"/>
                    <a:lumOff val="35000"/>
                  </a:schemeClr>
                </a:solidFill>
                <a:latin typeface="Calibri" panose="020F0502020204030204" pitchFamily="34" charset="0"/>
                <a:ea typeface="Calibri" panose="020F0502020204030204" pitchFamily="34" charset="0"/>
                <a:cs typeface="Calibri" panose="020F0502020204030204" pitchFamily="34" charset="0"/>
              </a:defRPr>
            </a:pPr>
            <a:r>
              <a:rPr lang="en-AU" sz="850" b="1"/>
              <a:t>Participation</a:t>
            </a:r>
            <a:r>
              <a:rPr lang="en-AU" sz="850" b="1" baseline="0"/>
              <a:t> rate</a:t>
            </a:r>
            <a:endParaRPr lang="en-AU" sz="850" b="1"/>
          </a:p>
        </c:rich>
      </c:tx>
      <c:layout>
        <c:manualLayout>
          <c:xMode val="edge"/>
          <c:yMode val="edge"/>
          <c:x val="0.319556918319573"/>
          <c:y val="1.1711954187544739E-2"/>
        </c:manualLayout>
      </c:layout>
      <c:overlay val="0"/>
      <c:spPr>
        <a:noFill/>
        <a:ln>
          <a:noFill/>
        </a:ln>
        <a:effectLst/>
      </c:spPr>
      <c:txPr>
        <a:bodyPr rot="0" spcFirstLastPara="1" vertOverflow="ellipsis" vert="horz" wrap="square" anchor="ctr" anchorCtr="1"/>
        <a:lstStyle/>
        <a:p>
          <a:pPr>
            <a:defRPr sz="850" b="1" i="0" u="none" strike="noStrike" kern="1200" spc="0" baseline="0">
              <a:solidFill>
                <a:schemeClr val="tx1">
                  <a:lumMod val="65000"/>
                  <a:lumOff val="35000"/>
                </a:schemeClr>
              </a:solidFill>
              <a:latin typeface="Calibri" panose="020F0502020204030204" pitchFamily="34" charset="0"/>
              <a:ea typeface="Calibri" panose="020F0502020204030204" pitchFamily="34" charset="0"/>
              <a:cs typeface="Calibri" panose="020F0502020204030204" pitchFamily="34" charset="0"/>
            </a:defRPr>
          </a:pPr>
          <a:endParaRPr lang="en-AU"/>
        </a:p>
      </c:txPr>
    </c:title>
    <c:autoTitleDeleted val="0"/>
    <c:plotArea>
      <c:layout>
        <c:manualLayout>
          <c:layoutTarget val="inner"/>
          <c:xMode val="edge"/>
          <c:yMode val="edge"/>
          <c:x val="0.17942057514549811"/>
          <c:y val="0.11571789172286479"/>
          <c:w val="0.76629835672714819"/>
          <c:h val="0.66662674770216457"/>
        </c:manualLayout>
      </c:layout>
      <c:lineChart>
        <c:grouping val="standard"/>
        <c:varyColors val="0"/>
        <c:ser>
          <c:idx val="0"/>
          <c:order val="0"/>
          <c:tx>
            <c:v>Australia</c:v>
          </c:tx>
          <c:spPr>
            <a:ln w="19050" cap="rnd">
              <a:solidFill>
                <a:schemeClr val="bg1">
                  <a:lumMod val="65000"/>
                </a:schemeClr>
              </a:solidFill>
              <a:round/>
            </a:ln>
            <a:effectLst/>
          </c:spPr>
          <c:marker>
            <c:symbol val="none"/>
          </c:marker>
          <c:cat>
            <c:numRef>
              <c:f>'Inc trend data'!$A$418:$A$588</c:f>
              <c:numCache>
                <c:formatCode>mmm\-yyyy</c:formatCode>
                <c:ptCount val="171"/>
                <c:pt idx="0">
                  <c:v>40909</c:v>
                </c:pt>
                <c:pt idx="1">
                  <c:v>40940</c:v>
                </c:pt>
                <c:pt idx="2">
                  <c:v>40969</c:v>
                </c:pt>
                <c:pt idx="3">
                  <c:v>41000</c:v>
                </c:pt>
                <c:pt idx="4">
                  <c:v>41030</c:v>
                </c:pt>
                <c:pt idx="5">
                  <c:v>41061</c:v>
                </c:pt>
                <c:pt idx="6">
                  <c:v>41091</c:v>
                </c:pt>
                <c:pt idx="7">
                  <c:v>41122</c:v>
                </c:pt>
                <c:pt idx="8">
                  <c:v>41153</c:v>
                </c:pt>
                <c:pt idx="9">
                  <c:v>41183</c:v>
                </c:pt>
                <c:pt idx="10">
                  <c:v>41214</c:v>
                </c:pt>
                <c:pt idx="11">
                  <c:v>41244</c:v>
                </c:pt>
                <c:pt idx="12">
                  <c:v>41275</c:v>
                </c:pt>
                <c:pt idx="13">
                  <c:v>41306</c:v>
                </c:pt>
                <c:pt idx="14">
                  <c:v>41334</c:v>
                </c:pt>
                <c:pt idx="15">
                  <c:v>41365</c:v>
                </c:pt>
                <c:pt idx="16">
                  <c:v>41395</c:v>
                </c:pt>
                <c:pt idx="17">
                  <c:v>41426</c:v>
                </c:pt>
                <c:pt idx="18">
                  <c:v>41456</c:v>
                </c:pt>
                <c:pt idx="19">
                  <c:v>41487</c:v>
                </c:pt>
                <c:pt idx="20">
                  <c:v>41518</c:v>
                </c:pt>
                <c:pt idx="21">
                  <c:v>41548</c:v>
                </c:pt>
                <c:pt idx="22">
                  <c:v>41579</c:v>
                </c:pt>
                <c:pt idx="23">
                  <c:v>41609</c:v>
                </c:pt>
                <c:pt idx="24">
                  <c:v>41640</c:v>
                </c:pt>
                <c:pt idx="25">
                  <c:v>41671</c:v>
                </c:pt>
                <c:pt idx="26">
                  <c:v>41699</c:v>
                </c:pt>
                <c:pt idx="27">
                  <c:v>41730</c:v>
                </c:pt>
                <c:pt idx="28">
                  <c:v>41760</c:v>
                </c:pt>
                <c:pt idx="29">
                  <c:v>41791</c:v>
                </c:pt>
                <c:pt idx="30">
                  <c:v>41821</c:v>
                </c:pt>
                <c:pt idx="31">
                  <c:v>41852</c:v>
                </c:pt>
                <c:pt idx="32">
                  <c:v>41883</c:v>
                </c:pt>
                <c:pt idx="33">
                  <c:v>41913</c:v>
                </c:pt>
                <c:pt idx="34">
                  <c:v>41944</c:v>
                </c:pt>
                <c:pt idx="35">
                  <c:v>41974</c:v>
                </c:pt>
                <c:pt idx="36">
                  <c:v>42005</c:v>
                </c:pt>
                <c:pt idx="37">
                  <c:v>42036</c:v>
                </c:pt>
                <c:pt idx="38">
                  <c:v>42064</c:v>
                </c:pt>
                <c:pt idx="39">
                  <c:v>42095</c:v>
                </c:pt>
                <c:pt idx="40">
                  <c:v>42125</c:v>
                </c:pt>
                <c:pt idx="41">
                  <c:v>42156</c:v>
                </c:pt>
                <c:pt idx="42">
                  <c:v>42186</c:v>
                </c:pt>
                <c:pt idx="43">
                  <c:v>42217</c:v>
                </c:pt>
                <c:pt idx="44">
                  <c:v>42248</c:v>
                </c:pt>
                <c:pt idx="45">
                  <c:v>42278</c:v>
                </c:pt>
                <c:pt idx="46">
                  <c:v>42309</c:v>
                </c:pt>
                <c:pt idx="47">
                  <c:v>42339</c:v>
                </c:pt>
                <c:pt idx="48">
                  <c:v>42370</c:v>
                </c:pt>
                <c:pt idx="49">
                  <c:v>42401</c:v>
                </c:pt>
                <c:pt idx="50">
                  <c:v>42430</c:v>
                </c:pt>
                <c:pt idx="51">
                  <c:v>42461</c:v>
                </c:pt>
                <c:pt idx="52">
                  <c:v>42491</c:v>
                </c:pt>
                <c:pt idx="53">
                  <c:v>42522</c:v>
                </c:pt>
                <c:pt idx="54">
                  <c:v>42552</c:v>
                </c:pt>
                <c:pt idx="55">
                  <c:v>42583</c:v>
                </c:pt>
                <c:pt idx="56">
                  <c:v>42614</c:v>
                </c:pt>
                <c:pt idx="57">
                  <c:v>42644</c:v>
                </c:pt>
                <c:pt idx="58">
                  <c:v>42675</c:v>
                </c:pt>
                <c:pt idx="59">
                  <c:v>42705</c:v>
                </c:pt>
                <c:pt idx="60">
                  <c:v>42736</c:v>
                </c:pt>
                <c:pt idx="61">
                  <c:v>42767</c:v>
                </c:pt>
                <c:pt idx="62">
                  <c:v>42795</c:v>
                </c:pt>
                <c:pt idx="63">
                  <c:v>42826</c:v>
                </c:pt>
                <c:pt idx="64">
                  <c:v>42856</c:v>
                </c:pt>
                <c:pt idx="65">
                  <c:v>42887</c:v>
                </c:pt>
                <c:pt idx="66">
                  <c:v>42917</c:v>
                </c:pt>
                <c:pt idx="67">
                  <c:v>42948</c:v>
                </c:pt>
                <c:pt idx="68">
                  <c:v>42979</c:v>
                </c:pt>
                <c:pt idx="69">
                  <c:v>43009</c:v>
                </c:pt>
                <c:pt idx="70">
                  <c:v>43040</c:v>
                </c:pt>
                <c:pt idx="71">
                  <c:v>43070</c:v>
                </c:pt>
                <c:pt idx="72">
                  <c:v>43101</c:v>
                </c:pt>
                <c:pt idx="73">
                  <c:v>43132</c:v>
                </c:pt>
                <c:pt idx="74">
                  <c:v>43160</c:v>
                </c:pt>
                <c:pt idx="75">
                  <c:v>43191</c:v>
                </c:pt>
                <c:pt idx="76">
                  <c:v>43221</c:v>
                </c:pt>
                <c:pt idx="77">
                  <c:v>43252</c:v>
                </c:pt>
                <c:pt idx="78">
                  <c:v>43282</c:v>
                </c:pt>
                <c:pt idx="79">
                  <c:v>43313</c:v>
                </c:pt>
                <c:pt idx="80">
                  <c:v>43344</c:v>
                </c:pt>
                <c:pt idx="81">
                  <c:v>43374</c:v>
                </c:pt>
                <c:pt idx="82">
                  <c:v>43405</c:v>
                </c:pt>
                <c:pt idx="83">
                  <c:v>43435</c:v>
                </c:pt>
                <c:pt idx="84">
                  <c:v>43466</c:v>
                </c:pt>
                <c:pt idx="85">
                  <c:v>43497</c:v>
                </c:pt>
                <c:pt idx="86">
                  <c:v>43525</c:v>
                </c:pt>
                <c:pt idx="87">
                  <c:v>43556</c:v>
                </c:pt>
                <c:pt idx="88">
                  <c:v>43586</c:v>
                </c:pt>
                <c:pt idx="89">
                  <c:v>43617</c:v>
                </c:pt>
                <c:pt idx="90">
                  <c:v>43647</c:v>
                </c:pt>
                <c:pt idx="91">
                  <c:v>43678</c:v>
                </c:pt>
                <c:pt idx="92">
                  <c:v>43709</c:v>
                </c:pt>
                <c:pt idx="93">
                  <c:v>43739</c:v>
                </c:pt>
                <c:pt idx="94">
                  <c:v>43770</c:v>
                </c:pt>
                <c:pt idx="95">
                  <c:v>43800</c:v>
                </c:pt>
                <c:pt idx="96">
                  <c:v>43831</c:v>
                </c:pt>
                <c:pt idx="97">
                  <c:v>43862</c:v>
                </c:pt>
                <c:pt idx="98">
                  <c:v>43891</c:v>
                </c:pt>
                <c:pt idx="99">
                  <c:v>43922</c:v>
                </c:pt>
                <c:pt idx="100">
                  <c:v>43952</c:v>
                </c:pt>
                <c:pt idx="101">
                  <c:v>43983</c:v>
                </c:pt>
                <c:pt idx="102">
                  <c:v>44013</c:v>
                </c:pt>
                <c:pt idx="103">
                  <c:v>44044</c:v>
                </c:pt>
                <c:pt idx="104">
                  <c:v>44075</c:v>
                </c:pt>
                <c:pt idx="105">
                  <c:v>44105</c:v>
                </c:pt>
                <c:pt idx="106">
                  <c:v>44136</c:v>
                </c:pt>
                <c:pt idx="107">
                  <c:v>44166</c:v>
                </c:pt>
                <c:pt idx="108">
                  <c:v>44197</c:v>
                </c:pt>
                <c:pt idx="109">
                  <c:v>44228</c:v>
                </c:pt>
                <c:pt idx="110">
                  <c:v>44256</c:v>
                </c:pt>
                <c:pt idx="111">
                  <c:v>44287</c:v>
                </c:pt>
                <c:pt idx="112">
                  <c:v>44317</c:v>
                </c:pt>
                <c:pt idx="113">
                  <c:v>44348</c:v>
                </c:pt>
                <c:pt idx="114">
                  <c:v>44378</c:v>
                </c:pt>
                <c:pt idx="115">
                  <c:v>44409</c:v>
                </c:pt>
                <c:pt idx="116">
                  <c:v>44440</c:v>
                </c:pt>
                <c:pt idx="117">
                  <c:v>44470</c:v>
                </c:pt>
                <c:pt idx="118">
                  <c:v>44501</c:v>
                </c:pt>
                <c:pt idx="119">
                  <c:v>44531</c:v>
                </c:pt>
                <c:pt idx="120">
                  <c:v>44562</c:v>
                </c:pt>
                <c:pt idx="121">
                  <c:v>44593</c:v>
                </c:pt>
                <c:pt idx="122">
                  <c:v>44621</c:v>
                </c:pt>
                <c:pt idx="123">
                  <c:v>44652</c:v>
                </c:pt>
                <c:pt idx="124">
                  <c:v>44682</c:v>
                </c:pt>
                <c:pt idx="125">
                  <c:v>44713</c:v>
                </c:pt>
                <c:pt idx="126">
                  <c:v>44743</c:v>
                </c:pt>
                <c:pt idx="127">
                  <c:v>44774</c:v>
                </c:pt>
                <c:pt idx="128">
                  <c:v>44805</c:v>
                </c:pt>
                <c:pt idx="129">
                  <c:v>44835</c:v>
                </c:pt>
                <c:pt idx="130">
                  <c:v>44866</c:v>
                </c:pt>
                <c:pt idx="131">
                  <c:v>44896</c:v>
                </c:pt>
                <c:pt idx="132">
                  <c:v>44927</c:v>
                </c:pt>
                <c:pt idx="133">
                  <c:v>44958</c:v>
                </c:pt>
                <c:pt idx="134">
                  <c:v>44986</c:v>
                </c:pt>
                <c:pt idx="135">
                  <c:v>45017</c:v>
                </c:pt>
                <c:pt idx="136">
                  <c:v>45047</c:v>
                </c:pt>
                <c:pt idx="137">
                  <c:v>45078</c:v>
                </c:pt>
                <c:pt idx="138">
                  <c:v>45108</c:v>
                </c:pt>
                <c:pt idx="139">
                  <c:v>45139</c:v>
                </c:pt>
                <c:pt idx="140">
                  <c:v>45170</c:v>
                </c:pt>
                <c:pt idx="141">
                  <c:v>45200</c:v>
                </c:pt>
                <c:pt idx="142">
                  <c:v>45231</c:v>
                </c:pt>
                <c:pt idx="143">
                  <c:v>45261</c:v>
                </c:pt>
                <c:pt idx="144">
                  <c:v>45292</c:v>
                </c:pt>
                <c:pt idx="145">
                  <c:v>45323</c:v>
                </c:pt>
                <c:pt idx="146">
                  <c:v>45352</c:v>
                </c:pt>
                <c:pt idx="147">
                  <c:v>45383</c:v>
                </c:pt>
                <c:pt idx="148">
                  <c:v>45413</c:v>
                </c:pt>
                <c:pt idx="149">
                  <c:v>45444</c:v>
                </c:pt>
                <c:pt idx="150">
                  <c:v>45474</c:v>
                </c:pt>
                <c:pt idx="151">
                  <c:v>45505</c:v>
                </c:pt>
                <c:pt idx="152">
                  <c:v>45536</c:v>
                </c:pt>
                <c:pt idx="153">
                  <c:v>45566</c:v>
                </c:pt>
                <c:pt idx="154">
                  <c:v>45597</c:v>
                </c:pt>
                <c:pt idx="155">
                  <c:v>45627</c:v>
                </c:pt>
                <c:pt idx="156">
                  <c:v>45658</c:v>
                </c:pt>
                <c:pt idx="157">
                  <c:v>45689</c:v>
                </c:pt>
                <c:pt idx="158">
                  <c:v>45717</c:v>
                </c:pt>
                <c:pt idx="159">
                  <c:v>45748</c:v>
                </c:pt>
                <c:pt idx="160">
                  <c:v>45778</c:v>
                </c:pt>
                <c:pt idx="161">
                  <c:v>45809</c:v>
                </c:pt>
                <c:pt idx="162">
                  <c:v>45839</c:v>
                </c:pt>
                <c:pt idx="163">
                  <c:v>45870</c:v>
                </c:pt>
                <c:pt idx="164">
                  <c:v>45901</c:v>
                </c:pt>
                <c:pt idx="165">
                  <c:v>45931</c:v>
                </c:pt>
                <c:pt idx="166">
                  <c:v>45962</c:v>
                </c:pt>
                <c:pt idx="167">
                  <c:v>45992</c:v>
                </c:pt>
                <c:pt idx="168">
                  <c:v>46023</c:v>
                </c:pt>
                <c:pt idx="169">
                  <c:v>46054</c:v>
                </c:pt>
                <c:pt idx="170">
                  <c:v>46082</c:v>
                </c:pt>
              </c:numCache>
            </c:numRef>
          </c:cat>
          <c:val>
            <c:numRef>
              <c:f>'Inc trend data'!$AY$418:$AY$588</c:f>
              <c:numCache>
                <c:formatCode>0.0;\-0.0;0.0;@</c:formatCode>
                <c:ptCount val="171"/>
                <c:pt idx="0">
                  <c:v>58.684055899999997</c:v>
                </c:pt>
                <c:pt idx="1">
                  <c:v>58.601355900000001</c:v>
                </c:pt>
                <c:pt idx="2">
                  <c:v>59.0986227</c:v>
                </c:pt>
                <c:pt idx="3">
                  <c:v>58.608703599999998</c:v>
                </c:pt>
                <c:pt idx="4">
                  <c:v>59.115484199999997</c:v>
                </c:pt>
                <c:pt idx="5">
                  <c:v>58.770458400000003</c:v>
                </c:pt>
                <c:pt idx="6">
                  <c:v>58.802181400000002</c:v>
                </c:pt>
                <c:pt idx="7">
                  <c:v>58.618699700000001</c:v>
                </c:pt>
                <c:pt idx="8">
                  <c:v>59.014529000000003</c:v>
                </c:pt>
                <c:pt idx="9">
                  <c:v>58.789865900000002</c:v>
                </c:pt>
                <c:pt idx="10">
                  <c:v>58.603100499999996</c:v>
                </c:pt>
                <c:pt idx="11">
                  <c:v>58.565372400000001</c:v>
                </c:pt>
                <c:pt idx="12">
                  <c:v>58.8469397</c:v>
                </c:pt>
                <c:pt idx="13">
                  <c:v>58.9187996</c:v>
                </c:pt>
                <c:pt idx="14">
                  <c:v>58.819504000000002</c:v>
                </c:pt>
                <c:pt idx="15">
                  <c:v>58.984018599999999</c:v>
                </c:pt>
                <c:pt idx="16">
                  <c:v>58.681612100000002</c:v>
                </c:pt>
                <c:pt idx="17">
                  <c:v>58.726494600000002</c:v>
                </c:pt>
                <c:pt idx="18">
                  <c:v>58.656379000000001</c:v>
                </c:pt>
                <c:pt idx="19">
                  <c:v>58.723504699999999</c:v>
                </c:pt>
                <c:pt idx="20">
                  <c:v>58.680051900000002</c:v>
                </c:pt>
                <c:pt idx="21">
                  <c:v>58.647082500000003</c:v>
                </c:pt>
                <c:pt idx="22">
                  <c:v>58.407112099999999</c:v>
                </c:pt>
                <c:pt idx="23">
                  <c:v>58.223335300000002</c:v>
                </c:pt>
                <c:pt idx="24">
                  <c:v>58.5280591</c:v>
                </c:pt>
                <c:pt idx="25">
                  <c:v>58.583640899999999</c:v>
                </c:pt>
                <c:pt idx="26">
                  <c:v>58.765383</c:v>
                </c:pt>
                <c:pt idx="27">
                  <c:v>58.516547899999999</c:v>
                </c:pt>
                <c:pt idx="28">
                  <c:v>58.625289700000003</c:v>
                </c:pt>
                <c:pt idx="29">
                  <c:v>58.650981600000001</c:v>
                </c:pt>
                <c:pt idx="30">
                  <c:v>58.730804300000003</c:v>
                </c:pt>
                <c:pt idx="31">
                  <c:v>58.606038499999997</c:v>
                </c:pt>
                <c:pt idx="32">
                  <c:v>58.7740449</c:v>
                </c:pt>
                <c:pt idx="33">
                  <c:v>58.644768499999998</c:v>
                </c:pt>
                <c:pt idx="34">
                  <c:v>58.199433300000003</c:v>
                </c:pt>
                <c:pt idx="35">
                  <c:v>58.631134299999999</c:v>
                </c:pt>
                <c:pt idx="36">
                  <c:v>58.646676300000003</c:v>
                </c:pt>
                <c:pt idx="37">
                  <c:v>58.791926199999999</c:v>
                </c:pt>
                <c:pt idx="38">
                  <c:v>58.661915</c:v>
                </c:pt>
                <c:pt idx="39">
                  <c:v>58.718036300000001</c:v>
                </c:pt>
                <c:pt idx="40">
                  <c:v>58.864444499999998</c:v>
                </c:pt>
                <c:pt idx="41">
                  <c:v>58.928340400000003</c:v>
                </c:pt>
                <c:pt idx="42">
                  <c:v>59.3332756</c:v>
                </c:pt>
                <c:pt idx="43">
                  <c:v>59.099206700000003</c:v>
                </c:pt>
                <c:pt idx="44">
                  <c:v>59.2228754</c:v>
                </c:pt>
                <c:pt idx="45">
                  <c:v>59.405135899999998</c:v>
                </c:pt>
                <c:pt idx="46">
                  <c:v>59.703276899999999</c:v>
                </c:pt>
                <c:pt idx="47">
                  <c:v>59.558838899999998</c:v>
                </c:pt>
                <c:pt idx="48">
                  <c:v>59.428452299999996</c:v>
                </c:pt>
                <c:pt idx="49">
                  <c:v>59.445226400000003</c:v>
                </c:pt>
                <c:pt idx="50">
                  <c:v>59.321090099999999</c:v>
                </c:pt>
                <c:pt idx="51">
                  <c:v>59.447497300000002</c:v>
                </c:pt>
                <c:pt idx="52">
                  <c:v>59.2667188</c:v>
                </c:pt>
                <c:pt idx="53">
                  <c:v>59.538547299999998</c:v>
                </c:pt>
                <c:pt idx="54">
                  <c:v>59.504398199999997</c:v>
                </c:pt>
                <c:pt idx="55">
                  <c:v>59.045789399999997</c:v>
                </c:pt>
                <c:pt idx="56">
                  <c:v>59.084059600000003</c:v>
                </c:pt>
                <c:pt idx="57">
                  <c:v>58.985507800000001</c:v>
                </c:pt>
                <c:pt idx="58">
                  <c:v>59.234436199999998</c:v>
                </c:pt>
                <c:pt idx="59">
                  <c:v>59.289955300000003</c:v>
                </c:pt>
                <c:pt idx="60">
                  <c:v>59.382701500000003</c:v>
                </c:pt>
                <c:pt idx="61">
                  <c:v>59.147919700000003</c:v>
                </c:pt>
                <c:pt idx="62">
                  <c:v>59.502166899999999</c:v>
                </c:pt>
                <c:pt idx="63">
                  <c:v>59.414882499999997</c:v>
                </c:pt>
                <c:pt idx="64">
                  <c:v>59.573931999999999</c:v>
                </c:pt>
                <c:pt idx="65">
                  <c:v>59.849834299999998</c:v>
                </c:pt>
                <c:pt idx="66">
                  <c:v>59.804944599999999</c:v>
                </c:pt>
                <c:pt idx="67">
                  <c:v>60.057257700000001</c:v>
                </c:pt>
                <c:pt idx="68">
                  <c:v>60.216461099999997</c:v>
                </c:pt>
                <c:pt idx="69">
                  <c:v>60.180412099999998</c:v>
                </c:pt>
                <c:pt idx="70">
                  <c:v>60.358410300000003</c:v>
                </c:pt>
                <c:pt idx="71">
                  <c:v>60.627201100000001</c:v>
                </c:pt>
                <c:pt idx="72">
                  <c:v>60.504995200000003</c:v>
                </c:pt>
                <c:pt idx="73">
                  <c:v>60.488289100000003</c:v>
                </c:pt>
                <c:pt idx="74">
                  <c:v>60.526647400000002</c:v>
                </c:pt>
                <c:pt idx="75">
                  <c:v>60.4411445</c:v>
                </c:pt>
                <c:pt idx="76">
                  <c:v>60.187400199999999</c:v>
                </c:pt>
                <c:pt idx="77">
                  <c:v>60.406294000000003</c:v>
                </c:pt>
                <c:pt idx="78">
                  <c:v>60.180298700000002</c:v>
                </c:pt>
                <c:pt idx="79">
                  <c:v>60.365203999999999</c:v>
                </c:pt>
                <c:pt idx="80">
                  <c:v>60.304869699999998</c:v>
                </c:pt>
                <c:pt idx="81">
                  <c:v>60.355414600000003</c:v>
                </c:pt>
                <c:pt idx="82">
                  <c:v>60.4891066</c:v>
                </c:pt>
                <c:pt idx="83">
                  <c:v>60.462381100000002</c:v>
                </c:pt>
                <c:pt idx="84">
                  <c:v>60.711392500000002</c:v>
                </c:pt>
                <c:pt idx="85">
                  <c:v>60.591976299999999</c:v>
                </c:pt>
                <c:pt idx="86">
                  <c:v>60.600728500000002</c:v>
                </c:pt>
                <c:pt idx="87">
                  <c:v>60.978294499999997</c:v>
                </c:pt>
                <c:pt idx="88">
                  <c:v>60.557057299999997</c:v>
                </c:pt>
                <c:pt idx="89">
                  <c:v>60.753164400000003</c:v>
                </c:pt>
                <c:pt idx="90">
                  <c:v>60.922648600000002</c:v>
                </c:pt>
                <c:pt idx="91">
                  <c:v>61.0702608</c:v>
                </c:pt>
                <c:pt idx="92">
                  <c:v>61.209214099999997</c:v>
                </c:pt>
                <c:pt idx="93">
                  <c:v>61.039005299999999</c:v>
                </c:pt>
                <c:pt idx="94">
                  <c:v>61.058948200000003</c:v>
                </c:pt>
                <c:pt idx="95">
                  <c:v>61.080947600000002</c:v>
                </c:pt>
                <c:pt idx="96">
                  <c:v>61.450946000000002</c:v>
                </c:pt>
                <c:pt idx="97">
                  <c:v>61.107303399999999</c:v>
                </c:pt>
                <c:pt idx="98">
                  <c:v>61.011920699999997</c:v>
                </c:pt>
                <c:pt idx="99">
                  <c:v>58.383563000000002</c:v>
                </c:pt>
                <c:pt idx="100">
                  <c:v>57.207571700000003</c:v>
                </c:pt>
                <c:pt idx="101">
                  <c:v>58.926582199999999</c:v>
                </c:pt>
                <c:pt idx="102">
                  <c:v>59.728604500000003</c:v>
                </c:pt>
                <c:pt idx="103">
                  <c:v>60.062143599999999</c:v>
                </c:pt>
                <c:pt idx="104">
                  <c:v>60.003026400000003</c:v>
                </c:pt>
                <c:pt idx="105">
                  <c:v>60.615688900000002</c:v>
                </c:pt>
                <c:pt idx="106">
                  <c:v>61.197414799999997</c:v>
                </c:pt>
                <c:pt idx="107">
                  <c:v>61.184476099999998</c:v>
                </c:pt>
                <c:pt idx="108">
                  <c:v>60.961618799999997</c:v>
                </c:pt>
                <c:pt idx="109">
                  <c:v>61.150435199999997</c:v>
                </c:pt>
                <c:pt idx="110">
                  <c:v>61.4566102</c:v>
                </c:pt>
                <c:pt idx="111">
                  <c:v>61.118444500000003</c:v>
                </c:pt>
                <c:pt idx="112">
                  <c:v>61.402400999999998</c:v>
                </c:pt>
                <c:pt idx="113">
                  <c:v>61.304836999999999</c:v>
                </c:pt>
                <c:pt idx="114">
                  <c:v>61.2991569</c:v>
                </c:pt>
                <c:pt idx="115">
                  <c:v>60.449239800000001</c:v>
                </c:pt>
                <c:pt idx="116">
                  <c:v>59.942547500000003</c:v>
                </c:pt>
                <c:pt idx="117">
                  <c:v>59.843199900000002</c:v>
                </c:pt>
                <c:pt idx="118">
                  <c:v>61.649794200000002</c:v>
                </c:pt>
                <c:pt idx="119">
                  <c:v>61.527968000000001</c:v>
                </c:pt>
                <c:pt idx="120">
                  <c:v>62.082042100000002</c:v>
                </c:pt>
                <c:pt idx="121">
                  <c:v>62.0542911</c:v>
                </c:pt>
                <c:pt idx="122">
                  <c:v>61.961262900000001</c:v>
                </c:pt>
                <c:pt idx="123">
                  <c:v>62.0820267</c:v>
                </c:pt>
                <c:pt idx="124">
                  <c:v>62.023556599999999</c:v>
                </c:pt>
                <c:pt idx="125">
                  <c:v>62.3999995</c:v>
                </c:pt>
                <c:pt idx="126">
                  <c:v>62.2594578</c:v>
                </c:pt>
                <c:pt idx="127">
                  <c:v>62.463653700000002</c:v>
                </c:pt>
                <c:pt idx="128">
                  <c:v>62.260106</c:v>
                </c:pt>
                <c:pt idx="129">
                  <c:v>62.310179900000001</c:v>
                </c:pt>
                <c:pt idx="130">
                  <c:v>62.666326699999999</c:v>
                </c:pt>
                <c:pt idx="131">
                  <c:v>62.2878252</c:v>
                </c:pt>
                <c:pt idx="132">
                  <c:v>62.234350800000001</c:v>
                </c:pt>
                <c:pt idx="133">
                  <c:v>62.118018300000003</c:v>
                </c:pt>
                <c:pt idx="134">
                  <c:v>62.622879500000003</c:v>
                </c:pt>
                <c:pt idx="135">
                  <c:v>62.392003699999997</c:v>
                </c:pt>
                <c:pt idx="136">
                  <c:v>62.691171099999998</c:v>
                </c:pt>
                <c:pt idx="137">
                  <c:v>62.577366099999999</c:v>
                </c:pt>
                <c:pt idx="138">
                  <c:v>62.452143499999998</c:v>
                </c:pt>
                <c:pt idx="139">
                  <c:v>62.568793800000002</c:v>
                </c:pt>
                <c:pt idx="140">
                  <c:v>62.687508800000003</c:v>
                </c:pt>
                <c:pt idx="141">
                  <c:v>62.930836599999999</c:v>
                </c:pt>
                <c:pt idx="142">
                  <c:v>63.103768000000002</c:v>
                </c:pt>
                <c:pt idx="143">
                  <c:v>62.6944169</c:v>
                </c:pt>
                <c:pt idx="144">
                  <c:v>62.5833187</c:v>
                </c:pt>
                <c:pt idx="145">
                  <c:v>62.744967199999998</c:v>
                </c:pt>
                <c:pt idx="146">
                  <c:v>62.5534514</c:v>
                </c:pt>
                <c:pt idx="147">
                  <c:v>62.726193500000001</c:v>
                </c:pt>
                <c:pt idx="148">
                  <c:v>62.571686100000001</c:v>
                </c:pt>
                <c:pt idx="149">
                  <c:v>62.850795099999999</c:v>
                </c:pt>
                <c:pt idx="150">
                  <c:v>63.105614799999998</c:v>
                </c:pt>
                <c:pt idx="151">
                  <c:v>63.098762800000003</c:v>
                </c:pt>
                <c:pt idx="152">
                  <c:v>63.044981399999998</c:v>
                </c:pt>
                <c:pt idx="153">
                  <c:v>62.991833399999997</c:v>
                </c:pt>
                <c:pt idx="154">
                  <c:v>62.937275</c:v>
                </c:pt>
                <c:pt idx="155">
                  <c:v>62.904062099999997</c:v>
                </c:pt>
                <c:pt idx="156">
                  <c:v>63.429589900000003</c:v>
                </c:pt>
                <c:pt idx="157">
                  <c:v>62.770211799999998</c:v>
                </c:pt>
                <c:pt idx="158">
                  <c:v>62.7292402</c:v>
                </c:pt>
                <c:pt idx="159">
                  <c:v>63.3151291</c:v>
                </c:pt>
                <c:pt idx="160">
                  <c:v>63.278119699999998</c:v>
                </c:pt>
                <c:pt idx="161">
                  <c:v>63.169078399999997</c:v>
                </c:pt>
                <c:pt idx="162">
                  <c:v>63.467320299999997</c:v>
                </c:pt>
                <c:pt idx="163">
                  <c:v>63.201627500000001</c:v>
                </c:pt>
                <c:pt idx="164">
                  <c:v>63.193520900000003</c:v>
                </c:pt>
                <c:pt idx="165">
                  <c:v>63.042154199999999</c:v>
                </c:pt>
                <c:pt idx="166">
                  <c:v>63.030858899999998</c:v>
                </c:pt>
                <c:pt idx="167">
                  <c:v>62.949370600000002</c:v>
                </c:pt>
                <c:pt idx="168">
                  <c:v>62.940158199999999</c:v>
                </c:pt>
                <c:pt idx="169">
                  <c:v>63.093729699999997</c:v>
                </c:pt>
                <c:pt idx="170">
                  <c:v>62.9904929</c:v>
                </c:pt>
              </c:numCache>
            </c:numRef>
          </c:val>
          <c:smooth val="0"/>
          <c:extLst>
            <c:ext xmlns:c16="http://schemas.microsoft.com/office/drawing/2014/chart" uri="{C3380CC4-5D6E-409C-BE32-E72D297353CC}">
              <c16:uniqueId val="{00000000-BD4E-4D5B-99B3-42345511DD5F}"/>
            </c:ext>
          </c:extLst>
        </c:ser>
        <c:ser>
          <c:idx val="2"/>
          <c:order val="1"/>
          <c:tx>
            <c:v>Victoria</c:v>
          </c:tx>
          <c:spPr>
            <a:ln w="15875" cap="rnd">
              <a:solidFill>
                <a:schemeClr val="tx1">
                  <a:lumMod val="65000"/>
                  <a:lumOff val="35000"/>
                </a:schemeClr>
              </a:solidFill>
              <a:round/>
            </a:ln>
            <a:effectLst/>
          </c:spPr>
          <c:marker>
            <c:symbol val="none"/>
          </c:marker>
          <c:cat>
            <c:numRef>
              <c:f>'Inc trend data'!$A$418:$A$588</c:f>
              <c:numCache>
                <c:formatCode>mmm\-yyyy</c:formatCode>
                <c:ptCount val="171"/>
                <c:pt idx="0">
                  <c:v>40909</c:v>
                </c:pt>
                <c:pt idx="1">
                  <c:v>40940</c:v>
                </c:pt>
                <c:pt idx="2">
                  <c:v>40969</c:v>
                </c:pt>
                <c:pt idx="3">
                  <c:v>41000</c:v>
                </c:pt>
                <c:pt idx="4">
                  <c:v>41030</c:v>
                </c:pt>
                <c:pt idx="5">
                  <c:v>41061</c:v>
                </c:pt>
                <c:pt idx="6">
                  <c:v>41091</c:v>
                </c:pt>
                <c:pt idx="7">
                  <c:v>41122</c:v>
                </c:pt>
                <c:pt idx="8">
                  <c:v>41153</c:v>
                </c:pt>
                <c:pt idx="9">
                  <c:v>41183</c:v>
                </c:pt>
                <c:pt idx="10">
                  <c:v>41214</c:v>
                </c:pt>
                <c:pt idx="11">
                  <c:v>41244</c:v>
                </c:pt>
                <c:pt idx="12">
                  <c:v>41275</c:v>
                </c:pt>
                <c:pt idx="13">
                  <c:v>41306</c:v>
                </c:pt>
                <c:pt idx="14">
                  <c:v>41334</c:v>
                </c:pt>
                <c:pt idx="15">
                  <c:v>41365</c:v>
                </c:pt>
                <c:pt idx="16">
                  <c:v>41395</c:v>
                </c:pt>
                <c:pt idx="17">
                  <c:v>41426</c:v>
                </c:pt>
                <c:pt idx="18">
                  <c:v>41456</c:v>
                </c:pt>
                <c:pt idx="19">
                  <c:v>41487</c:v>
                </c:pt>
                <c:pt idx="20">
                  <c:v>41518</c:v>
                </c:pt>
                <c:pt idx="21">
                  <c:v>41548</c:v>
                </c:pt>
                <c:pt idx="22">
                  <c:v>41579</c:v>
                </c:pt>
                <c:pt idx="23">
                  <c:v>41609</c:v>
                </c:pt>
                <c:pt idx="24">
                  <c:v>41640</c:v>
                </c:pt>
                <c:pt idx="25">
                  <c:v>41671</c:v>
                </c:pt>
                <c:pt idx="26">
                  <c:v>41699</c:v>
                </c:pt>
                <c:pt idx="27">
                  <c:v>41730</c:v>
                </c:pt>
                <c:pt idx="28">
                  <c:v>41760</c:v>
                </c:pt>
                <c:pt idx="29">
                  <c:v>41791</c:v>
                </c:pt>
                <c:pt idx="30">
                  <c:v>41821</c:v>
                </c:pt>
                <c:pt idx="31">
                  <c:v>41852</c:v>
                </c:pt>
                <c:pt idx="32">
                  <c:v>41883</c:v>
                </c:pt>
                <c:pt idx="33">
                  <c:v>41913</c:v>
                </c:pt>
                <c:pt idx="34">
                  <c:v>41944</c:v>
                </c:pt>
                <c:pt idx="35">
                  <c:v>41974</c:v>
                </c:pt>
                <c:pt idx="36">
                  <c:v>42005</c:v>
                </c:pt>
                <c:pt idx="37">
                  <c:v>42036</c:v>
                </c:pt>
                <c:pt idx="38">
                  <c:v>42064</c:v>
                </c:pt>
                <c:pt idx="39">
                  <c:v>42095</c:v>
                </c:pt>
                <c:pt idx="40">
                  <c:v>42125</c:v>
                </c:pt>
                <c:pt idx="41">
                  <c:v>42156</c:v>
                </c:pt>
                <c:pt idx="42">
                  <c:v>42186</c:v>
                </c:pt>
                <c:pt idx="43">
                  <c:v>42217</c:v>
                </c:pt>
                <c:pt idx="44">
                  <c:v>42248</c:v>
                </c:pt>
                <c:pt idx="45">
                  <c:v>42278</c:v>
                </c:pt>
                <c:pt idx="46">
                  <c:v>42309</c:v>
                </c:pt>
                <c:pt idx="47">
                  <c:v>42339</c:v>
                </c:pt>
                <c:pt idx="48">
                  <c:v>42370</c:v>
                </c:pt>
                <c:pt idx="49">
                  <c:v>42401</c:v>
                </c:pt>
                <c:pt idx="50">
                  <c:v>42430</c:v>
                </c:pt>
                <c:pt idx="51">
                  <c:v>42461</c:v>
                </c:pt>
                <c:pt idx="52">
                  <c:v>42491</c:v>
                </c:pt>
                <c:pt idx="53">
                  <c:v>42522</c:v>
                </c:pt>
                <c:pt idx="54">
                  <c:v>42552</c:v>
                </c:pt>
                <c:pt idx="55">
                  <c:v>42583</c:v>
                </c:pt>
                <c:pt idx="56">
                  <c:v>42614</c:v>
                </c:pt>
                <c:pt idx="57">
                  <c:v>42644</c:v>
                </c:pt>
                <c:pt idx="58">
                  <c:v>42675</c:v>
                </c:pt>
                <c:pt idx="59">
                  <c:v>42705</c:v>
                </c:pt>
                <c:pt idx="60">
                  <c:v>42736</c:v>
                </c:pt>
                <c:pt idx="61">
                  <c:v>42767</c:v>
                </c:pt>
                <c:pt idx="62">
                  <c:v>42795</c:v>
                </c:pt>
                <c:pt idx="63">
                  <c:v>42826</c:v>
                </c:pt>
                <c:pt idx="64">
                  <c:v>42856</c:v>
                </c:pt>
                <c:pt idx="65">
                  <c:v>42887</c:v>
                </c:pt>
                <c:pt idx="66">
                  <c:v>42917</c:v>
                </c:pt>
                <c:pt idx="67">
                  <c:v>42948</c:v>
                </c:pt>
                <c:pt idx="68">
                  <c:v>42979</c:v>
                </c:pt>
                <c:pt idx="69">
                  <c:v>43009</c:v>
                </c:pt>
                <c:pt idx="70">
                  <c:v>43040</c:v>
                </c:pt>
                <c:pt idx="71">
                  <c:v>43070</c:v>
                </c:pt>
                <c:pt idx="72">
                  <c:v>43101</c:v>
                </c:pt>
                <c:pt idx="73">
                  <c:v>43132</c:v>
                </c:pt>
                <c:pt idx="74">
                  <c:v>43160</c:v>
                </c:pt>
                <c:pt idx="75">
                  <c:v>43191</c:v>
                </c:pt>
                <c:pt idx="76">
                  <c:v>43221</c:v>
                </c:pt>
                <c:pt idx="77">
                  <c:v>43252</c:v>
                </c:pt>
                <c:pt idx="78">
                  <c:v>43282</c:v>
                </c:pt>
                <c:pt idx="79">
                  <c:v>43313</c:v>
                </c:pt>
                <c:pt idx="80">
                  <c:v>43344</c:v>
                </c:pt>
                <c:pt idx="81">
                  <c:v>43374</c:v>
                </c:pt>
                <c:pt idx="82">
                  <c:v>43405</c:v>
                </c:pt>
                <c:pt idx="83">
                  <c:v>43435</c:v>
                </c:pt>
                <c:pt idx="84">
                  <c:v>43466</c:v>
                </c:pt>
                <c:pt idx="85">
                  <c:v>43497</c:v>
                </c:pt>
                <c:pt idx="86">
                  <c:v>43525</c:v>
                </c:pt>
                <c:pt idx="87">
                  <c:v>43556</c:v>
                </c:pt>
                <c:pt idx="88">
                  <c:v>43586</c:v>
                </c:pt>
                <c:pt idx="89">
                  <c:v>43617</c:v>
                </c:pt>
                <c:pt idx="90">
                  <c:v>43647</c:v>
                </c:pt>
                <c:pt idx="91">
                  <c:v>43678</c:v>
                </c:pt>
                <c:pt idx="92">
                  <c:v>43709</c:v>
                </c:pt>
                <c:pt idx="93">
                  <c:v>43739</c:v>
                </c:pt>
                <c:pt idx="94">
                  <c:v>43770</c:v>
                </c:pt>
                <c:pt idx="95">
                  <c:v>43800</c:v>
                </c:pt>
                <c:pt idx="96">
                  <c:v>43831</c:v>
                </c:pt>
                <c:pt idx="97">
                  <c:v>43862</c:v>
                </c:pt>
                <c:pt idx="98">
                  <c:v>43891</c:v>
                </c:pt>
                <c:pt idx="99">
                  <c:v>43922</c:v>
                </c:pt>
                <c:pt idx="100">
                  <c:v>43952</c:v>
                </c:pt>
                <c:pt idx="101">
                  <c:v>43983</c:v>
                </c:pt>
                <c:pt idx="102">
                  <c:v>44013</c:v>
                </c:pt>
                <c:pt idx="103">
                  <c:v>44044</c:v>
                </c:pt>
                <c:pt idx="104">
                  <c:v>44075</c:v>
                </c:pt>
                <c:pt idx="105">
                  <c:v>44105</c:v>
                </c:pt>
                <c:pt idx="106">
                  <c:v>44136</c:v>
                </c:pt>
                <c:pt idx="107">
                  <c:v>44166</c:v>
                </c:pt>
                <c:pt idx="108">
                  <c:v>44197</c:v>
                </c:pt>
                <c:pt idx="109">
                  <c:v>44228</c:v>
                </c:pt>
                <c:pt idx="110">
                  <c:v>44256</c:v>
                </c:pt>
                <c:pt idx="111">
                  <c:v>44287</c:v>
                </c:pt>
                <c:pt idx="112">
                  <c:v>44317</c:v>
                </c:pt>
                <c:pt idx="113">
                  <c:v>44348</c:v>
                </c:pt>
                <c:pt idx="114">
                  <c:v>44378</c:v>
                </c:pt>
                <c:pt idx="115">
                  <c:v>44409</c:v>
                </c:pt>
                <c:pt idx="116">
                  <c:v>44440</c:v>
                </c:pt>
                <c:pt idx="117">
                  <c:v>44470</c:v>
                </c:pt>
                <c:pt idx="118">
                  <c:v>44501</c:v>
                </c:pt>
                <c:pt idx="119">
                  <c:v>44531</c:v>
                </c:pt>
                <c:pt idx="120">
                  <c:v>44562</c:v>
                </c:pt>
                <c:pt idx="121">
                  <c:v>44593</c:v>
                </c:pt>
                <c:pt idx="122">
                  <c:v>44621</c:v>
                </c:pt>
                <c:pt idx="123">
                  <c:v>44652</c:v>
                </c:pt>
                <c:pt idx="124">
                  <c:v>44682</c:v>
                </c:pt>
                <c:pt idx="125">
                  <c:v>44713</c:v>
                </c:pt>
                <c:pt idx="126">
                  <c:v>44743</c:v>
                </c:pt>
                <c:pt idx="127">
                  <c:v>44774</c:v>
                </c:pt>
                <c:pt idx="128">
                  <c:v>44805</c:v>
                </c:pt>
                <c:pt idx="129">
                  <c:v>44835</c:v>
                </c:pt>
                <c:pt idx="130">
                  <c:v>44866</c:v>
                </c:pt>
                <c:pt idx="131">
                  <c:v>44896</c:v>
                </c:pt>
                <c:pt idx="132">
                  <c:v>44927</c:v>
                </c:pt>
                <c:pt idx="133">
                  <c:v>44958</c:v>
                </c:pt>
                <c:pt idx="134">
                  <c:v>44986</c:v>
                </c:pt>
                <c:pt idx="135">
                  <c:v>45017</c:v>
                </c:pt>
                <c:pt idx="136">
                  <c:v>45047</c:v>
                </c:pt>
                <c:pt idx="137">
                  <c:v>45078</c:v>
                </c:pt>
                <c:pt idx="138">
                  <c:v>45108</c:v>
                </c:pt>
                <c:pt idx="139">
                  <c:v>45139</c:v>
                </c:pt>
                <c:pt idx="140">
                  <c:v>45170</c:v>
                </c:pt>
                <c:pt idx="141">
                  <c:v>45200</c:v>
                </c:pt>
                <c:pt idx="142">
                  <c:v>45231</c:v>
                </c:pt>
                <c:pt idx="143">
                  <c:v>45261</c:v>
                </c:pt>
                <c:pt idx="144">
                  <c:v>45292</c:v>
                </c:pt>
                <c:pt idx="145">
                  <c:v>45323</c:v>
                </c:pt>
                <c:pt idx="146">
                  <c:v>45352</c:v>
                </c:pt>
                <c:pt idx="147">
                  <c:v>45383</c:v>
                </c:pt>
                <c:pt idx="148">
                  <c:v>45413</c:v>
                </c:pt>
                <c:pt idx="149">
                  <c:v>45444</c:v>
                </c:pt>
                <c:pt idx="150">
                  <c:v>45474</c:v>
                </c:pt>
                <c:pt idx="151">
                  <c:v>45505</c:v>
                </c:pt>
                <c:pt idx="152">
                  <c:v>45536</c:v>
                </c:pt>
                <c:pt idx="153">
                  <c:v>45566</c:v>
                </c:pt>
                <c:pt idx="154">
                  <c:v>45597</c:v>
                </c:pt>
                <c:pt idx="155">
                  <c:v>45627</c:v>
                </c:pt>
                <c:pt idx="156">
                  <c:v>45658</c:v>
                </c:pt>
                <c:pt idx="157">
                  <c:v>45689</c:v>
                </c:pt>
                <c:pt idx="158">
                  <c:v>45717</c:v>
                </c:pt>
                <c:pt idx="159">
                  <c:v>45748</c:v>
                </c:pt>
                <c:pt idx="160">
                  <c:v>45778</c:v>
                </c:pt>
                <c:pt idx="161">
                  <c:v>45809</c:v>
                </c:pt>
                <c:pt idx="162">
                  <c:v>45839</c:v>
                </c:pt>
                <c:pt idx="163">
                  <c:v>45870</c:v>
                </c:pt>
                <c:pt idx="164">
                  <c:v>45901</c:v>
                </c:pt>
                <c:pt idx="165">
                  <c:v>45931</c:v>
                </c:pt>
                <c:pt idx="166">
                  <c:v>45962</c:v>
                </c:pt>
                <c:pt idx="167">
                  <c:v>45992</c:v>
                </c:pt>
                <c:pt idx="168">
                  <c:v>46023</c:v>
                </c:pt>
                <c:pt idx="169">
                  <c:v>46054</c:v>
                </c:pt>
                <c:pt idx="170">
                  <c:v>46082</c:v>
                </c:pt>
              </c:numCache>
            </c:numRef>
          </c:cat>
          <c:val>
            <c:numRef>
              <c:f>'Inc trend data'!$BA$418:$BA$588</c:f>
              <c:numCache>
                <c:formatCode>0.0;\-0.0;0.0;@</c:formatCode>
                <c:ptCount val="171"/>
                <c:pt idx="0">
                  <c:v>58.292117900000001</c:v>
                </c:pt>
                <c:pt idx="1">
                  <c:v>58.114159000000001</c:v>
                </c:pt>
                <c:pt idx="2">
                  <c:v>59.249064500000003</c:v>
                </c:pt>
                <c:pt idx="3">
                  <c:v>59.412925799999996</c:v>
                </c:pt>
                <c:pt idx="4">
                  <c:v>59.940159700000002</c:v>
                </c:pt>
                <c:pt idx="5">
                  <c:v>59.671722299999999</c:v>
                </c:pt>
                <c:pt idx="6">
                  <c:v>59.398239099999998</c:v>
                </c:pt>
                <c:pt idx="7">
                  <c:v>59.103344200000002</c:v>
                </c:pt>
                <c:pt idx="8">
                  <c:v>59.3204846</c:v>
                </c:pt>
                <c:pt idx="9">
                  <c:v>58.662860199999997</c:v>
                </c:pt>
                <c:pt idx="10">
                  <c:v>58.625093800000002</c:v>
                </c:pt>
                <c:pt idx="11">
                  <c:v>58.606196599999997</c:v>
                </c:pt>
                <c:pt idx="12">
                  <c:v>58.256529999999998</c:v>
                </c:pt>
                <c:pt idx="13">
                  <c:v>58.961773399999998</c:v>
                </c:pt>
                <c:pt idx="14">
                  <c:v>58.326698299999997</c:v>
                </c:pt>
                <c:pt idx="15">
                  <c:v>58.982976899999997</c:v>
                </c:pt>
                <c:pt idx="16">
                  <c:v>58.372491099999998</c:v>
                </c:pt>
                <c:pt idx="17">
                  <c:v>59.099413300000002</c:v>
                </c:pt>
                <c:pt idx="18">
                  <c:v>58.771451999999996</c:v>
                </c:pt>
                <c:pt idx="19">
                  <c:v>58.667917199999998</c:v>
                </c:pt>
                <c:pt idx="20">
                  <c:v>58.6925977</c:v>
                </c:pt>
                <c:pt idx="21">
                  <c:v>58.7701481</c:v>
                </c:pt>
                <c:pt idx="22">
                  <c:v>58.719680199999999</c:v>
                </c:pt>
                <c:pt idx="23">
                  <c:v>58.245272300000003</c:v>
                </c:pt>
                <c:pt idx="24">
                  <c:v>58.6728095</c:v>
                </c:pt>
                <c:pt idx="25">
                  <c:v>58.396741300000002</c:v>
                </c:pt>
                <c:pt idx="26">
                  <c:v>58.541728499999998</c:v>
                </c:pt>
                <c:pt idx="27">
                  <c:v>58.045848399999997</c:v>
                </c:pt>
                <c:pt idx="28">
                  <c:v>58.796064299999998</c:v>
                </c:pt>
                <c:pt idx="29">
                  <c:v>58.259577399999998</c:v>
                </c:pt>
                <c:pt idx="30">
                  <c:v>58.639211199999998</c:v>
                </c:pt>
                <c:pt idx="31">
                  <c:v>58.478442100000002</c:v>
                </c:pt>
                <c:pt idx="32">
                  <c:v>58.661038499999997</c:v>
                </c:pt>
                <c:pt idx="33">
                  <c:v>58.703358700000003</c:v>
                </c:pt>
                <c:pt idx="34">
                  <c:v>57.9955146</c:v>
                </c:pt>
                <c:pt idx="35">
                  <c:v>59.165435899999999</c:v>
                </c:pt>
                <c:pt idx="36">
                  <c:v>58.7408833</c:v>
                </c:pt>
                <c:pt idx="37">
                  <c:v>58.689110300000003</c:v>
                </c:pt>
                <c:pt idx="38">
                  <c:v>58.623095300000003</c:v>
                </c:pt>
                <c:pt idx="39">
                  <c:v>58.992560599999997</c:v>
                </c:pt>
                <c:pt idx="40">
                  <c:v>58.772959700000001</c:v>
                </c:pt>
                <c:pt idx="41">
                  <c:v>58.5436604</c:v>
                </c:pt>
                <c:pt idx="42">
                  <c:v>58.976565700000002</c:v>
                </c:pt>
                <c:pt idx="43">
                  <c:v>58.209351599999998</c:v>
                </c:pt>
                <c:pt idx="44">
                  <c:v>58.3309316</c:v>
                </c:pt>
                <c:pt idx="45">
                  <c:v>58.444107799999998</c:v>
                </c:pt>
                <c:pt idx="46">
                  <c:v>58.966980100000001</c:v>
                </c:pt>
                <c:pt idx="47">
                  <c:v>57.908899900000002</c:v>
                </c:pt>
                <c:pt idx="48">
                  <c:v>58.114091799999997</c:v>
                </c:pt>
                <c:pt idx="49">
                  <c:v>58.250220300000002</c:v>
                </c:pt>
                <c:pt idx="50">
                  <c:v>58.328537099999998</c:v>
                </c:pt>
                <c:pt idx="51">
                  <c:v>58.208703399999997</c:v>
                </c:pt>
                <c:pt idx="52">
                  <c:v>58.340262000000003</c:v>
                </c:pt>
                <c:pt idx="53">
                  <c:v>58.896242000000001</c:v>
                </c:pt>
                <c:pt idx="54">
                  <c:v>59.272963900000001</c:v>
                </c:pt>
                <c:pt idx="55">
                  <c:v>58.973075600000001</c:v>
                </c:pt>
                <c:pt idx="56">
                  <c:v>59.141875300000002</c:v>
                </c:pt>
                <c:pt idx="57">
                  <c:v>59.3374442</c:v>
                </c:pt>
                <c:pt idx="58">
                  <c:v>59.597157000000003</c:v>
                </c:pt>
                <c:pt idx="59">
                  <c:v>59.672308600000001</c:v>
                </c:pt>
                <c:pt idx="60">
                  <c:v>59.589182999999998</c:v>
                </c:pt>
                <c:pt idx="61">
                  <c:v>60.010375099999997</c:v>
                </c:pt>
                <c:pt idx="62">
                  <c:v>60.291400199999998</c:v>
                </c:pt>
                <c:pt idx="63">
                  <c:v>60.538179200000002</c:v>
                </c:pt>
                <c:pt idx="64">
                  <c:v>60.377415499999998</c:v>
                </c:pt>
                <c:pt idx="65">
                  <c:v>60.117506400000003</c:v>
                </c:pt>
                <c:pt idx="66">
                  <c:v>60.3221451</c:v>
                </c:pt>
                <c:pt idx="67">
                  <c:v>60.720295</c:v>
                </c:pt>
                <c:pt idx="68">
                  <c:v>60.928647900000001</c:v>
                </c:pt>
                <c:pt idx="69">
                  <c:v>60.3544786</c:v>
                </c:pt>
                <c:pt idx="70">
                  <c:v>60.646809900000001</c:v>
                </c:pt>
                <c:pt idx="71">
                  <c:v>60.650873900000001</c:v>
                </c:pt>
                <c:pt idx="72">
                  <c:v>60.306147299999999</c:v>
                </c:pt>
                <c:pt idx="73">
                  <c:v>59.875384699999998</c:v>
                </c:pt>
                <c:pt idx="74">
                  <c:v>59.977801800000002</c:v>
                </c:pt>
                <c:pt idx="75">
                  <c:v>59.685867399999999</c:v>
                </c:pt>
                <c:pt idx="76">
                  <c:v>59.839838100000001</c:v>
                </c:pt>
                <c:pt idx="77">
                  <c:v>59.953136999999998</c:v>
                </c:pt>
                <c:pt idx="78">
                  <c:v>59.775786799999999</c:v>
                </c:pt>
                <c:pt idx="79">
                  <c:v>59.319708599999998</c:v>
                </c:pt>
                <c:pt idx="80">
                  <c:v>59.706287699999997</c:v>
                </c:pt>
                <c:pt idx="81">
                  <c:v>59.745246700000003</c:v>
                </c:pt>
                <c:pt idx="82">
                  <c:v>60.301741499999999</c:v>
                </c:pt>
                <c:pt idx="83">
                  <c:v>60.3814232</c:v>
                </c:pt>
                <c:pt idx="84">
                  <c:v>60.323536599999997</c:v>
                </c:pt>
                <c:pt idx="85">
                  <c:v>60.403534899999997</c:v>
                </c:pt>
                <c:pt idx="86">
                  <c:v>60.118265600000001</c:v>
                </c:pt>
                <c:pt idx="87">
                  <c:v>60.979728000000001</c:v>
                </c:pt>
                <c:pt idx="88">
                  <c:v>60.430005000000001</c:v>
                </c:pt>
                <c:pt idx="89">
                  <c:v>60.601784000000002</c:v>
                </c:pt>
                <c:pt idx="90">
                  <c:v>60.834042699999998</c:v>
                </c:pt>
                <c:pt idx="91">
                  <c:v>61.5615959</c:v>
                </c:pt>
                <c:pt idx="92">
                  <c:v>61.228378499999998</c:v>
                </c:pt>
                <c:pt idx="93">
                  <c:v>61.673517099999998</c:v>
                </c:pt>
                <c:pt idx="94">
                  <c:v>61.370391900000001</c:v>
                </c:pt>
                <c:pt idx="95">
                  <c:v>61.884601400000001</c:v>
                </c:pt>
                <c:pt idx="96">
                  <c:v>62.121765600000003</c:v>
                </c:pt>
                <c:pt idx="97">
                  <c:v>61.388529200000001</c:v>
                </c:pt>
                <c:pt idx="98">
                  <c:v>61.378398400000002</c:v>
                </c:pt>
                <c:pt idx="99">
                  <c:v>58.924678999999998</c:v>
                </c:pt>
                <c:pt idx="100">
                  <c:v>57.965522999999997</c:v>
                </c:pt>
                <c:pt idx="101">
                  <c:v>59.074763500000003</c:v>
                </c:pt>
                <c:pt idx="102">
                  <c:v>59.149994100000001</c:v>
                </c:pt>
                <c:pt idx="103">
                  <c:v>58.594309899999999</c:v>
                </c:pt>
                <c:pt idx="104">
                  <c:v>57.281570199999997</c:v>
                </c:pt>
                <c:pt idx="105">
                  <c:v>58.982086600000002</c:v>
                </c:pt>
                <c:pt idx="106">
                  <c:v>60.639981400000003</c:v>
                </c:pt>
                <c:pt idx="107">
                  <c:v>60.4846425</c:v>
                </c:pt>
                <c:pt idx="108">
                  <c:v>61.078251000000002</c:v>
                </c:pt>
                <c:pt idx="109">
                  <c:v>61.283066300000002</c:v>
                </c:pt>
                <c:pt idx="110">
                  <c:v>61.633037199999997</c:v>
                </c:pt>
                <c:pt idx="111">
                  <c:v>61.448951200000003</c:v>
                </c:pt>
                <c:pt idx="112">
                  <c:v>61.367761999999999</c:v>
                </c:pt>
                <c:pt idx="113">
                  <c:v>60.605339600000001</c:v>
                </c:pt>
                <c:pt idx="114">
                  <c:v>61.421141200000001</c:v>
                </c:pt>
                <c:pt idx="115">
                  <c:v>61.824301200000001</c:v>
                </c:pt>
                <c:pt idx="116">
                  <c:v>59.375621000000002</c:v>
                </c:pt>
                <c:pt idx="117">
                  <c:v>59.248817899999999</c:v>
                </c:pt>
                <c:pt idx="118">
                  <c:v>61.721258599999999</c:v>
                </c:pt>
                <c:pt idx="119">
                  <c:v>61.912167599999997</c:v>
                </c:pt>
                <c:pt idx="120">
                  <c:v>62.258436000000003</c:v>
                </c:pt>
                <c:pt idx="121">
                  <c:v>62.107698999999997</c:v>
                </c:pt>
                <c:pt idx="122">
                  <c:v>62.026726699999998</c:v>
                </c:pt>
                <c:pt idx="123">
                  <c:v>62.3733918</c:v>
                </c:pt>
                <c:pt idx="124">
                  <c:v>61.702652200000003</c:v>
                </c:pt>
                <c:pt idx="125">
                  <c:v>61.977897400000003</c:v>
                </c:pt>
                <c:pt idx="126">
                  <c:v>61.7390787</c:v>
                </c:pt>
                <c:pt idx="127">
                  <c:v>62.5006962</c:v>
                </c:pt>
                <c:pt idx="128">
                  <c:v>61.605052000000001</c:v>
                </c:pt>
                <c:pt idx="129">
                  <c:v>62.302464899999997</c:v>
                </c:pt>
                <c:pt idx="130">
                  <c:v>62.576290700000001</c:v>
                </c:pt>
                <c:pt idx="131">
                  <c:v>62.0354478</c:v>
                </c:pt>
                <c:pt idx="132">
                  <c:v>61.794098300000002</c:v>
                </c:pt>
                <c:pt idx="133">
                  <c:v>62.199182800000003</c:v>
                </c:pt>
                <c:pt idx="134">
                  <c:v>63.459991600000002</c:v>
                </c:pt>
                <c:pt idx="135">
                  <c:v>62.587285299999998</c:v>
                </c:pt>
                <c:pt idx="136">
                  <c:v>62.850468399999997</c:v>
                </c:pt>
                <c:pt idx="137">
                  <c:v>63.299583900000002</c:v>
                </c:pt>
                <c:pt idx="138">
                  <c:v>63.215192199999997</c:v>
                </c:pt>
                <c:pt idx="139">
                  <c:v>63.041791600000003</c:v>
                </c:pt>
                <c:pt idx="140">
                  <c:v>63.312280399999999</c:v>
                </c:pt>
                <c:pt idx="141">
                  <c:v>63.745052999999999</c:v>
                </c:pt>
                <c:pt idx="142">
                  <c:v>63.338810500000001</c:v>
                </c:pt>
                <c:pt idx="143">
                  <c:v>63.1129812</c:v>
                </c:pt>
                <c:pt idx="144">
                  <c:v>62.6646103</c:v>
                </c:pt>
                <c:pt idx="145">
                  <c:v>63.269580500000004</c:v>
                </c:pt>
                <c:pt idx="146">
                  <c:v>62.892978499999998</c:v>
                </c:pt>
                <c:pt idx="147">
                  <c:v>62.842342600000002</c:v>
                </c:pt>
                <c:pt idx="148">
                  <c:v>63.077390200000004</c:v>
                </c:pt>
                <c:pt idx="149">
                  <c:v>63.082980999999997</c:v>
                </c:pt>
                <c:pt idx="150">
                  <c:v>63.126960400000002</c:v>
                </c:pt>
                <c:pt idx="151">
                  <c:v>63.2067032</c:v>
                </c:pt>
                <c:pt idx="152">
                  <c:v>63.485132900000004</c:v>
                </c:pt>
                <c:pt idx="153">
                  <c:v>63.237076100000003</c:v>
                </c:pt>
                <c:pt idx="154">
                  <c:v>62.8784043</c:v>
                </c:pt>
                <c:pt idx="155">
                  <c:v>63.198237399999996</c:v>
                </c:pt>
                <c:pt idx="156">
                  <c:v>63.676270899999999</c:v>
                </c:pt>
                <c:pt idx="157">
                  <c:v>62.7690938</c:v>
                </c:pt>
                <c:pt idx="158">
                  <c:v>63.1445972</c:v>
                </c:pt>
                <c:pt idx="159">
                  <c:v>63.749733999999997</c:v>
                </c:pt>
                <c:pt idx="160">
                  <c:v>63.740818400000002</c:v>
                </c:pt>
                <c:pt idx="161">
                  <c:v>63.661926999999999</c:v>
                </c:pt>
                <c:pt idx="162">
                  <c:v>63.9288101</c:v>
                </c:pt>
                <c:pt idx="163">
                  <c:v>63.9338865</c:v>
                </c:pt>
                <c:pt idx="164">
                  <c:v>64.009814599999999</c:v>
                </c:pt>
                <c:pt idx="165">
                  <c:v>63.732483199999997</c:v>
                </c:pt>
                <c:pt idx="166">
                  <c:v>64.012006900000003</c:v>
                </c:pt>
                <c:pt idx="167">
                  <c:v>63.732840000000003</c:v>
                </c:pt>
                <c:pt idx="168">
                  <c:v>63.390666500000002</c:v>
                </c:pt>
                <c:pt idx="169">
                  <c:v>63.543395400000001</c:v>
                </c:pt>
                <c:pt idx="170">
                  <c:v>62.933427299999998</c:v>
                </c:pt>
              </c:numCache>
            </c:numRef>
          </c:val>
          <c:smooth val="0"/>
          <c:extLst>
            <c:ext xmlns:c16="http://schemas.microsoft.com/office/drawing/2014/chart" uri="{C3380CC4-5D6E-409C-BE32-E72D297353CC}">
              <c16:uniqueId val="{00000001-BD4E-4D5B-99B3-42345511DD5F}"/>
            </c:ext>
          </c:extLst>
        </c:ser>
        <c:dLbls>
          <c:showLegendKey val="0"/>
          <c:showVal val="0"/>
          <c:showCatName val="0"/>
          <c:showSerName val="0"/>
          <c:showPercent val="0"/>
          <c:showBubbleSize val="0"/>
        </c:dLbls>
        <c:smooth val="0"/>
        <c:axId val="419615552"/>
        <c:axId val="398085248"/>
      </c:lineChart>
      <c:dateAx>
        <c:axId val="419615552"/>
        <c:scaling>
          <c:orientation val="minMax"/>
        </c:scaling>
        <c:delete val="0"/>
        <c:axPos val="b"/>
        <c:numFmt formatCode="yyyy" sourceLinked="0"/>
        <c:majorTickMark val="out"/>
        <c:minorTickMark val="none"/>
        <c:tickLblPos val="nextTo"/>
        <c:spPr>
          <a:noFill/>
          <a:ln w="9525" cap="flat" cmpd="sng" algn="ctr">
            <a:solidFill>
              <a:schemeClr val="tx1">
                <a:lumMod val="65000"/>
                <a:lumOff val="35000"/>
              </a:schemeClr>
            </a:solidFill>
            <a:round/>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Calibri" panose="020F0502020204030204" pitchFamily="34" charset="0"/>
                <a:ea typeface="Calibri" panose="020F0502020204030204" pitchFamily="34" charset="0"/>
                <a:cs typeface="Calibri" panose="020F0502020204030204" pitchFamily="34" charset="0"/>
              </a:defRPr>
            </a:pPr>
            <a:endParaRPr lang="en-US"/>
          </a:p>
        </c:txPr>
        <c:crossAx val="398085248"/>
        <c:crosses val="autoZero"/>
        <c:auto val="1"/>
        <c:lblOffset val="100"/>
        <c:baseTimeUnit val="months"/>
        <c:majorUnit val="34"/>
        <c:majorTimeUnit val="months"/>
      </c:dateAx>
      <c:valAx>
        <c:axId val="398085248"/>
        <c:scaling>
          <c:orientation val="minMax"/>
          <c:min val="55"/>
        </c:scaling>
        <c:delete val="0"/>
        <c:axPos val="l"/>
        <c:majorGridlines>
          <c:spPr>
            <a:ln w="6350" cap="flat" cmpd="sng" algn="ctr">
              <a:solidFill>
                <a:schemeClr val="tx1">
                  <a:lumMod val="15000"/>
                  <a:lumOff val="85000"/>
                </a:schemeClr>
              </a:solidFill>
              <a:prstDash val="dash"/>
              <a:round/>
            </a:ln>
            <a:effectLst/>
          </c:spPr>
        </c:majorGridlines>
        <c:title>
          <c:tx>
            <c:rich>
              <a:bodyPr rot="-5400000" spcFirstLastPara="1" vertOverflow="ellipsis" vert="horz" wrap="square" anchor="ctr" anchorCtr="1"/>
              <a:lstStyle/>
              <a:p>
                <a:pPr>
                  <a:defRPr sz="900" b="0" i="1" u="none" strike="noStrike" kern="1200" baseline="0">
                    <a:solidFill>
                      <a:schemeClr val="tx1">
                        <a:lumMod val="65000"/>
                        <a:lumOff val="35000"/>
                      </a:schemeClr>
                    </a:solidFill>
                    <a:latin typeface="Calibri" panose="020F0502020204030204" pitchFamily="34" charset="0"/>
                    <a:ea typeface="Calibri" panose="020F0502020204030204" pitchFamily="34" charset="0"/>
                    <a:cs typeface="Calibri" panose="020F0502020204030204" pitchFamily="34" charset="0"/>
                  </a:defRPr>
                </a:pPr>
                <a:r>
                  <a:rPr lang="en-US" i="1"/>
                  <a:t>per cent</a:t>
                </a:r>
              </a:p>
            </c:rich>
          </c:tx>
          <c:overlay val="0"/>
          <c:spPr>
            <a:noFill/>
            <a:ln>
              <a:noFill/>
            </a:ln>
            <a:effectLst/>
          </c:spPr>
          <c:txPr>
            <a:bodyPr rot="-5400000" spcFirstLastPara="1" vertOverflow="ellipsis" vert="horz" wrap="square" anchor="ctr" anchorCtr="1"/>
            <a:lstStyle/>
            <a:p>
              <a:pPr>
                <a:defRPr sz="900" b="0" i="1" u="none" strike="noStrike" kern="1200" baseline="0">
                  <a:solidFill>
                    <a:schemeClr val="tx1">
                      <a:lumMod val="65000"/>
                      <a:lumOff val="35000"/>
                    </a:schemeClr>
                  </a:solidFill>
                  <a:latin typeface="Calibri" panose="020F0502020204030204" pitchFamily="34" charset="0"/>
                  <a:ea typeface="Calibri" panose="020F0502020204030204" pitchFamily="34" charset="0"/>
                  <a:cs typeface="Calibri" panose="020F0502020204030204" pitchFamily="34" charset="0"/>
                </a:defRPr>
              </a:pPr>
              <a:endParaRPr lang="en-US"/>
            </a:p>
          </c:txPr>
        </c:title>
        <c:numFmt formatCode="#,##0" sourceLinked="0"/>
        <c:majorTickMark val="none"/>
        <c:minorTickMark val="none"/>
        <c:tickLblPos val="nextTo"/>
        <c:spPr>
          <a:noFill/>
          <a:ln>
            <a:solidFill>
              <a:schemeClr val="tx1">
                <a:lumMod val="65000"/>
                <a:lumOff val="35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libri" panose="020F0502020204030204" pitchFamily="34" charset="0"/>
                <a:ea typeface="Calibri" panose="020F0502020204030204" pitchFamily="34" charset="0"/>
                <a:cs typeface="Calibri" panose="020F0502020204030204" pitchFamily="34" charset="0"/>
              </a:defRPr>
            </a:pPr>
            <a:endParaRPr lang="en-US"/>
          </a:p>
        </c:txPr>
        <c:crossAx val="419615552"/>
        <c:crosses val="autoZero"/>
        <c:crossBetween val="between"/>
        <c:majorUnit val="2"/>
      </c:valAx>
      <c:spPr>
        <a:noFill/>
        <a:ln>
          <a:noFill/>
        </a:ln>
        <a:effectLst/>
      </c:spPr>
    </c:plotArea>
    <c:legend>
      <c:legendPos val="b"/>
      <c:layout>
        <c:manualLayout>
          <c:xMode val="edge"/>
          <c:yMode val="edge"/>
          <c:x val="0.16630104279754254"/>
          <c:y val="0.890421310972492"/>
          <c:w val="0.68852839512335129"/>
          <c:h val="0.1095786890275079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Calibri" panose="020F0502020204030204" pitchFamily="34" charset="0"/>
              <a:ea typeface="Calibri" panose="020F0502020204030204" pitchFamily="34" charset="0"/>
              <a:cs typeface="Calibri" panose="020F0502020204030204" pitchFamily="34"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sz="900">
          <a:latin typeface="Calibri" panose="020F0502020204030204" pitchFamily="34" charset="0"/>
          <a:ea typeface="Calibri" panose="020F0502020204030204" pitchFamily="34" charset="0"/>
          <a:cs typeface="Calibri" panose="020F0502020204030204" pitchFamily="34" charset="0"/>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50" b="1" i="0" u="none" strike="noStrike" kern="1200" spc="0" baseline="0">
                <a:solidFill>
                  <a:schemeClr val="tx1">
                    <a:lumMod val="65000"/>
                    <a:lumOff val="35000"/>
                  </a:schemeClr>
                </a:solidFill>
                <a:latin typeface="Calibri" panose="020F0502020204030204" pitchFamily="34" charset="0"/>
                <a:ea typeface="Calibri" panose="020F0502020204030204" pitchFamily="34" charset="0"/>
                <a:cs typeface="Calibri" panose="020F0502020204030204" pitchFamily="34" charset="0"/>
              </a:defRPr>
            </a:pPr>
            <a:r>
              <a:rPr lang="en-AU" sz="850" b="1"/>
              <a:t>Employment-to-population</a:t>
            </a:r>
          </a:p>
        </c:rich>
      </c:tx>
      <c:layout>
        <c:manualLayout>
          <c:xMode val="edge"/>
          <c:yMode val="edge"/>
          <c:x val="0.24871701410999028"/>
          <c:y val="4.636665500570623E-3"/>
        </c:manualLayout>
      </c:layout>
      <c:overlay val="0"/>
      <c:spPr>
        <a:noFill/>
        <a:ln>
          <a:noFill/>
        </a:ln>
        <a:effectLst/>
      </c:spPr>
      <c:txPr>
        <a:bodyPr rot="0" spcFirstLastPara="1" vertOverflow="ellipsis" vert="horz" wrap="square" anchor="ctr" anchorCtr="1"/>
        <a:lstStyle/>
        <a:p>
          <a:pPr>
            <a:defRPr sz="850" b="1" i="0" u="none" strike="noStrike" kern="1200" spc="0" baseline="0">
              <a:solidFill>
                <a:schemeClr val="tx1">
                  <a:lumMod val="65000"/>
                  <a:lumOff val="35000"/>
                </a:schemeClr>
              </a:solidFill>
              <a:latin typeface="Calibri" panose="020F0502020204030204" pitchFamily="34" charset="0"/>
              <a:ea typeface="Calibri" panose="020F0502020204030204" pitchFamily="34" charset="0"/>
              <a:cs typeface="Calibri" panose="020F0502020204030204" pitchFamily="34" charset="0"/>
            </a:defRPr>
          </a:pPr>
          <a:endParaRPr lang="en-US"/>
        </a:p>
      </c:txPr>
    </c:title>
    <c:autoTitleDeleted val="0"/>
    <c:plotArea>
      <c:layout>
        <c:manualLayout>
          <c:layoutTarget val="inner"/>
          <c:xMode val="edge"/>
          <c:yMode val="edge"/>
          <c:x val="0.18453355015405684"/>
          <c:y val="0.11425732737208147"/>
          <c:w val="0.75568384115029086"/>
          <c:h val="0.66299159142785358"/>
        </c:manualLayout>
      </c:layout>
      <c:lineChart>
        <c:grouping val="standard"/>
        <c:varyColors val="0"/>
        <c:ser>
          <c:idx val="0"/>
          <c:order val="0"/>
          <c:tx>
            <c:v>Australia</c:v>
          </c:tx>
          <c:spPr>
            <a:ln w="19050" cap="rnd">
              <a:solidFill>
                <a:schemeClr val="bg1">
                  <a:lumMod val="65000"/>
                </a:schemeClr>
              </a:solidFill>
              <a:round/>
            </a:ln>
            <a:effectLst/>
          </c:spPr>
          <c:marker>
            <c:symbol val="none"/>
          </c:marker>
          <c:cat>
            <c:numRef>
              <c:f>'Inc trend data'!$A$418:$A$588</c:f>
              <c:numCache>
                <c:formatCode>mmm\-yyyy</c:formatCode>
                <c:ptCount val="171"/>
                <c:pt idx="0">
                  <c:v>40909</c:v>
                </c:pt>
                <c:pt idx="1">
                  <c:v>40940</c:v>
                </c:pt>
                <c:pt idx="2">
                  <c:v>40969</c:v>
                </c:pt>
                <c:pt idx="3">
                  <c:v>41000</c:v>
                </c:pt>
                <c:pt idx="4">
                  <c:v>41030</c:v>
                </c:pt>
                <c:pt idx="5">
                  <c:v>41061</c:v>
                </c:pt>
                <c:pt idx="6">
                  <c:v>41091</c:v>
                </c:pt>
                <c:pt idx="7">
                  <c:v>41122</c:v>
                </c:pt>
                <c:pt idx="8">
                  <c:v>41153</c:v>
                </c:pt>
                <c:pt idx="9">
                  <c:v>41183</c:v>
                </c:pt>
                <c:pt idx="10">
                  <c:v>41214</c:v>
                </c:pt>
                <c:pt idx="11">
                  <c:v>41244</c:v>
                </c:pt>
                <c:pt idx="12">
                  <c:v>41275</c:v>
                </c:pt>
                <c:pt idx="13">
                  <c:v>41306</c:v>
                </c:pt>
                <c:pt idx="14">
                  <c:v>41334</c:v>
                </c:pt>
                <c:pt idx="15">
                  <c:v>41365</c:v>
                </c:pt>
                <c:pt idx="16">
                  <c:v>41395</c:v>
                </c:pt>
                <c:pt idx="17">
                  <c:v>41426</c:v>
                </c:pt>
                <c:pt idx="18">
                  <c:v>41456</c:v>
                </c:pt>
                <c:pt idx="19">
                  <c:v>41487</c:v>
                </c:pt>
                <c:pt idx="20">
                  <c:v>41518</c:v>
                </c:pt>
                <c:pt idx="21">
                  <c:v>41548</c:v>
                </c:pt>
                <c:pt idx="22">
                  <c:v>41579</c:v>
                </c:pt>
                <c:pt idx="23">
                  <c:v>41609</c:v>
                </c:pt>
                <c:pt idx="24">
                  <c:v>41640</c:v>
                </c:pt>
                <c:pt idx="25">
                  <c:v>41671</c:v>
                </c:pt>
                <c:pt idx="26">
                  <c:v>41699</c:v>
                </c:pt>
                <c:pt idx="27">
                  <c:v>41730</c:v>
                </c:pt>
                <c:pt idx="28">
                  <c:v>41760</c:v>
                </c:pt>
                <c:pt idx="29">
                  <c:v>41791</c:v>
                </c:pt>
                <c:pt idx="30">
                  <c:v>41821</c:v>
                </c:pt>
                <c:pt idx="31">
                  <c:v>41852</c:v>
                </c:pt>
                <c:pt idx="32">
                  <c:v>41883</c:v>
                </c:pt>
                <c:pt idx="33">
                  <c:v>41913</c:v>
                </c:pt>
                <c:pt idx="34">
                  <c:v>41944</c:v>
                </c:pt>
                <c:pt idx="35">
                  <c:v>41974</c:v>
                </c:pt>
                <c:pt idx="36">
                  <c:v>42005</c:v>
                </c:pt>
                <c:pt idx="37">
                  <c:v>42036</c:v>
                </c:pt>
                <c:pt idx="38">
                  <c:v>42064</c:v>
                </c:pt>
                <c:pt idx="39">
                  <c:v>42095</c:v>
                </c:pt>
                <c:pt idx="40">
                  <c:v>42125</c:v>
                </c:pt>
                <c:pt idx="41">
                  <c:v>42156</c:v>
                </c:pt>
                <c:pt idx="42">
                  <c:v>42186</c:v>
                </c:pt>
                <c:pt idx="43">
                  <c:v>42217</c:v>
                </c:pt>
                <c:pt idx="44">
                  <c:v>42248</c:v>
                </c:pt>
                <c:pt idx="45">
                  <c:v>42278</c:v>
                </c:pt>
                <c:pt idx="46">
                  <c:v>42309</c:v>
                </c:pt>
                <c:pt idx="47">
                  <c:v>42339</c:v>
                </c:pt>
                <c:pt idx="48">
                  <c:v>42370</c:v>
                </c:pt>
                <c:pt idx="49">
                  <c:v>42401</c:v>
                </c:pt>
                <c:pt idx="50">
                  <c:v>42430</c:v>
                </c:pt>
                <c:pt idx="51">
                  <c:v>42461</c:v>
                </c:pt>
                <c:pt idx="52">
                  <c:v>42491</c:v>
                </c:pt>
                <c:pt idx="53">
                  <c:v>42522</c:v>
                </c:pt>
                <c:pt idx="54">
                  <c:v>42552</c:v>
                </c:pt>
                <c:pt idx="55">
                  <c:v>42583</c:v>
                </c:pt>
                <c:pt idx="56">
                  <c:v>42614</c:v>
                </c:pt>
                <c:pt idx="57">
                  <c:v>42644</c:v>
                </c:pt>
                <c:pt idx="58">
                  <c:v>42675</c:v>
                </c:pt>
                <c:pt idx="59">
                  <c:v>42705</c:v>
                </c:pt>
                <c:pt idx="60">
                  <c:v>42736</c:v>
                </c:pt>
                <c:pt idx="61">
                  <c:v>42767</c:v>
                </c:pt>
                <c:pt idx="62">
                  <c:v>42795</c:v>
                </c:pt>
                <c:pt idx="63">
                  <c:v>42826</c:v>
                </c:pt>
                <c:pt idx="64">
                  <c:v>42856</c:v>
                </c:pt>
                <c:pt idx="65">
                  <c:v>42887</c:v>
                </c:pt>
                <c:pt idx="66">
                  <c:v>42917</c:v>
                </c:pt>
                <c:pt idx="67">
                  <c:v>42948</c:v>
                </c:pt>
                <c:pt idx="68">
                  <c:v>42979</c:v>
                </c:pt>
                <c:pt idx="69">
                  <c:v>43009</c:v>
                </c:pt>
                <c:pt idx="70">
                  <c:v>43040</c:v>
                </c:pt>
                <c:pt idx="71">
                  <c:v>43070</c:v>
                </c:pt>
                <c:pt idx="72">
                  <c:v>43101</c:v>
                </c:pt>
                <c:pt idx="73">
                  <c:v>43132</c:v>
                </c:pt>
                <c:pt idx="74">
                  <c:v>43160</c:v>
                </c:pt>
                <c:pt idx="75">
                  <c:v>43191</c:v>
                </c:pt>
                <c:pt idx="76">
                  <c:v>43221</c:v>
                </c:pt>
                <c:pt idx="77">
                  <c:v>43252</c:v>
                </c:pt>
                <c:pt idx="78">
                  <c:v>43282</c:v>
                </c:pt>
                <c:pt idx="79">
                  <c:v>43313</c:v>
                </c:pt>
                <c:pt idx="80">
                  <c:v>43344</c:v>
                </c:pt>
                <c:pt idx="81">
                  <c:v>43374</c:v>
                </c:pt>
                <c:pt idx="82">
                  <c:v>43405</c:v>
                </c:pt>
                <c:pt idx="83">
                  <c:v>43435</c:v>
                </c:pt>
                <c:pt idx="84">
                  <c:v>43466</c:v>
                </c:pt>
                <c:pt idx="85">
                  <c:v>43497</c:v>
                </c:pt>
                <c:pt idx="86">
                  <c:v>43525</c:v>
                </c:pt>
                <c:pt idx="87">
                  <c:v>43556</c:v>
                </c:pt>
                <c:pt idx="88">
                  <c:v>43586</c:v>
                </c:pt>
                <c:pt idx="89">
                  <c:v>43617</c:v>
                </c:pt>
                <c:pt idx="90">
                  <c:v>43647</c:v>
                </c:pt>
                <c:pt idx="91">
                  <c:v>43678</c:v>
                </c:pt>
                <c:pt idx="92">
                  <c:v>43709</c:v>
                </c:pt>
                <c:pt idx="93">
                  <c:v>43739</c:v>
                </c:pt>
                <c:pt idx="94">
                  <c:v>43770</c:v>
                </c:pt>
                <c:pt idx="95">
                  <c:v>43800</c:v>
                </c:pt>
                <c:pt idx="96">
                  <c:v>43831</c:v>
                </c:pt>
                <c:pt idx="97">
                  <c:v>43862</c:v>
                </c:pt>
                <c:pt idx="98">
                  <c:v>43891</c:v>
                </c:pt>
                <c:pt idx="99">
                  <c:v>43922</c:v>
                </c:pt>
                <c:pt idx="100">
                  <c:v>43952</c:v>
                </c:pt>
                <c:pt idx="101">
                  <c:v>43983</c:v>
                </c:pt>
                <c:pt idx="102">
                  <c:v>44013</c:v>
                </c:pt>
                <c:pt idx="103">
                  <c:v>44044</c:v>
                </c:pt>
                <c:pt idx="104">
                  <c:v>44075</c:v>
                </c:pt>
                <c:pt idx="105">
                  <c:v>44105</c:v>
                </c:pt>
                <c:pt idx="106">
                  <c:v>44136</c:v>
                </c:pt>
                <c:pt idx="107">
                  <c:v>44166</c:v>
                </c:pt>
                <c:pt idx="108">
                  <c:v>44197</c:v>
                </c:pt>
                <c:pt idx="109">
                  <c:v>44228</c:v>
                </c:pt>
                <c:pt idx="110">
                  <c:v>44256</c:v>
                </c:pt>
                <c:pt idx="111">
                  <c:v>44287</c:v>
                </c:pt>
                <c:pt idx="112">
                  <c:v>44317</c:v>
                </c:pt>
                <c:pt idx="113">
                  <c:v>44348</c:v>
                </c:pt>
                <c:pt idx="114">
                  <c:v>44378</c:v>
                </c:pt>
                <c:pt idx="115">
                  <c:v>44409</c:v>
                </c:pt>
                <c:pt idx="116">
                  <c:v>44440</c:v>
                </c:pt>
                <c:pt idx="117">
                  <c:v>44470</c:v>
                </c:pt>
                <c:pt idx="118">
                  <c:v>44501</c:v>
                </c:pt>
                <c:pt idx="119">
                  <c:v>44531</c:v>
                </c:pt>
                <c:pt idx="120">
                  <c:v>44562</c:v>
                </c:pt>
                <c:pt idx="121">
                  <c:v>44593</c:v>
                </c:pt>
                <c:pt idx="122">
                  <c:v>44621</c:v>
                </c:pt>
                <c:pt idx="123">
                  <c:v>44652</c:v>
                </c:pt>
                <c:pt idx="124">
                  <c:v>44682</c:v>
                </c:pt>
                <c:pt idx="125">
                  <c:v>44713</c:v>
                </c:pt>
                <c:pt idx="126">
                  <c:v>44743</c:v>
                </c:pt>
                <c:pt idx="127">
                  <c:v>44774</c:v>
                </c:pt>
                <c:pt idx="128">
                  <c:v>44805</c:v>
                </c:pt>
                <c:pt idx="129">
                  <c:v>44835</c:v>
                </c:pt>
                <c:pt idx="130">
                  <c:v>44866</c:v>
                </c:pt>
                <c:pt idx="131">
                  <c:v>44896</c:v>
                </c:pt>
                <c:pt idx="132">
                  <c:v>44927</c:v>
                </c:pt>
                <c:pt idx="133">
                  <c:v>44958</c:v>
                </c:pt>
                <c:pt idx="134">
                  <c:v>44986</c:v>
                </c:pt>
                <c:pt idx="135">
                  <c:v>45017</c:v>
                </c:pt>
                <c:pt idx="136">
                  <c:v>45047</c:v>
                </c:pt>
                <c:pt idx="137">
                  <c:v>45078</c:v>
                </c:pt>
                <c:pt idx="138">
                  <c:v>45108</c:v>
                </c:pt>
                <c:pt idx="139">
                  <c:v>45139</c:v>
                </c:pt>
                <c:pt idx="140">
                  <c:v>45170</c:v>
                </c:pt>
                <c:pt idx="141">
                  <c:v>45200</c:v>
                </c:pt>
                <c:pt idx="142">
                  <c:v>45231</c:v>
                </c:pt>
                <c:pt idx="143">
                  <c:v>45261</c:v>
                </c:pt>
                <c:pt idx="144">
                  <c:v>45292</c:v>
                </c:pt>
                <c:pt idx="145">
                  <c:v>45323</c:v>
                </c:pt>
                <c:pt idx="146">
                  <c:v>45352</c:v>
                </c:pt>
                <c:pt idx="147">
                  <c:v>45383</c:v>
                </c:pt>
                <c:pt idx="148">
                  <c:v>45413</c:v>
                </c:pt>
                <c:pt idx="149">
                  <c:v>45444</c:v>
                </c:pt>
                <c:pt idx="150">
                  <c:v>45474</c:v>
                </c:pt>
                <c:pt idx="151">
                  <c:v>45505</c:v>
                </c:pt>
                <c:pt idx="152">
                  <c:v>45536</c:v>
                </c:pt>
                <c:pt idx="153">
                  <c:v>45566</c:v>
                </c:pt>
                <c:pt idx="154">
                  <c:v>45597</c:v>
                </c:pt>
                <c:pt idx="155">
                  <c:v>45627</c:v>
                </c:pt>
                <c:pt idx="156">
                  <c:v>45658</c:v>
                </c:pt>
                <c:pt idx="157">
                  <c:v>45689</c:v>
                </c:pt>
                <c:pt idx="158">
                  <c:v>45717</c:v>
                </c:pt>
                <c:pt idx="159">
                  <c:v>45748</c:v>
                </c:pt>
                <c:pt idx="160">
                  <c:v>45778</c:v>
                </c:pt>
                <c:pt idx="161">
                  <c:v>45809</c:v>
                </c:pt>
                <c:pt idx="162">
                  <c:v>45839</c:v>
                </c:pt>
                <c:pt idx="163">
                  <c:v>45870</c:v>
                </c:pt>
                <c:pt idx="164">
                  <c:v>45901</c:v>
                </c:pt>
                <c:pt idx="165">
                  <c:v>45931</c:v>
                </c:pt>
                <c:pt idx="166">
                  <c:v>45962</c:v>
                </c:pt>
                <c:pt idx="167">
                  <c:v>45992</c:v>
                </c:pt>
                <c:pt idx="168">
                  <c:v>46023</c:v>
                </c:pt>
                <c:pt idx="169">
                  <c:v>46054</c:v>
                </c:pt>
                <c:pt idx="170">
                  <c:v>46082</c:v>
                </c:pt>
              </c:numCache>
            </c:numRef>
          </c:cat>
          <c:val>
            <c:numRef>
              <c:f>'Inc trend data'!$S$418:$S$588</c:f>
              <c:numCache>
                <c:formatCode>0.0;\-0.0;0.0;@</c:formatCode>
                <c:ptCount val="171"/>
                <c:pt idx="0">
                  <c:v>55.606305800000001</c:v>
                </c:pt>
                <c:pt idx="1">
                  <c:v>55.477786700000003</c:v>
                </c:pt>
                <c:pt idx="2">
                  <c:v>55.949025900000002</c:v>
                </c:pt>
                <c:pt idx="3">
                  <c:v>55.6098882</c:v>
                </c:pt>
                <c:pt idx="4">
                  <c:v>55.875701999999997</c:v>
                </c:pt>
                <c:pt idx="5">
                  <c:v>55.546710400000002</c:v>
                </c:pt>
                <c:pt idx="6">
                  <c:v>55.715046299999997</c:v>
                </c:pt>
                <c:pt idx="7">
                  <c:v>55.664013699999998</c:v>
                </c:pt>
                <c:pt idx="8">
                  <c:v>55.905655500000002</c:v>
                </c:pt>
                <c:pt idx="9">
                  <c:v>55.5383262</c:v>
                </c:pt>
                <c:pt idx="10">
                  <c:v>55.540136799999999</c:v>
                </c:pt>
                <c:pt idx="11">
                  <c:v>55.354538900000001</c:v>
                </c:pt>
                <c:pt idx="12">
                  <c:v>55.695678100000002</c:v>
                </c:pt>
                <c:pt idx="13">
                  <c:v>55.745918199999998</c:v>
                </c:pt>
                <c:pt idx="14">
                  <c:v>55.554475199999999</c:v>
                </c:pt>
                <c:pt idx="15">
                  <c:v>55.675658800000001</c:v>
                </c:pt>
                <c:pt idx="16">
                  <c:v>55.388018299999999</c:v>
                </c:pt>
                <c:pt idx="17">
                  <c:v>55.412293400000003</c:v>
                </c:pt>
                <c:pt idx="18">
                  <c:v>55.384146399999999</c:v>
                </c:pt>
                <c:pt idx="19">
                  <c:v>55.337992300000003</c:v>
                </c:pt>
                <c:pt idx="20">
                  <c:v>55.343397199999998</c:v>
                </c:pt>
                <c:pt idx="21">
                  <c:v>55.316883599999997</c:v>
                </c:pt>
                <c:pt idx="22">
                  <c:v>55.103309199999998</c:v>
                </c:pt>
                <c:pt idx="23">
                  <c:v>54.886067199999999</c:v>
                </c:pt>
                <c:pt idx="24">
                  <c:v>55.014500300000002</c:v>
                </c:pt>
                <c:pt idx="25">
                  <c:v>55.083207100000003</c:v>
                </c:pt>
                <c:pt idx="26">
                  <c:v>55.160373100000001</c:v>
                </c:pt>
                <c:pt idx="27">
                  <c:v>55.115163899999999</c:v>
                </c:pt>
                <c:pt idx="28">
                  <c:v>55.063199599999997</c:v>
                </c:pt>
                <c:pt idx="29">
                  <c:v>55.111030800000002</c:v>
                </c:pt>
                <c:pt idx="30">
                  <c:v>55.098546800000001</c:v>
                </c:pt>
                <c:pt idx="31">
                  <c:v>55.012283199999999</c:v>
                </c:pt>
                <c:pt idx="32">
                  <c:v>54.997417400000003</c:v>
                </c:pt>
                <c:pt idx="33">
                  <c:v>54.8396641</c:v>
                </c:pt>
                <c:pt idx="34">
                  <c:v>54.558706299999997</c:v>
                </c:pt>
                <c:pt idx="35">
                  <c:v>54.976658100000002</c:v>
                </c:pt>
                <c:pt idx="36">
                  <c:v>54.969595200000001</c:v>
                </c:pt>
                <c:pt idx="37">
                  <c:v>55.179142599999999</c:v>
                </c:pt>
                <c:pt idx="38">
                  <c:v>55.066340400000001</c:v>
                </c:pt>
                <c:pt idx="39">
                  <c:v>55.145039599999997</c:v>
                </c:pt>
                <c:pt idx="40">
                  <c:v>55.379833099999999</c:v>
                </c:pt>
                <c:pt idx="41">
                  <c:v>55.386699999999998</c:v>
                </c:pt>
                <c:pt idx="42">
                  <c:v>55.436185500000001</c:v>
                </c:pt>
                <c:pt idx="43">
                  <c:v>55.543071500000003</c:v>
                </c:pt>
                <c:pt idx="44">
                  <c:v>55.579458899999999</c:v>
                </c:pt>
                <c:pt idx="45">
                  <c:v>55.906932099999999</c:v>
                </c:pt>
                <c:pt idx="46">
                  <c:v>56.137894500000002</c:v>
                </c:pt>
                <c:pt idx="47">
                  <c:v>56.057284299999999</c:v>
                </c:pt>
                <c:pt idx="48">
                  <c:v>55.867856000000003</c:v>
                </c:pt>
                <c:pt idx="49">
                  <c:v>55.9960971</c:v>
                </c:pt>
                <c:pt idx="50">
                  <c:v>55.9596236</c:v>
                </c:pt>
                <c:pt idx="51">
                  <c:v>56.043568800000003</c:v>
                </c:pt>
                <c:pt idx="52">
                  <c:v>55.836359199999997</c:v>
                </c:pt>
                <c:pt idx="53">
                  <c:v>55.959442899999999</c:v>
                </c:pt>
                <c:pt idx="54">
                  <c:v>55.9932576</c:v>
                </c:pt>
                <c:pt idx="55">
                  <c:v>55.719590199999999</c:v>
                </c:pt>
                <c:pt idx="56">
                  <c:v>55.707411999999998</c:v>
                </c:pt>
                <c:pt idx="57">
                  <c:v>55.663298300000001</c:v>
                </c:pt>
                <c:pt idx="58">
                  <c:v>55.756515700000001</c:v>
                </c:pt>
                <c:pt idx="59">
                  <c:v>55.823990899999998</c:v>
                </c:pt>
                <c:pt idx="60">
                  <c:v>55.911401599999998</c:v>
                </c:pt>
                <c:pt idx="61">
                  <c:v>55.6129471</c:v>
                </c:pt>
                <c:pt idx="62">
                  <c:v>55.898795499999999</c:v>
                </c:pt>
                <c:pt idx="63">
                  <c:v>55.889886300000001</c:v>
                </c:pt>
                <c:pt idx="64">
                  <c:v>56.200067199999999</c:v>
                </c:pt>
                <c:pt idx="65">
                  <c:v>56.4156823</c:v>
                </c:pt>
                <c:pt idx="66">
                  <c:v>56.415853900000002</c:v>
                </c:pt>
                <c:pt idx="67">
                  <c:v>56.715026399999999</c:v>
                </c:pt>
                <c:pt idx="68">
                  <c:v>56.887472799999998</c:v>
                </c:pt>
                <c:pt idx="69">
                  <c:v>56.850076700000002</c:v>
                </c:pt>
                <c:pt idx="70">
                  <c:v>57.035910399999999</c:v>
                </c:pt>
                <c:pt idx="71">
                  <c:v>57.271405799999997</c:v>
                </c:pt>
                <c:pt idx="72">
                  <c:v>57.097192100000001</c:v>
                </c:pt>
                <c:pt idx="73">
                  <c:v>57.075204800000002</c:v>
                </c:pt>
                <c:pt idx="74">
                  <c:v>57.152918399999997</c:v>
                </c:pt>
                <c:pt idx="75">
                  <c:v>57.1028363</c:v>
                </c:pt>
                <c:pt idx="76">
                  <c:v>56.894494100000003</c:v>
                </c:pt>
                <c:pt idx="77">
                  <c:v>57.280801199999999</c:v>
                </c:pt>
                <c:pt idx="78">
                  <c:v>57.013906300000002</c:v>
                </c:pt>
                <c:pt idx="79">
                  <c:v>57.158178900000003</c:v>
                </c:pt>
                <c:pt idx="80">
                  <c:v>57.158906899999998</c:v>
                </c:pt>
                <c:pt idx="81">
                  <c:v>57.319650699999997</c:v>
                </c:pt>
                <c:pt idx="82">
                  <c:v>57.428192099999997</c:v>
                </c:pt>
                <c:pt idx="83">
                  <c:v>57.395946799999997</c:v>
                </c:pt>
                <c:pt idx="84">
                  <c:v>57.538544100000003</c:v>
                </c:pt>
                <c:pt idx="85">
                  <c:v>57.563576599999998</c:v>
                </c:pt>
                <c:pt idx="86">
                  <c:v>57.509000800000003</c:v>
                </c:pt>
                <c:pt idx="87">
                  <c:v>57.787869399999998</c:v>
                </c:pt>
                <c:pt idx="88">
                  <c:v>57.406632299999998</c:v>
                </c:pt>
                <c:pt idx="89">
                  <c:v>57.4910572</c:v>
                </c:pt>
                <c:pt idx="90">
                  <c:v>57.6687017</c:v>
                </c:pt>
                <c:pt idx="91">
                  <c:v>57.895817000000001</c:v>
                </c:pt>
                <c:pt idx="92">
                  <c:v>58.118370900000002</c:v>
                </c:pt>
                <c:pt idx="93">
                  <c:v>57.891329599999999</c:v>
                </c:pt>
                <c:pt idx="94">
                  <c:v>57.941194099999997</c:v>
                </c:pt>
                <c:pt idx="95">
                  <c:v>58.127526000000003</c:v>
                </c:pt>
                <c:pt idx="96">
                  <c:v>58.248229600000002</c:v>
                </c:pt>
                <c:pt idx="97">
                  <c:v>58.075887700000003</c:v>
                </c:pt>
                <c:pt idx="98">
                  <c:v>57.863433700000002</c:v>
                </c:pt>
                <c:pt idx="99">
                  <c:v>54.869169100000001</c:v>
                </c:pt>
                <c:pt idx="100">
                  <c:v>53.231583200000003</c:v>
                </c:pt>
                <c:pt idx="101">
                  <c:v>54.512483699999997</c:v>
                </c:pt>
                <c:pt idx="102">
                  <c:v>55.231614700000002</c:v>
                </c:pt>
                <c:pt idx="103">
                  <c:v>56.070227699999997</c:v>
                </c:pt>
                <c:pt idx="104">
                  <c:v>56.006272299999999</c:v>
                </c:pt>
                <c:pt idx="105">
                  <c:v>56.382027299999997</c:v>
                </c:pt>
                <c:pt idx="106">
                  <c:v>56.8446748</c:v>
                </c:pt>
                <c:pt idx="107">
                  <c:v>57.214074099999998</c:v>
                </c:pt>
                <c:pt idx="108">
                  <c:v>57.166490199999998</c:v>
                </c:pt>
                <c:pt idx="109">
                  <c:v>57.741011999999998</c:v>
                </c:pt>
                <c:pt idx="110">
                  <c:v>58.136639099999996</c:v>
                </c:pt>
                <c:pt idx="111">
                  <c:v>57.894204999999999</c:v>
                </c:pt>
                <c:pt idx="112">
                  <c:v>58.448574100000002</c:v>
                </c:pt>
                <c:pt idx="113">
                  <c:v>58.345923999999997</c:v>
                </c:pt>
                <c:pt idx="114">
                  <c:v>58.365389200000003</c:v>
                </c:pt>
                <c:pt idx="115">
                  <c:v>57.763472899999996</c:v>
                </c:pt>
                <c:pt idx="116">
                  <c:v>57.025822499999997</c:v>
                </c:pt>
                <c:pt idx="117">
                  <c:v>56.631328799999999</c:v>
                </c:pt>
                <c:pt idx="118">
                  <c:v>58.777137799999998</c:v>
                </c:pt>
                <c:pt idx="119">
                  <c:v>58.969782000000002</c:v>
                </c:pt>
                <c:pt idx="120">
                  <c:v>59.5815549</c:v>
                </c:pt>
                <c:pt idx="121">
                  <c:v>59.658029499999998</c:v>
                </c:pt>
                <c:pt idx="122">
                  <c:v>59.660509500000003</c:v>
                </c:pt>
                <c:pt idx="123">
                  <c:v>59.752234399999999</c:v>
                </c:pt>
                <c:pt idx="124">
                  <c:v>59.650745200000003</c:v>
                </c:pt>
                <c:pt idx="125">
                  <c:v>60.185539499999997</c:v>
                </c:pt>
                <c:pt idx="126">
                  <c:v>60.126107300000001</c:v>
                </c:pt>
                <c:pt idx="127">
                  <c:v>60.275919199999997</c:v>
                </c:pt>
                <c:pt idx="128">
                  <c:v>60.039533599999999</c:v>
                </c:pt>
                <c:pt idx="129">
                  <c:v>60.059657999999999</c:v>
                </c:pt>
                <c:pt idx="130">
                  <c:v>60.450840200000002</c:v>
                </c:pt>
                <c:pt idx="131">
                  <c:v>60.085842200000002</c:v>
                </c:pt>
                <c:pt idx="132">
                  <c:v>60.0359111</c:v>
                </c:pt>
                <c:pt idx="133">
                  <c:v>59.952657299999998</c:v>
                </c:pt>
                <c:pt idx="134">
                  <c:v>60.457367599999998</c:v>
                </c:pt>
                <c:pt idx="135">
                  <c:v>60.278902000000002</c:v>
                </c:pt>
                <c:pt idx="136">
                  <c:v>60.481754700000003</c:v>
                </c:pt>
                <c:pt idx="137">
                  <c:v>60.433694699999997</c:v>
                </c:pt>
                <c:pt idx="138">
                  <c:v>60.156745100000002</c:v>
                </c:pt>
                <c:pt idx="139">
                  <c:v>60.346108200000003</c:v>
                </c:pt>
                <c:pt idx="140">
                  <c:v>60.412061600000001</c:v>
                </c:pt>
                <c:pt idx="141">
                  <c:v>60.655450799999997</c:v>
                </c:pt>
                <c:pt idx="142">
                  <c:v>60.7172725</c:v>
                </c:pt>
                <c:pt idx="143">
                  <c:v>60.218630599999997</c:v>
                </c:pt>
                <c:pt idx="144">
                  <c:v>60.102342499999999</c:v>
                </c:pt>
                <c:pt idx="145">
                  <c:v>60.436385199999997</c:v>
                </c:pt>
                <c:pt idx="146">
                  <c:v>60.155862599999999</c:v>
                </c:pt>
                <c:pt idx="147">
                  <c:v>60.275093900000002</c:v>
                </c:pt>
                <c:pt idx="148">
                  <c:v>60.172944200000003</c:v>
                </c:pt>
                <c:pt idx="149">
                  <c:v>60.319879800000002</c:v>
                </c:pt>
                <c:pt idx="150">
                  <c:v>60.635449399999999</c:v>
                </c:pt>
                <c:pt idx="151">
                  <c:v>60.589608800000001</c:v>
                </c:pt>
                <c:pt idx="152">
                  <c:v>60.519901300000001</c:v>
                </c:pt>
                <c:pt idx="153">
                  <c:v>60.450393900000002</c:v>
                </c:pt>
                <c:pt idx="154">
                  <c:v>60.5482321</c:v>
                </c:pt>
                <c:pt idx="155">
                  <c:v>60.4648276</c:v>
                </c:pt>
                <c:pt idx="156">
                  <c:v>60.810341399999999</c:v>
                </c:pt>
                <c:pt idx="157">
                  <c:v>60.329556799999999</c:v>
                </c:pt>
                <c:pt idx="158">
                  <c:v>60.260640100000003</c:v>
                </c:pt>
                <c:pt idx="159">
                  <c:v>60.757931399999997</c:v>
                </c:pt>
                <c:pt idx="160">
                  <c:v>60.812646800000003</c:v>
                </c:pt>
                <c:pt idx="161">
                  <c:v>60.583261</c:v>
                </c:pt>
                <c:pt idx="162">
                  <c:v>60.8602366</c:v>
                </c:pt>
                <c:pt idx="163">
                  <c:v>60.593780600000002</c:v>
                </c:pt>
                <c:pt idx="164">
                  <c:v>60.516554800000002</c:v>
                </c:pt>
                <c:pt idx="165">
                  <c:v>60.478580800000003</c:v>
                </c:pt>
                <c:pt idx="166">
                  <c:v>60.481195</c:v>
                </c:pt>
                <c:pt idx="167">
                  <c:v>60.534716400000001</c:v>
                </c:pt>
                <c:pt idx="168">
                  <c:v>60.484412300000002</c:v>
                </c:pt>
                <c:pt idx="169">
                  <c:v>60.5790924</c:v>
                </c:pt>
                <c:pt idx="170">
                  <c:v>60.516649100000002</c:v>
                </c:pt>
              </c:numCache>
            </c:numRef>
          </c:val>
          <c:smooth val="0"/>
          <c:extLst>
            <c:ext xmlns:c16="http://schemas.microsoft.com/office/drawing/2014/chart" uri="{C3380CC4-5D6E-409C-BE32-E72D297353CC}">
              <c16:uniqueId val="{00000000-EC83-4A96-95C0-D873FCD24065}"/>
            </c:ext>
          </c:extLst>
        </c:ser>
        <c:ser>
          <c:idx val="2"/>
          <c:order val="1"/>
          <c:tx>
            <c:v>Victoria</c:v>
          </c:tx>
          <c:spPr>
            <a:ln w="15875" cap="rnd">
              <a:solidFill>
                <a:schemeClr val="tx1">
                  <a:lumMod val="65000"/>
                  <a:lumOff val="35000"/>
                </a:schemeClr>
              </a:solidFill>
              <a:round/>
            </a:ln>
            <a:effectLst/>
          </c:spPr>
          <c:marker>
            <c:symbol val="none"/>
          </c:marker>
          <c:cat>
            <c:numRef>
              <c:f>'Inc trend data'!$A$418:$A$588</c:f>
              <c:numCache>
                <c:formatCode>mmm\-yyyy</c:formatCode>
                <c:ptCount val="171"/>
                <c:pt idx="0">
                  <c:v>40909</c:v>
                </c:pt>
                <c:pt idx="1">
                  <c:v>40940</c:v>
                </c:pt>
                <c:pt idx="2">
                  <c:v>40969</c:v>
                </c:pt>
                <c:pt idx="3">
                  <c:v>41000</c:v>
                </c:pt>
                <c:pt idx="4">
                  <c:v>41030</c:v>
                </c:pt>
                <c:pt idx="5">
                  <c:v>41061</c:v>
                </c:pt>
                <c:pt idx="6">
                  <c:v>41091</c:v>
                </c:pt>
                <c:pt idx="7">
                  <c:v>41122</c:v>
                </c:pt>
                <c:pt idx="8">
                  <c:v>41153</c:v>
                </c:pt>
                <c:pt idx="9">
                  <c:v>41183</c:v>
                </c:pt>
                <c:pt idx="10">
                  <c:v>41214</c:v>
                </c:pt>
                <c:pt idx="11">
                  <c:v>41244</c:v>
                </c:pt>
                <c:pt idx="12">
                  <c:v>41275</c:v>
                </c:pt>
                <c:pt idx="13">
                  <c:v>41306</c:v>
                </c:pt>
                <c:pt idx="14">
                  <c:v>41334</c:v>
                </c:pt>
                <c:pt idx="15">
                  <c:v>41365</c:v>
                </c:pt>
                <c:pt idx="16">
                  <c:v>41395</c:v>
                </c:pt>
                <c:pt idx="17">
                  <c:v>41426</c:v>
                </c:pt>
                <c:pt idx="18">
                  <c:v>41456</c:v>
                </c:pt>
                <c:pt idx="19">
                  <c:v>41487</c:v>
                </c:pt>
                <c:pt idx="20">
                  <c:v>41518</c:v>
                </c:pt>
                <c:pt idx="21">
                  <c:v>41548</c:v>
                </c:pt>
                <c:pt idx="22">
                  <c:v>41579</c:v>
                </c:pt>
                <c:pt idx="23">
                  <c:v>41609</c:v>
                </c:pt>
                <c:pt idx="24">
                  <c:v>41640</c:v>
                </c:pt>
                <c:pt idx="25">
                  <c:v>41671</c:v>
                </c:pt>
                <c:pt idx="26">
                  <c:v>41699</c:v>
                </c:pt>
                <c:pt idx="27">
                  <c:v>41730</c:v>
                </c:pt>
                <c:pt idx="28">
                  <c:v>41760</c:v>
                </c:pt>
                <c:pt idx="29">
                  <c:v>41791</c:v>
                </c:pt>
                <c:pt idx="30">
                  <c:v>41821</c:v>
                </c:pt>
                <c:pt idx="31">
                  <c:v>41852</c:v>
                </c:pt>
                <c:pt idx="32">
                  <c:v>41883</c:v>
                </c:pt>
                <c:pt idx="33">
                  <c:v>41913</c:v>
                </c:pt>
                <c:pt idx="34">
                  <c:v>41944</c:v>
                </c:pt>
                <c:pt idx="35">
                  <c:v>41974</c:v>
                </c:pt>
                <c:pt idx="36">
                  <c:v>42005</c:v>
                </c:pt>
                <c:pt idx="37">
                  <c:v>42036</c:v>
                </c:pt>
                <c:pt idx="38">
                  <c:v>42064</c:v>
                </c:pt>
                <c:pt idx="39">
                  <c:v>42095</c:v>
                </c:pt>
                <c:pt idx="40">
                  <c:v>42125</c:v>
                </c:pt>
                <c:pt idx="41">
                  <c:v>42156</c:v>
                </c:pt>
                <c:pt idx="42">
                  <c:v>42186</c:v>
                </c:pt>
                <c:pt idx="43">
                  <c:v>42217</c:v>
                </c:pt>
                <c:pt idx="44">
                  <c:v>42248</c:v>
                </c:pt>
                <c:pt idx="45">
                  <c:v>42278</c:v>
                </c:pt>
                <c:pt idx="46">
                  <c:v>42309</c:v>
                </c:pt>
                <c:pt idx="47">
                  <c:v>42339</c:v>
                </c:pt>
                <c:pt idx="48">
                  <c:v>42370</c:v>
                </c:pt>
                <c:pt idx="49">
                  <c:v>42401</c:v>
                </c:pt>
                <c:pt idx="50">
                  <c:v>42430</c:v>
                </c:pt>
                <c:pt idx="51">
                  <c:v>42461</c:v>
                </c:pt>
                <c:pt idx="52">
                  <c:v>42491</c:v>
                </c:pt>
                <c:pt idx="53">
                  <c:v>42522</c:v>
                </c:pt>
                <c:pt idx="54">
                  <c:v>42552</c:v>
                </c:pt>
                <c:pt idx="55">
                  <c:v>42583</c:v>
                </c:pt>
                <c:pt idx="56">
                  <c:v>42614</c:v>
                </c:pt>
                <c:pt idx="57">
                  <c:v>42644</c:v>
                </c:pt>
                <c:pt idx="58">
                  <c:v>42675</c:v>
                </c:pt>
                <c:pt idx="59">
                  <c:v>42705</c:v>
                </c:pt>
                <c:pt idx="60">
                  <c:v>42736</c:v>
                </c:pt>
                <c:pt idx="61">
                  <c:v>42767</c:v>
                </c:pt>
                <c:pt idx="62">
                  <c:v>42795</c:v>
                </c:pt>
                <c:pt idx="63">
                  <c:v>42826</c:v>
                </c:pt>
                <c:pt idx="64">
                  <c:v>42856</c:v>
                </c:pt>
                <c:pt idx="65">
                  <c:v>42887</c:v>
                </c:pt>
                <c:pt idx="66">
                  <c:v>42917</c:v>
                </c:pt>
                <c:pt idx="67">
                  <c:v>42948</c:v>
                </c:pt>
                <c:pt idx="68">
                  <c:v>42979</c:v>
                </c:pt>
                <c:pt idx="69">
                  <c:v>43009</c:v>
                </c:pt>
                <c:pt idx="70">
                  <c:v>43040</c:v>
                </c:pt>
                <c:pt idx="71">
                  <c:v>43070</c:v>
                </c:pt>
                <c:pt idx="72">
                  <c:v>43101</c:v>
                </c:pt>
                <c:pt idx="73">
                  <c:v>43132</c:v>
                </c:pt>
                <c:pt idx="74">
                  <c:v>43160</c:v>
                </c:pt>
                <c:pt idx="75">
                  <c:v>43191</c:v>
                </c:pt>
                <c:pt idx="76">
                  <c:v>43221</c:v>
                </c:pt>
                <c:pt idx="77">
                  <c:v>43252</c:v>
                </c:pt>
                <c:pt idx="78">
                  <c:v>43282</c:v>
                </c:pt>
                <c:pt idx="79">
                  <c:v>43313</c:v>
                </c:pt>
                <c:pt idx="80">
                  <c:v>43344</c:v>
                </c:pt>
                <c:pt idx="81">
                  <c:v>43374</c:v>
                </c:pt>
                <c:pt idx="82">
                  <c:v>43405</c:v>
                </c:pt>
                <c:pt idx="83">
                  <c:v>43435</c:v>
                </c:pt>
                <c:pt idx="84">
                  <c:v>43466</c:v>
                </c:pt>
                <c:pt idx="85">
                  <c:v>43497</c:v>
                </c:pt>
                <c:pt idx="86">
                  <c:v>43525</c:v>
                </c:pt>
                <c:pt idx="87">
                  <c:v>43556</c:v>
                </c:pt>
                <c:pt idx="88">
                  <c:v>43586</c:v>
                </c:pt>
                <c:pt idx="89">
                  <c:v>43617</c:v>
                </c:pt>
                <c:pt idx="90">
                  <c:v>43647</c:v>
                </c:pt>
                <c:pt idx="91">
                  <c:v>43678</c:v>
                </c:pt>
                <c:pt idx="92">
                  <c:v>43709</c:v>
                </c:pt>
                <c:pt idx="93">
                  <c:v>43739</c:v>
                </c:pt>
                <c:pt idx="94">
                  <c:v>43770</c:v>
                </c:pt>
                <c:pt idx="95">
                  <c:v>43800</c:v>
                </c:pt>
                <c:pt idx="96">
                  <c:v>43831</c:v>
                </c:pt>
                <c:pt idx="97">
                  <c:v>43862</c:v>
                </c:pt>
                <c:pt idx="98">
                  <c:v>43891</c:v>
                </c:pt>
                <c:pt idx="99">
                  <c:v>43922</c:v>
                </c:pt>
                <c:pt idx="100">
                  <c:v>43952</c:v>
                </c:pt>
                <c:pt idx="101">
                  <c:v>43983</c:v>
                </c:pt>
                <c:pt idx="102">
                  <c:v>44013</c:v>
                </c:pt>
                <c:pt idx="103">
                  <c:v>44044</c:v>
                </c:pt>
                <c:pt idx="104">
                  <c:v>44075</c:v>
                </c:pt>
                <c:pt idx="105">
                  <c:v>44105</c:v>
                </c:pt>
                <c:pt idx="106">
                  <c:v>44136</c:v>
                </c:pt>
                <c:pt idx="107">
                  <c:v>44166</c:v>
                </c:pt>
                <c:pt idx="108">
                  <c:v>44197</c:v>
                </c:pt>
                <c:pt idx="109">
                  <c:v>44228</c:v>
                </c:pt>
                <c:pt idx="110">
                  <c:v>44256</c:v>
                </c:pt>
                <c:pt idx="111">
                  <c:v>44287</c:v>
                </c:pt>
                <c:pt idx="112">
                  <c:v>44317</c:v>
                </c:pt>
                <c:pt idx="113">
                  <c:v>44348</c:v>
                </c:pt>
                <c:pt idx="114">
                  <c:v>44378</c:v>
                </c:pt>
                <c:pt idx="115">
                  <c:v>44409</c:v>
                </c:pt>
                <c:pt idx="116">
                  <c:v>44440</c:v>
                </c:pt>
                <c:pt idx="117">
                  <c:v>44470</c:v>
                </c:pt>
                <c:pt idx="118">
                  <c:v>44501</c:v>
                </c:pt>
                <c:pt idx="119">
                  <c:v>44531</c:v>
                </c:pt>
                <c:pt idx="120">
                  <c:v>44562</c:v>
                </c:pt>
                <c:pt idx="121">
                  <c:v>44593</c:v>
                </c:pt>
                <c:pt idx="122">
                  <c:v>44621</c:v>
                </c:pt>
                <c:pt idx="123">
                  <c:v>44652</c:v>
                </c:pt>
                <c:pt idx="124">
                  <c:v>44682</c:v>
                </c:pt>
                <c:pt idx="125">
                  <c:v>44713</c:v>
                </c:pt>
                <c:pt idx="126">
                  <c:v>44743</c:v>
                </c:pt>
                <c:pt idx="127">
                  <c:v>44774</c:v>
                </c:pt>
                <c:pt idx="128">
                  <c:v>44805</c:v>
                </c:pt>
                <c:pt idx="129">
                  <c:v>44835</c:v>
                </c:pt>
                <c:pt idx="130">
                  <c:v>44866</c:v>
                </c:pt>
                <c:pt idx="131">
                  <c:v>44896</c:v>
                </c:pt>
                <c:pt idx="132">
                  <c:v>44927</c:v>
                </c:pt>
                <c:pt idx="133">
                  <c:v>44958</c:v>
                </c:pt>
                <c:pt idx="134">
                  <c:v>44986</c:v>
                </c:pt>
                <c:pt idx="135">
                  <c:v>45017</c:v>
                </c:pt>
                <c:pt idx="136">
                  <c:v>45047</c:v>
                </c:pt>
                <c:pt idx="137">
                  <c:v>45078</c:v>
                </c:pt>
                <c:pt idx="138">
                  <c:v>45108</c:v>
                </c:pt>
                <c:pt idx="139">
                  <c:v>45139</c:v>
                </c:pt>
                <c:pt idx="140">
                  <c:v>45170</c:v>
                </c:pt>
                <c:pt idx="141">
                  <c:v>45200</c:v>
                </c:pt>
                <c:pt idx="142">
                  <c:v>45231</c:v>
                </c:pt>
                <c:pt idx="143">
                  <c:v>45261</c:v>
                </c:pt>
                <c:pt idx="144">
                  <c:v>45292</c:v>
                </c:pt>
                <c:pt idx="145">
                  <c:v>45323</c:v>
                </c:pt>
                <c:pt idx="146">
                  <c:v>45352</c:v>
                </c:pt>
                <c:pt idx="147">
                  <c:v>45383</c:v>
                </c:pt>
                <c:pt idx="148">
                  <c:v>45413</c:v>
                </c:pt>
                <c:pt idx="149">
                  <c:v>45444</c:v>
                </c:pt>
                <c:pt idx="150">
                  <c:v>45474</c:v>
                </c:pt>
                <c:pt idx="151">
                  <c:v>45505</c:v>
                </c:pt>
                <c:pt idx="152">
                  <c:v>45536</c:v>
                </c:pt>
                <c:pt idx="153">
                  <c:v>45566</c:v>
                </c:pt>
                <c:pt idx="154">
                  <c:v>45597</c:v>
                </c:pt>
                <c:pt idx="155">
                  <c:v>45627</c:v>
                </c:pt>
                <c:pt idx="156">
                  <c:v>45658</c:v>
                </c:pt>
                <c:pt idx="157">
                  <c:v>45689</c:v>
                </c:pt>
                <c:pt idx="158">
                  <c:v>45717</c:v>
                </c:pt>
                <c:pt idx="159">
                  <c:v>45748</c:v>
                </c:pt>
                <c:pt idx="160">
                  <c:v>45778</c:v>
                </c:pt>
                <c:pt idx="161">
                  <c:v>45809</c:v>
                </c:pt>
                <c:pt idx="162">
                  <c:v>45839</c:v>
                </c:pt>
                <c:pt idx="163">
                  <c:v>45870</c:v>
                </c:pt>
                <c:pt idx="164">
                  <c:v>45901</c:v>
                </c:pt>
                <c:pt idx="165">
                  <c:v>45931</c:v>
                </c:pt>
                <c:pt idx="166">
                  <c:v>45962</c:v>
                </c:pt>
                <c:pt idx="167">
                  <c:v>45992</c:v>
                </c:pt>
                <c:pt idx="168">
                  <c:v>46023</c:v>
                </c:pt>
                <c:pt idx="169">
                  <c:v>46054</c:v>
                </c:pt>
                <c:pt idx="170">
                  <c:v>46082</c:v>
                </c:pt>
              </c:numCache>
            </c:numRef>
          </c:cat>
          <c:val>
            <c:numRef>
              <c:f>'Inc trend data'!$U$418:$U$588</c:f>
              <c:numCache>
                <c:formatCode>0.0;\-0.0;0.0;@</c:formatCode>
                <c:ptCount val="171"/>
                <c:pt idx="0">
                  <c:v>55.251162000000001</c:v>
                </c:pt>
                <c:pt idx="1">
                  <c:v>54.827712699999999</c:v>
                </c:pt>
                <c:pt idx="2">
                  <c:v>55.6777169</c:v>
                </c:pt>
                <c:pt idx="3">
                  <c:v>55.945338599999999</c:v>
                </c:pt>
                <c:pt idx="4">
                  <c:v>56.381957</c:v>
                </c:pt>
                <c:pt idx="5">
                  <c:v>56.033085499999999</c:v>
                </c:pt>
                <c:pt idx="6">
                  <c:v>56.088462100000001</c:v>
                </c:pt>
                <c:pt idx="7">
                  <c:v>55.8631733</c:v>
                </c:pt>
                <c:pt idx="8">
                  <c:v>56.011962400000002</c:v>
                </c:pt>
                <c:pt idx="9">
                  <c:v>55.165652799999997</c:v>
                </c:pt>
                <c:pt idx="10">
                  <c:v>55.268326799999997</c:v>
                </c:pt>
                <c:pt idx="11">
                  <c:v>55.127095099999998</c:v>
                </c:pt>
                <c:pt idx="12">
                  <c:v>54.8283858</c:v>
                </c:pt>
                <c:pt idx="13">
                  <c:v>55.428039400000003</c:v>
                </c:pt>
                <c:pt idx="14">
                  <c:v>54.948636899999997</c:v>
                </c:pt>
                <c:pt idx="15">
                  <c:v>55.449413200000002</c:v>
                </c:pt>
                <c:pt idx="16">
                  <c:v>55.121995599999998</c:v>
                </c:pt>
                <c:pt idx="17">
                  <c:v>55.803792600000001</c:v>
                </c:pt>
                <c:pt idx="18">
                  <c:v>55.539001499999998</c:v>
                </c:pt>
                <c:pt idx="19">
                  <c:v>55.353338200000003</c:v>
                </c:pt>
                <c:pt idx="20">
                  <c:v>55.097139200000001</c:v>
                </c:pt>
                <c:pt idx="21">
                  <c:v>55.257470400000003</c:v>
                </c:pt>
                <c:pt idx="22">
                  <c:v>55.164465300000003</c:v>
                </c:pt>
                <c:pt idx="23">
                  <c:v>54.5486054</c:v>
                </c:pt>
                <c:pt idx="24">
                  <c:v>54.907402599999998</c:v>
                </c:pt>
                <c:pt idx="25">
                  <c:v>54.465253300000001</c:v>
                </c:pt>
                <c:pt idx="26">
                  <c:v>54.595120199999997</c:v>
                </c:pt>
                <c:pt idx="27">
                  <c:v>54.219804799999999</c:v>
                </c:pt>
                <c:pt idx="28">
                  <c:v>54.798620800000002</c:v>
                </c:pt>
                <c:pt idx="29">
                  <c:v>54.461830999999997</c:v>
                </c:pt>
                <c:pt idx="30">
                  <c:v>54.661851499999997</c:v>
                </c:pt>
                <c:pt idx="31">
                  <c:v>54.443670599999997</c:v>
                </c:pt>
                <c:pt idx="32">
                  <c:v>54.585833200000003</c:v>
                </c:pt>
                <c:pt idx="33">
                  <c:v>54.518081500000001</c:v>
                </c:pt>
                <c:pt idx="34">
                  <c:v>54.095604199999997</c:v>
                </c:pt>
                <c:pt idx="35">
                  <c:v>55.268877600000003</c:v>
                </c:pt>
                <c:pt idx="36">
                  <c:v>54.925023400000001</c:v>
                </c:pt>
                <c:pt idx="37">
                  <c:v>55.124935700000002</c:v>
                </c:pt>
                <c:pt idx="38">
                  <c:v>54.815446899999998</c:v>
                </c:pt>
                <c:pt idx="39">
                  <c:v>55.279573999999997</c:v>
                </c:pt>
                <c:pt idx="40">
                  <c:v>55.013964700000002</c:v>
                </c:pt>
                <c:pt idx="41">
                  <c:v>54.6905638</c:v>
                </c:pt>
                <c:pt idx="42">
                  <c:v>54.647249899999998</c:v>
                </c:pt>
                <c:pt idx="43">
                  <c:v>54.379948900000002</c:v>
                </c:pt>
                <c:pt idx="44">
                  <c:v>54.6394868</c:v>
                </c:pt>
                <c:pt idx="45">
                  <c:v>55.0434567</c:v>
                </c:pt>
                <c:pt idx="46">
                  <c:v>55.298880699999998</c:v>
                </c:pt>
                <c:pt idx="47">
                  <c:v>54.230794799999998</c:v>
                </c:pt>
                <c:pt idx="48">
                  <c:v>54.270347899999997</c:v>
                </c:pt>
                <c:pt idx="49">
                  <c:v>54.808820599999997</c:v>
                </c:pt>
                <c:pt idx="50">
                  <c:v>54.847006700000001</c:v>
                </c:pt>
                <c:pt idx="51">
                  <c:v>54.627122300000003</c:v>
                </c:pt>
                <c:pt idx="52">
                  <c:v>54.590463999999997</c:v>
                </c:pt>
                <c:pt idx="53">
                  <c:v>55.1837059</c:v>
                </c:pt>
                <c:pt idx="54">
                  <c:v>55.476719099999997</c:v>
                </c:pt>
                <c:pt idx="55">
                  <c:v>55.788195999999999</c:v>
                </c:pt>
                <c:pt idx="56">
                  <c:v>55.586764500000001</c:v>
                </c:pt>
                <c:pt idx="57">
                  <c:v>55.962866400000003</c:v>
                </c:pt>
                <c:pt idx="58">
                  <c:v>55.800425099999998</c:v>
                </c:pt>
                <c:pt idx="59">
                  <c:v>56.105851299999998</c:v>
                </c:pt>
                <c:pt idx="60">
                  <c:v>56.0380465</c:v>
                </c:pt>
                <c:pt idx="61">
                  <c:v>56.129788099999999</c:v>
                </c:pt>
                <c:pt idx="62">
                  <c:v>56.305863500000001</c:v>
                </c:pt>
                <c:pt idx="63">
                  <c:v>56.486915400000001</c:v>
                </c:pt>
                <c:pt idx="64">
                  <c:v>56.538058200000002</c:v>
                </c:pt>
                <c:pt idx="65">
                  <c:v>56.335596000000002</c:v>
                </c:pt>
                <c:pt idx="66">
                  <c:v>56.298929100000002</c:v>
                </c:pt>
                <c:pt idx="67">
                  <c:v>56.682090100000003</c:v>
                </c:pt>
                <c:pt idx="68">
                  <c:v>57.177373299999999</c:v>
                </c:pt>
                <c:pt idx="69">
                  <c:v>56.654593499999997</c:v>
                </c:pt>
                <c:pt idx="70">
                  <c:v>56.866971200000002</c:v>
                </c:pt>
                <c:pt idx="71">
                  <c:v>56.848121200000001</c:v>
                </c:pt>
                <c:pt idx="72">
                  <c:v>56.512091300000002</c:v>
                </c:pt>
                <c:pt idx="73">
                  <c:v>56.264887999999999</c:v>
                </c:pt>
                <c:pt idx="74">
                  <c:v>56.6461805</c:v>
                </c:pt>
                <c:pt idx="75">
                  <c:v>56.346236099999999</c:v>
                </c:pt>
                <c:pt idx="76">
                  <c:v>56.6384823</c:v>
                </c:pt>
                <c:pt idx="77">
                  <c:v>56.655243800000001</c:v>
                </c:pt>
                <c:pt idx="78">
                  <c:v>56.719422999999999</c:v>
                </c:pt>
                <c:pt idx="79">
                  <c:v>56.4136217</c:v>
                </c:pt>
                <c:pt idx="80">
                  <c:v>56.726382000000001</c:v>
                </c:pt>
                <c:pt idx="81">
                  <c:v>56.893217300000003</c:v>
                </c:pt>
                <c:pt idx="82">
                  <c:v>57.348576199999997</c:v>
                </c:pt>
                <c:pt idx="83">
                  <c:v>57.879512900000002</c:v>
                </c:pt>
                <c:pt idx="84">
                  <c:v>57.423804400000002</c:v>
                </c:pt>
                <c:pt idx="85">
                  <c:v>57.428120300000003</c:v>
                </c:pt>
                <c:pt idx="86">
                  <c:v>57.221978900000003</c:v>
                </c:pt>
                <c:pt idx="87">
                  <c:v>57.986753899999997</c:v>
                </c:pt>
                <c:pt idx="88">
                  <c:v>57.654628700000004</c:v>
                </c:pt>
                <c:pt idx="89">
                  <c:v>57.5221369</c:v>
                </c:pt>
                <c:pt idx="90">
                  <c:v>57.593857700000001</c:v>
                </c:pt>
                <c:pt idx="91">
                  <c:v>58.333941299999999</c:v>
                </c:pt>
                <c:pt idx="92">
                  <c:v>58.223808900000002</c:v>
                </c:pt>
                <c:pt idx="93">
                  <c:v>58.538149300000001</c:v>
                </c:pt>
                <c:pt idx="94">
                  <c:v>58.471683800000001</c:v>
                </c:pt>
                <c:pt idx="95">
                  <c:v>58.807485800000002</c:v>
                </c:pt>
                <c:pt idx="96">
                  <c:v>58.507880700000001</c:v>
                </c:pt>
                <c:pt idx="97">
                  <c:v>58.058511899999999</c:v>
                </c:pt>
                <c:pt idx="98">
                  <c:v>57.9440496</c:v>
                </c:pt>
                <c:pt idx="99">
                  <c:v>55.4674573</c:v>
                </c:pt>
                <c:pt idx="100">
                  <c:v>54.158398599999998</c:v>
                </c:pt>
                <c:pt idx="101">
                  <c:v>54.406477500000001</c:v>
                </c:pt>
                <c:pt idx="102">
                  <c:v>54.734106500000003</c:v>
                </c:pt>
                <c:pt idx="103">
                  <c:v>54.039097300000002</c:v>
                </c:pt>
                <c:pt idx="104">
                  <c:v>53.043577300000003</c:v>
                </c:pt>
                <c:pt idx="105">
                  <c:v>53.943615999999999</c:v>
                </c:pt>
                <c:pt idx="106">
                  <c:v>55.711230100000002</c:v>
                </c:pt>
                <c:pt idx="107">
                  <c:v>56.603458099999997</c:v>
                </c:pt>
                <c:pt idx="108">
                  <c:v>57.174689399999998</c:v>
                </c:pt>
                <c:pt idx="109">
                  <c:v>57.661561200000001</c:v>
                </c:pt>
                <c:pt idx="110">
                  <c:v>57.933438600000002</c:v>
                </c:pt>
                <c:pt idx="111">
                  <c:v>57.935000299999999</c:v>
                </c:pt>
                <c:pt idx="112">
                  <c:v>58.204437499999997</c:v>
                </c:pt>
                <c:pt idx="113">
                  <c:v>57.530340299999999</c:v>
                </c:pt>
                <c:pt idx="114">
                  <c:v>58.145695600000003</c:v>
                </c:pt>
                <c:pt idx="115">
                  <c:v>59.0343631</c:v>
                </c:pt>
                <c:pt idx="116">
                  <c:v>56.242059900000001</c:v>
                </c:pt>
                <c:pt idx="117">
                  <c:v>55.558348100000003</c:v>
                </c:pt>
                <c:pt idx="118">
                  <c:v>58.638008200000002</c:v>
                </c:pt>
                <c:pt idx="119">
                  <c:v>59.075470000000003</c:v>
                </c:pt>
                <c:pt idx="120">
                  <c:v>59.594728500000002</c:v>
                </c:pt>
                <c:pt idx="121">
                  <c:v>59.3982283</c:v>
                </c:pt>
                <c:pt idx="122">
                  <c:v>59.407447400000002</c:v>
                </c:pt>
                <c:pt idx="123">
                  <c:v>59.507840799999997</c:v>
                </c:pt>
                <c:pt idx="124">
                  <c:v>59.278898699999999</c:v>
                </c:pt>
                <c:pt idx="125">
                  <c:v>59.7327692</c:v>
                </c:pt>
                <c:pt idx="126">
                  <c:v>59.587007</c:v>
                </c:pt>
                <c:pt idx="127">
                  <c:v>59.894883399999998</c:v>
                </c:pt>
                <c:pt idx="128">
                  <c:v>59.556506400000004</c:v>
                </c:pt>
                <c:pt idx="129">
                  <c:v>59.586641999999998</c:v>
                </c:pt>
                <c:pt idx="130">
                  <c:v>60.353353800000001</c:v>
                </c:pt>
                <c:pt idx="131">
                  <c:v>59.707880199999998</c:v>
                </c:pt>
                <c:pt idx="132">
                  <c:v>59.188034399999999</c:v>
                </c:pt>
                <c:pt idx="133">
                  <c:v>59.850846400000002</c:v>
                </c:pt>
                <c:pt idx="134">
                  <c:v>61.1350202</c:v>
                </c:pt>
                <c:pt idx="135">
                  <c:v>60.298726000000002</c:v>
                </c:pt>
                <c:pt idx="136">
                  <c:v>60.592579999999998</c:v>
                </c:pt>
                <c:pt idx="137">
                  <c:v>61.084872500000003</c:v>
                </c:pt>
                <c:pt idx="138">
                  <c:v>61.0823398</c:v>
                </c:pt>
                <c:pt idx="139">
                  <c:v>61.016015099999997</c:v>
                </c:pt>
                <c:pt idx="140">
                  <c:v>61.057244099999998</c:v>
                </c:pt>
                <c:pt idx="141">
                  <c:v>61.525529400000003</c:v>
                </c:pt>
                <c:pt idx="142">
                  <c:v>60.9300675</c:v>
                </c:pt>
                <c:pt idx="143">
                  <c:v>60.659758600000004</c:v>
                </c:pt>
                <c:pt idx="144">
                  <c:v>60.278898099999999</c:v>
                </c:pt>
                <c:pt idx="145">
                  <c:v>60.883721299999998</c:v>
                </c:pt>
                <c:pt idx="146">
                  <c:v>60.3814791</c:v>
                </c:pt>
                <c:pt idx="147">
                  <c:v>60.165678300000003</c:v>
                </c:pt>
                <c:pt idx="148">
                  <c:v>60.146967699999998</c:v>
                </c:pt>
                <c:pt idx="149">
                  <c:v>60.0290137</c:v>
                </c:pt>
                <c:pt idx="150">
                  <c:v>60.247471599999997</c:v>
                </c:pt>
                <c:pt idx="151">
                  <c:v>60.1995328</c:v>
                </c:pt>
                <c:pt idx="152">
                  <c:v>60.447908900000002</c:v>
                </c:pt>
                <c:pt idx="153">
                  <c:v>60.309784200000003</c:v>
                </c:pt>
                <c:pt idx="154">
                  <c:v>60.481541900000003</c:v>
                </c:pt>
                <c:pt idx="155">
                  <c:v>60.379798800000003</c:v>
                </c:pt>
                <c:pt idx="156">
                  <c:v>60.640663799999999</c:v>
                </c:pt>
                <c:pt idx="157">
                  <c:v>60.067667200000002</c:v>
                </c:pt>
                <c:pt idx="158">
                  <c:v>60.648031699999997</c:v>
                </c:pt>
                <c:pt idx="159">
                  <c:v>61.262799700000002</c:v>
                </c:pt>
                <c:pt idx="160">
                  <c:v>61.239927199999997</c:v>
                </c:pt>
                <c:pt idx="161">
                  <c:v>61.0983144</c:v>
                </c:pt>
                <c:pt idx="162">
                  <c:v>61.224262299999999</c:v>
                </c:pt>
                <c:pt idx="163">
                  <c:v>61.325533499999999</c:v>
                </c:pt>
                <c:pt idx="164">
                  <c:v>61.354766300000001</c:v>
                </c:pt>
                <c:pt idx="165">
                  <c:v>61.197919200000001</c:v>
                </c:pt>
                <c:pt idx="166">
                  <c:v>61.380993599999996</c:v>
                </c:pt>
                <c:pt idx="167">
                  <c:v>61.169792800000003</c:v>
                </c:pt>
                <c:pt idx="168">
                  <c:v>60.816942300000001</c:v>
                </c:pt>
                <c:pt idx="169">
                  <c:v>60.877007399999997</c:v>
                </c:pt>
                <c:pt idx="170">
                  <c:v>60.157403700000003</c:v>
                </c:pt>
              </c:numCache>
            </c:numRef>
          </c:val>
          <c:smooth val="0"/>
          <c:extLst>
            <c:ext xmlns:c16="http://schemas.microsoft.com/office/drawing/2014/chart" uri="{C3380CC4-5D6E-409C-BE32-E72D297353CC}">
              <c16:uniqueId val="{00000001-EC83-4A96-95C0-D873FCD24065}"/>
            </c:ext>
          </c:extLst>
        </c:ser>
        <c:dLbls>
          <c:showLegendKey val="0"/>
          <c:showVal val="0"/>
          <c:showCatName val="0"/>
          <c:showSerName val="0"/>
          <c:showPercent val="0"/>
          <c:showBubbleSize val="0"/>
        </c:dLbls>
        <c:smooth val="0"/>
        <c:axId val="419615552"/>
        <c:axId val="398085248"/>
      </c:lineChart>
      <c:dateAx>
        <c:axId val="419615552"/>
        <c:scaling>
          <c:orientation val="minMax"/>
        </c:scaling>
        <c:delete val="0"/>
        <c:axPos val="b"/>
        <c:numFmt formatCode="yyyy" sourceLinked="0"/>
        <c:majorTickMark val="out"/>
        <c:minorTickMark val="none"/>
        <c:tickLblPos val="nextTo"/>
        <c:spPr>
          <a:noFill/>
          <a:ln w="9525" cap="flat" cmpd="sng" algn="ctr">
            <a:solidFill>
              <a:schemeClr val="tx1">
                <a:lumMod val="65000"/>
                <a:lumOff val="35000"/>
              </a:schemeClr>
            </a:solidFill>
            <a:round/>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Calibri" panose="020F0502020204030204" pitchFamily="34" charset="0"/>
                <a:ea typeface="Calibri" panose="020F0502020204030204" pitchFamily="34" charset="0"/>
                <a:cs typeface="Calibri" panose="020F0502020204030204" pitchFamily="34" charset="0"/>
              </a:defRPr>
            </a:pPr>
            <a:endParaRPr lang="en-US"/>
          </a:p>
        </c:txPr>
        <c:crossAx val="398085248"/>
        <c:crosses val="autoZero"/>
        <c:auto val="1"/>
        <c:lblOffset val="100"/>
        <c:baseTimeUnit val="months"/>
        <c:majorUnit val="34"/>
        <c:majorTimeUnit val="months"/>
      </c:dateAx>
      <c:valAx>
        <c:axId val="398085248"/>
        <c:scaling>
          <c:orientation val="minMax"/>
          <c:min val="51"/>
        </c:scaling>
        <c:delete val="0"/>
        <c:axPos val="l"/>
        <c:majorGridlines>
          <c:spPr>
            <a:ln w="6350" cap="flat" cmpd="sng" algn="ctr">
              <a:solidFill>
                <a:schemeClr val="tx1">
                  <a:lumMod val="15000"/>
                  <a:lumOff val="85000"/>
                </a:schemeClr>
              </a:solidFill>
              <a:prstDash val="dash"/>
              <a:round/>
            </a:ln>
            <a:effectLst/>
          </c:spPr>
        </c:majorGridlines>
        <c:title>
          <c:tx>
            <c:rich>
              <a:bodyPr rot="-5400000" spcFirstLastPara="1" vertOverflow="ellipsis" vert="horz" wrap="square" anchor="ctr" anchorCtr="1"/>
              <a:lstStyle/>
              <a:p>
                <a:pPr>
                  <a:defRPr sz="900" b="0" i="1" u="none" strike="noStrike" kern="1200" baseline="0">
                    <a:solidFill>
                      <a:schemeClr val="tx1">
                        <a:lumMod val="65000"/>
                        <a:lumOff val="35000"/>
                      </a:schemeClr>
                    </a:solidFill>
                    <a:latin typeface="Calibri" panose="020F0502020204030204" pitchFamily="34" charset="0"/>
                    <a:ea typeface="Calibri" panose="020F0502020204030204" pitchFamily="34" charset="0"/>
                    <a:cs typeface="Calibri" panose="020F0502020204030204" pitchFamily="34" charset="0"/>
                  </a:defRPr>
                </a:pPr>
                <a:r>
                  <a:rPr lang="en-US" i="1"/>
                  <a:t>per cent</a:t>
                </a:r>
              </a:p>
            </c:rich>
          </c:tx>
          <c:overlay val="0"/>
          <c:spPr>
            <a:noFill/>
            <a:ln>
              <a:noFill/>
            </a:ln>
            <a:effectLst/>
          </c:spPr>
          <c:txPr>
            <a:bodyPr rot="-5400000" spcFirstLastPara="1" vertOverflow="ellipsis" vert="horz" wrap="square" anchor="ctr" anchorCtr="1"/>
            <a:lstStyle/>
            <a:p>
              <a:pPr>
                <a:defRPr sz="900" b="0" i="1" u="none" strike="noStrike" kern="1200" baseline="0">
                  <a:solidFill>
                    <a:schemeClr val="tx1">
                      <a:lumMod val="65000"/>
                      <a:lumOff val="35000"/>
                    </a:schemeClr>
                  </a:solidFill>
                  <a:latin typeface="Calibri" panose="020F0502020204030204" pitchFamily="34" charset="0"/>
                  <a:ea typeface="Calibri" panose="020F0502020204030204" pitchFamily="34" charset="0"/>
                  <a:cs typeface="Calibri" panose="020F0502020204030204" pitchFamily="34" charset="0"/>
                </a:defRPr>
              </a:pPr>
              <a:endParaRPr lang="en-US"/>
            </a:p>
          </c:txPr>
        </c:title>
        <c:numFmt formatCode="#,##0" sourceLinked="0"/>
        <c:majorTickMark val="none"/>
        <c:minorTickMark val="none"/>
        <c:tickLblPos val="nextTo"/>
        <c:spPr>
          <a:noFill/>
          <a:ln>
            <a:solidFill>
              <a:schemeClr val="tx1">
                <a:lumMod val="65000"/>
                <a:lumOff val="35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libri" panose="020F0502020204030204" pitchFamily="34" charset="0"/>
                <a:ea typeface="Calibri" panose="020F0502020204030204" pitchFamily="34" charset="0"/>
                <a:cs typeface="Calibri" panose="020F0502020204030204" pitchFamily="34" charset="0"/>
              </a:defRPr>
            </a:pPr>
            <a:endParaRPr lang="en-US"/>
          </a:p>
        </c:txPr>
        <c:crossAx val="419615552"/>
        <c:crosses val="autoZero"/>
        <c:crossBetween val="between"/>
        <c:majorUnit val="3"/>
      </c:valAx>
      <c:spPr>
        <a:noFill/>
        <a:ln>
          <a:noFill/>
        </a:ln>
        <a:effectLst/>
      </c:spPr>
    </c:plotArea>
    <c:legend>
      <c:legendPos val="b"/>
      <c:layout>
        <c:manualLayout>
          <c:xMode val="edge"/>
          <c:yMode val="edge"/>
          <c:x val="0.14768983492233576"/>
          <c:y val="0.88185645664087098"/>
          <c:w val="0.7269293095195225"/>
          <c:h val="0.11153415803196444"/>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Calibri" panose="020F0502020204030204" pitchFamily="34" charset="0"/>
              <a:ea typeface="Calibri" panose="020F0502020204030204" pitchFamily="34" charset="0"/>
              <a:cs typeface="Calibri" panose="020F0502020204030204" pitchFamily="34"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sz="900">
          <a:latin typeface="Calibri" panose="020F0502020204030204" pitchFamily="34" charset="0"/>
          <a:ea typeface="Calibri" panose="020F0502020204030204" pitchFamily="34" charset="0"/>
          <a:cs typeface="Calibri" panose="020F0502020204030204" pitchFamily="34" charset="0"/>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xMode val="edge"/>
          <c:yMode val="edge"/>
          <c:x val="3.84111259673433E-2"/>
          <c:y val="1.7969420150157851E-2"/>
          <c:w val="0.96158887403265669"/>
          <c:h val="0.87117199175812043"/>
        </c:manualLayout>
      </c:layout>
      <c:lineChart>
        <c:grouping val="standard"/>
        <c:varyColors val="0"/>
        <c:ser>
          <c:idx val="2"/>
          <c:order val="0"/>
          <c:tx>
            <c:strRef>
              <c:f>'Chart 2.14 data'!$R$2</c:f>
              <c:strCache>
                <c:ptCount val="1"/>
                <c:pt idx="0">
                  <c:v>Goods (Australia)</c:v>
                </c:pt>
              </c:strCache>
            </c:strRef>
          </c:tx>
          <c:spPr>
            <a:ln w="22225" cap="rnd">
              <a:solidFill>
                <a:schemeClr val="tx1">
                  <a:lumMod val="65000"/>
                  <a:lumOff val="35000"/>
                </a:schemeClr>
              </a:solidFill>
              <a:prstDash val="sysDash"/>
              <a:round/>
            </a:ln>
            <a:effectLst/>
          </c:spPr>
          <c:marker>
            <c:symbol val="none"/>
          </c:marker>
          <c:cat>
            <c:numRef>
              <c:f>'Chart 2.14 data'!$O$3:$O$467</c:f>
              <c:numCache>
                <c:formatCode>mmm\-yyyy</c:formatCode>
                <c:ptCount val="465"/>
                <c:pt idx="0">
                  <c:v>46082</c:v>
                </c:pt>
                <c:pt idx="1">
                  <c:v>46054</c:v>
                </c:pt>
                <c:pt idx="2">
                  <c:v>46023</c:v>
                </c:pt>
                <c:pt idx="3">
                  <c:v>45992</c:v>
                </c:pt>
                <c:pt idx="4">
                  <c:v>45962</c:v>
                </c:pt>
                <c:pt idx="5">
                  <c:v>45931</c:v>
                </c:pt>
                <c:pt idx="6">
                  <c:v>45901</c:v>
                </c:pt>
                <c:pt idx="7">
                  <c:v>45870</c:v>
                </c:pt>
                <c:pt idx="8">
                  <c:v>45839</c:v>
                </c:pt>
                <c:pt idx="9">
                  <c:v>45809</c:v>
                </c:pt>
                <c:pt idx="10">
                  <c:v>45778</c:v>
                </c:pt>
                <c:pt idx="11">
                  <c:v>45748</c:v>
                </c:pt>
                <c:pt idx="12">
                  <c:v>45717</c:v>
                </c:pt>
                <c:pt idx="13">
                  <c:v>45689</c:v>
                </c:pt>
                <c:pt idx="14">
                  <c:v>45658</c:v>
                </c:pt>
                <c:pt idx="15">
                  <c:v>45627</c:v>
                </c:pt>
                <c:pt idx="16">
                  <c:v>45597</c:v>
                </c:pt>
                <c:pt idx="17">
                  <c:v>45566</c:v>
                </c:pt>
                <c:pt idx="18">
                  <c:v>45536</c:v>
                </c:pt>
                <c:pt idx="19">
                  <c:v>45505</c:v>
                </c:pt>
                <c:pt idx="20">
                  <c:v>45474</c:v>
                </c:pt>
                <c:pt idx="21">
                  <c:v>45444</c:v>
                </c:pt>
                <c:pt idx="22">
                  <c:v>45413</c:v>
                </c:pt>
                <c:pt idx="23">
                  <c:v>45383</c:v>
                </c:pt>
                <c:pt idx="24">
                  <c:v>45352</c:v>
                </c:pt>
                <c:pt idx="25">
                  <c:v>45323</c:v>
                </c:pt>
                <c:pt idx="26">
                  <c:v>45292</c:v>
                </c:pt>
                <c:pt idx="27">
                  <c:v>45261</c:v>
                </c:pt>
                <c:pt idx="28">
                  <c:v>45231</c:v>
                </c:pt>
                <c:pt idx="29">
                  <c:v>45200</c:v>
                </c:pt>
                <c:pt idx="30">
                  <c:v>45170</c:v>
                </c:pt>
                <c:pt idx="31">
                  <c:v>45139</c:v>
                </c:pt>
                <c:pt idx="32">
                  <c:v>45108</c:v>
                </c:pt>
                <c:pt idx="33">
                  <c:v>45078</c:v>
                </c:pt>
                <c:pt idx="34">
                  <c:v>45047</c:v>
                </c:pt>
                <c:pt idx="35">
                  <c:v>45017</c:v>
                </c:pt>
                <c:pt idx="36">
                  <c:v>44986</c:v>
                </c:pt>
                <c:pt idx="37">
                  <c:v>44958</c:v>
                </c:pt>
                <c:pt idx="38">
                  <c:v>44927</c:v>
                </c:pt>
                <c:pt idx="39">
                  <c:v>44896</c:v>
                </c:pt>
                <c:pt idx="40">
                  <c:v>44866</c:v>
                </c:pt>
                <c:pt idx="41">
                  <c:v>44835</c:v>
                </c:pt>
                <c:pt idx="42">
                  <c:v>44805</c:v>
                </c:pt>
                <c:pt idx="43">
                  <c:v>44774</c:v>
                </c:pt>
                <c:pt idx="44">
                  <c:v>44743</c:v>
                </c:pt>
                <c:pt idx="45">
                  <c:v>44713</c:v>
                </c:pt>
                <c:pt idx="46">
                  <c:v>44682</c:v>
                </c:pt>
                <c:pt idx="47">
                  <c:v>44652</c:v>
                </c:pt>
                <c:pt idx="48">
                  <c:v>44621</c:v>
                </c:pt>
                <c:pt idx="49">
                  <c:v>44593</c:v>
                </c:pt>
                <c:pt idx="50">
                  <c:v>44562</c:v>
                </c:pt>
                <c:pt idx="51">
                  <c:v>44531</c:v>
                </c:pt>
                <c:pt idx="52">
                  <c:v>44501</c:v>
                </c:pt>
                <c:pt idx="53">
                  <c:v>44470</c:v>
                </c:pt>
                <c:pt idx="54">
                  <c:v>44440</c:v>
                </c:pt>
                <c:pt idx="55">
                  <c:v>44409</c:v>
                </c:pt>
                <c:pt idx="56">
                  <c:v>44378</c:v>
                </c:pt>
                <c:pt idx="57">
                  <c:v>44348</c:v>
                </c:pt>
                <c:pt idx="58">
                  <c:v>44317</c:v>
                </c:pt>
                <c:pt idx="59">
                  <c:v>44287</c:v>
                </c:pt>
                <c:pt idx="60">
                  <c:v>44256</c:v>
                </c:pt>
                <c:pt idx="61">
                  <c:v>44228</c:v>
                </c:pt>
                <c:pt idx="62">
                  <c:v>44197</c:v>
                </c:pt>
                <c:pt idx="63">
                  <c:v>44166</c:v>
                </c:pt>
                <c:pt idx="64">
                  <c:v>44136</c:v>
                </c:pt>
                <c:pt idx="65">
                  <c:v>44105</c:v>
                </c:pt>
                <c:pt idx="66">
                  <c:v>44075</c:v>
                </c:pt>
                <c:pt idx="67">
                  <c:v>44044</c:v>
                </c:pt>
                <c:pt idx="68">
                  <c:v>44013</c:v>
                </c:pt>
                <c:pt idx="69">
                  <c:v>43983</c:v>
                </c:pt>
                <c:pt idx="70">
                  <c:v>43952</c:v>
                </c:pt>
                <c:pt idx="71">
                  <c:v>43922</c:v>
                </c:pt>
                <c:pt idx="72">
                  <c:v>43891</c:v>
                </c:pt>
                <c:pt idx="73">
                  <c:v>43862</c:v>
                </c:pt>
                <c:pt idx="74">
                  <c:v>43831</c:v>
                </c:pt>
                <c:pt idx="75">
                  <c:v>43800</c:v>
                </c:pt>
                <c:pt idx="76">
                  <c:v>43770</c:v>
                </c:pt>
                <c:pt idx="77">
                  <c:v>43739</c:v>
                </c:pt>
                <c:pt idx="78">
                  <c:v>43709</c:v>
                </c:pt>
                <c:pt idx="79">
                  <c:v>43678</c:v>
                </c:pt>
                <c:pt idx="80">
                  <c:v>43647</c:v>
                </c:pt>
                <c:pt idx="81">
                  <c:v>43617</c:v>
                </c:pt>
                <c:pt idx="82">
                  <c:v>43586</c:v>
                </c:pt>
                <c:pt idx="83">
                  <c:v>43556</c:v>
                </c:pt>
                <c:pt idx="84">
                  <c:v>43525</c:v>
                </c:pt>
                <c:pt idx="85">
                  <c:v>43497</c:v>
                </c:pt>
                <c:pt idx="86">
                  <c:v>43466</c:v>
                </c:pt>
                <c:pt idx="87">
                  <c:v>43435</c:v>
                </c:pt>
                <c:pt idx="88">
                  <c:v>43405</c:v>
                </c:pt>
                <c:pt idx="89">
                  <c:v>43374</c:v>
                </c:pt>
                <c:pt idx="90">
                  <c:v>43344</c:v>
                </c:pt>
                <c:pt idx="91">
                  <c:v>43313</c:v>
                </c:pt>
                <c:pt idx="92">
                  <c:v>43282</c:v>
                </c:pt>
                <c:pt idx="93">
                  <c:v>43252</c:v>
                </c:pt>
                <c:pt idx="94">
                  <c:v>43221</c:v>
                </c:pt>
                <c:pt idx="95">
                  <c:v>43191</c:v>
                </c:pt>
                <c:pt idx="96">
                  <c:v>43160</c:v>
                </c:pt>
                <c:pt idx="97">
                  <c:v>43132</c:v>
                </c:pt>
                <c:pt idx="98">
                  <c:v>43101</c:v>
                </c:pt>
                <c:pt idx="99">
                  <c:v>43070</c:v>
                </c:pt>
                <c:pt idx="100">
                  <c:v>43040</c:v>
                </c:pt>
                <c:pt idx="101">
                  <c:v>43009</c:v>
                </c:pt>
                <c:pt idx="102">
                  <c:v>42979</c:v>
                </c:pt>
                <c:pt idx="103">
                  <c:v>42948</c:v>
                </c:pt>
                <c:pt idx="104">
                  <c:v>42917</c:v>
                </c:pt>
                <c:pt idx="105">
                  <c:v>42887</c:v>
                </c:pt>
                <c:pt idx="106">
                  <c:v>42856</c:v>
                </c:pt>
                <c:pt idx="107">
                  <c:v>42826</c:v>
                </c:pt>
                <c:pt idx="108">
                  <c:v>42795</c:v>
                </c:pt>
                <c:pt idx="109">
                  <c:v>42767</c:v>
                </c:pt>
                <c:pt idx="110">
                  <c:v>42736</c:v>
                </c:pt>
                <c:pt idx="111">
                  <c:v>42705</c:v>
                </c:pt>
                <c:pt idx="112">
                  <c:v>42675</c:v>
                </c:pt>
                <c:pt idx="113">
                  <c:v>42644</c:v>
                </c:pt>
                <c:pt idx="114">
                  <c:v>42614</c:v>
                </c:pt>
                <c:pt idx="115">
                  <c:v>42583</c:v>
                </c:pt>
                <c:pt idx="116">
                  <c:v>42552</c:v>
                </c:pt>
                <c:pt idx="117">
                  <c:v>42522</c:v>
                </c:pt>
                <c:pt idx="118">
                  <c:v>42491</c:v>
                </c:pt>
                <c:pt idx="119">
                  <c:v>42461</c:v>
                </c:pt>
                <c:pt idx="120">
                  <c:v>42430</c:v>
                </c:pt>
                <c:pt idx="121">
                  <c:v>42401</c:v>
                </c:pt>
                <c:pt idx="122">
                  <c:v>42370</c:v>
                </c:pt>
                <c:pt idx="123">
                  <c:v>42339</c:v>
                </c:pt>
                <c:pt idx="124">
                  <c:v>42309</c:v>
                </c:pt>
                <c:pt idx="125">
                  <c:v>42278</c:v>
                </c:pt>
                <c:pt idx="126">
                  <c:v>42248</c:v>
                </c:pt>
                <c:pt idx="127">
                  <c:v>42217</c:v>
                </c:pt>
                <c:pt idx="128">
                  <c:v>42186</c:v>
                </c:pt>
                <c:pt idx="129">
                  <c:v>42156</c:v>
                </c:pt>
                <c:pt idx="130">
                  <c:v>42125</c:v>
                </c:pt>
                <c:pt idx="131">
                  <c:v>42095</c:v>
                </c:pt>
                <c:pt idx="132">
                  <c:v>42064</c:v>
                </c:pt>
                <c:pt idx="133">
                  <c:v>42036</c:v>
                </c:pt>
                <c:pt idx="134">
                  <c:v>42005</c:v>
                </c:pt>
                <c:pt idx="135">
                  <c:v>41974</c:v>
                </c:pt>
                <c:pt idx="136">
                  <c:v>41944</c:v>
                </c:pt>
                <c:pt idx="137">
                  <c:v>41913</c:v>
                </c:pt>
                <c:pt idx="138">
                  <c:v>41883</c:v>
                </c:pt>
                <c:pt idx="139">
                  <c:v>41852</c:v>
                </c:pt>
                <c:pt idx="140">
                  <c:v>41821</c:v>
                </c:pt>
                <c:pt idx="141">
                  <c:v>41791</c:v>
                </c:pt>
                <c:pt idx="142">
                  <c:v>41760</c:v>
                </c:pt>
                <c:pt idx="143">
                  <c:v>41730</c:v>
                </c:pt>
                <c:pt idx="144">
                  <c:v>41699</c:v>
                </c:pt>
                <c:pt idx="145">
                  <c:v>41671</c:v>
                </c:pt>
                <c:pt idx="146">
                  <c:v>41640</c:v>
                </c:pt>
                <c:pt idx="147">
                  <c:v>41609</c:v>
                </c:pt>
                <c:pt idx="148">
                  <c:v>41579</c:v>
                </c:pt>
                <c:pt idx="149">
                  <c:v>41548</c:v>
                </c:pt>
                <c:pt idx="150">
                  <c:v>41518</c:v>
                </c:pt>
                <c:pt idx="151">
                  <c:v>41487</c:v>
                </c:pt>
                <c:pt idx="152">
                  <c:v>41456</c:v>
                </c:pt>
                <c:pt idx="153">
                  <c:v>41426</c:v>
                </c:pt>
                <c:pt idx="154">
                  <c:v>41395</c:v>
                </c:pt>
                <c:pt idx="155">
                  <c:v>41365</c:v>
                </c:pt>
                <c:pt idx="156">
                  <c:v>41334</c:v>
                </c:pt>
                <c:pt idx="157">
                  <c:v>41306</c:v>
                </c:pt>
                <c:pt idx="158">
                  <c:v>41275</c:v>
                </c:pt>
                <c:pt idx="159">
                  <c:v>41244</c:v>
                </c:pt>
                <c:pt idx="160">
                  <c:v>41214</c:v>
                </c:pt>
                <c:pt idx="161">
                  <c:v>41183</c:v>
                </c:pt>
                <c:pt idx="162">
                  <c:v>41153</c:v>
                </c:pt>
                <c:pt idx="163">
                  <c:v>41122</c:v>
                </c:pt>
                <c:pt idx="164">
                  <c:v>41091</c:v>
                </c:pt>
                <c:pt idx="165">
                  <c:v>41061</c:v>
                </c:pt>
                <c:pt idx="166">
                  <c:v>41030</c:v>
                </c:pt>
                <c:pt idx="167">
                  <c:v>41000</c:v>
                </c:pt>
                <c:pt idx="168">
                  <c:v>40969</c:v>
                </c:pt>
                <c:pt idx="169">
                  <c:v>40940</c:v>
                </c:pt>
                <c:pt idx="170">
                  <c:v>40909</c:v>
                </c:pt>
                <c:pt idx="171">
                  <c:v>40878</c:v>
                </c:pt>
                <c:pt idx="172">
                  <c:v>40848</c:v>
                </c:pt>
                <c:pt idx="173">
                  <c:v>40817</c:v>
                </c:pt>
                <c:pt idx="174">
                  <c:v>40787</c:v>
                </c:pt>
                <c:pt idx="175">
                  <c:v>40756</c:v>
                </c:pt>
                <c:pt idx="176">
                  <c:v>40725</c:v>
                </c:pt>
                <c:pt idx="177">
                  <c:v>40695</c:v>
                </c:pt>
                <c:pt idx="178">
                  <c:v>40664</c:v>
                </c:pt>
                <c:pt idx="179">
                  <c:v>40634</c:v>
                </c:pt>
                <c:pt idx="180">
                  <c:v>40603</c:v>
                </c:pt>
                <c:pt idx="181">
                  <c:v>40575</c:v>
                </c:pt>
                <c:pt idx="182">
                  <c:v>40544</c:v>
                </c:pt>
                <c:pt idx="183">
                  <c:v>40513</c:v>
                </c:pt>
                <c:pt idx="184">
                  <c:v>40483</c:v>
                </c:pt>
                <c:pt idx="185">
                  <c:v>40452</c:v>
                </c:pt>
                <c:pt idx="186">
                  <c:v>40422</c:v>
                </c:pt>
                <c:pt idx="187">
                  <c:v>40391</c:v>
                </c:pt>
                <c:pt idx="188">
                  <c:v>40360</c:v>
                </c:pt>
                <c:pt idx="189">
                  <c:v>40330</c:v>
                </c:pt>
                <c:pt idx="190">
                  <c:v>40299</c:v>
                </c:pt>
                <c:pt idx="191">
                  <c:v>40269</c:v>
                </c:pt>
                <c:pt idx="192">
                  <c:v>40238</c:v>
                </c:pt>
                <c:pt idx="193">
                  <c:v>40210</c:v>
                </c:pt>
                <c:pt idx="194">
                  <c:v>40179</c:v>
                </c:pt>
                <c:pt idx="195">
                  <c:v>40148</c:v>
                </c:pt>
                <c:pt idx="196">
                  <c:v>40118</c:v>
                </c:pt>
                <c:pt idx="197">
                  <c:v>40087</c:v>
                </c:pt>
                <c:pt idx="198">
                  <c:v>40057</c:v>
                </c:pt>
                <c:pt idx="199">
                  <c:v>40026</c:v>
                </c:pt>
                <c:pt idx="200">
                  <c:v>39995</c:v>
                </c:pt>
                <c:pt idx="201">
                  <c:v>39965</c:v>
                </c:pt>
                <c:pt idx="202">
                  <c:v>39934</c:v>
                </c:pt>
                <c:pt idx="203">
                  <c:v>39904</c:v>
                </c:pt>
                <c:pt idx="204">
                  <c:v>39873</c:v>
                </c:pt>
                <c:pt idx="205">
                  <c:v>39845</c:v>
                </c:pt>
                <c:pt idx="206">
                  <c:v>39814</c:v>
                </c:pt>
                <c:pt idx="207">
                  <c:v>39783</c:v>
                </c:pt>
                <c:pt idx="208">
                  <c:v>39753</c:v>
                </c:pt>
                <c:pt idx="209">
                  <c:v>39722</c:v>
                </c:pt>
                <c:pt idx="210">
                  <c:v>39692</c:v>
                </c:pt>
                <c:pt idx="211">
                  <c:v>39661</c:v>
                </c:pt>
                <c:pt idx="212">
                  <c:v>39630</c:v>
                </c:pt>
                <c:pt idx="213">
                  <c:v>39600</c:v>
                </c:pt>
                <c:pt idx="214">
                  <c:v>39569</c:v>
                </c:pt>
                <c:pt idx="215">
                  <c:v>39539</c:v>
                </c:pt>
                <c:pt idx="216">
                  <c:v>39508</c:v>
                </c:pt>
                <c:pt idx="217">
                  <c:v>39479</c:v>
                </c:pt>
                <c:pt idx="218">
                  <c:v>39448</c:v>
                </c:pt>
                <c:pt idx="219">
                  <c:v>39417</c:v>
                </c:pt>
                <c:pt idx="220">
                  <c:v>39387</c:v>
                </c:pt>
                <c:pt idx="221">
                  <c:v>39356</c:v>
                </c:pt>
                <c:pt idx="222">
                  <c:v>39326</c:v>
                </c:pt>
                <c:pt idx="223">
                  <c:v>39295</c:v>
                </c:pt>
                <c:pt idx="224">
                  <c:v>39264</c:v>
                </c:pt>
                <c:pt idx="225">
                  <c:v>39234</c:v>
                </c:pt>
                <c:pt idx="226">
                  <c:v>39203</c:v>
                </c:pt>
                <c:pt idx="227">
                  <c:v>39173</c:v>
                </c:pt>
                <c:pt idx="228">
                  <c:v>39142</c:v>
                </c:pt>
                <c:pt idx="229">
                  <c:v>39114</c:v>
                </c:pt>
                <c:pt idx="230">
                  <c:v>39083</c:v>
                </c:pt>
                <c:pt idx="231">
                  <c:v>39052</c:v>
                </c:pt>
                <c:pt idx="232">
                  <c:v>39022</c:v>
                </c:pt>
                <c:pt idx="233">
                  <c:v>38991</c:v>
                </c:pt>
                <c:pt idx="234">
                  <c:v>38961</c:v>
                </c:pt>
                <c:pt idx="235">
                  <c:v>38930</c:v>
                </c:pt>
                <c:pt idx="236">
                  <c:v>38899</c:v>
                </c:pt>
                <c:pt idx="237">
                  <c:v>38869</c:v>
                </c:pt>
                <c:pt idx="238">
                  <c:v>38838</c:v>
                </c:pt>
                <c:pt idx="239">
                  <c:v>38808</c:v>
                </c:pt>
                <c:pt idx="240">
                  <c:v>38777</c:v>
                </c:pt>
                <c:pt idx="241">
                  <c:v>38749</c:v>
                </c:pt>
                <c:pt idx="242">
                  <c:v>38718</c:v>
                </c:pt>
                <c:pt idx="243">
                  <c:v>38687</c:v>
                </c:pt>
                <c:pt idx="244">
                  <c:v>38657</c:v>
                </c:pt>
                <c:pt idx="245">
                  <c:v>38626</c:v>
                </c:pt>
                <c:pt idx="246">
                  <c:v>38596</c:v>
                </c:pt>
                <c:pt idx="247">
                  <c:v>38565</c:v>
                </c:pt>
                <c:pt idx="248">
                  <c:v>38534</c:v>
                </c:pt>
                <c:pt idx="249">
                  <c:v>38504</c:v>
                </c:pt>
                <c:pt idx="250">
                  <c:v>38473</c:v>
                </c:pt>
                <c:pt idx="251">
                  <c:v>38443</c:v>
                </c:pt>
                <c:pt idx="252">
                  <c:v>38412</c:v>
                </c:pt>
                <c:pt idx="253">
                  <c:v>38384</c:v>
                </c:pt>
                <c:pt idx="254">
                  <c:v>38353</c:v>
                </c:pt>
                <c:pt idx="255">
                  <c:v>38322</c:v>
                </c:pt>
                <c:pt idx="256">
                  <c:v>38292</c:v>
                </c:pt>
                <c:pt idx="257">
                  <c:v>38261</c:v>
                </c:pt>
                <c:pt idx="258">
                  <c:v>38231</c:v>
                </c:pt>
                <c:pt idx="259">
                  <c:v>38200</c:v>
                </c:pt>
                <c:pt idx="260">
                  <c:v>38169</c:v>
                </c:pt>
                <c:pt idx="261">
                  <c:v>38139</c:v>
                </c:pt>
                <c:pt idx="262">
                  <c:v>38108</c:v>
                </c:pt>
                <c:pt idx="263">
                  <c:v>38078</c:v>
                </c:pt>
                <c:pt idx="264">
                  <c:v>38047</c:v>
                </c:pt>
                <c:pt idx="265">
                  <c:v>38018</c:v>
                </c:pt>
                <c:pt idx="266">
                  <c:v>37987</c:v>
                </c:pt>
                <c:pt idx="267">
                  <c:v>37956</c:v>
                </c:pt>
                <c:pt idx="268">
                  <c:v>37926</c:v>
                </c:pt>
                <c:pt idx="269">
                  <c:v>37895</c:v>
                </c:pt>
                <c:pt idx="270">
                  <c:v>37865</c:v>
                </c:pt>
                <c:pt idx="271">
                  <c:v>37834</c:v>
                </c:pt>
                <c:pt idx="272">
                  <c:v>37803</c:v>
                </c:pt>
                <c:pt idx="273">
                  <c:v>37773</c:v>
                </c:pt>
                <c:pt idx="274">
                  <c:v>37742</c:v>
                </c:pt>
                <c:pt idx="275">
                  <c:v>37712</c:v>
                </c:pt>
                <c:pt idx="276">
                  <c:v>37681</c:v>
                </c:pt>
                <c:pt idx="277">
                  <c:v>37653</c:v>
                </c:pt>
                <c:pt idx="278">
                  <c:v>37622</c:v>
                </c:pt>
                <c:pt idx="279">
                  <c:v>37591</c:v>
                </c:pt>
                <c:pt idx="280">
                  <c:v>37561</c:v>
                </c:pt>
                <c:pt idx="281">
                  <c:v>37530</c:v>
                </c:pt>
                <c:pt idx="282">
                  <c:v>37500</c:v>
                </c:pt>
                <c:pt idx="283">
                  <c:v>37469</c:v>
                </c:pt>
                <c:pt idx="284">
                  <c:v>37438</c:v>
                </c:pt>
                <c:pt idx="285">
                  <c:v>37408</c:v>
                </c:pt>
                <c:pt idx="286">
                  <c:v>37377</c:v>
                </c:pt>
                <c:pt idx="287">
                  <c:v>37347</c:v>
                </c:pt>
                <c:pt idx="288">
                  <c:v>37316</c:v>
                </c:pt>
                <c:pt idx="289">
                  <c:v>37288</c:v>
                </c:pt>
                <c:pt idx="290">
                  <c:v>37257</c:v>
                </c:pt>
                <c:pt idx="291">
                  <c:v>37226</c:v>
                </c:pt>
                <c:pt idx="292">
                  <c:v>37196</c:v>
                </c:pt>
                <c:pt idx="293">
                  <c:v>37165</c:v>
                </c:pt>
                <c:pt idx="294">
                  <c:v>37135</c:v>
                </c:pt>
                <c:pt idx="295">
                  <c:v>37104</c:v>
                </c:pt>
                <c:pt idx="296">
                  <c:v>37073</c:v>
                </c:pt>
                <c:pt idx="297">
                  <c:v>37043</c:v>
                </c:pt>
                <c:pt idx="298">
                  <c:v>37012</c:v>
                </c:pt>
                <c:pt idx="299">
                  <c:v>36982</c:v>
                </c:pt>
                <c:pt idx="300">
                  <c:v>36951</c:v>
                </c:pt>
                <c:pt idx="301">
                  <c:v>36923</c:v>
                </c:pt>
                <c:pt idx="302">
                  <c:v>36892</c:v>
                </c:pt>
                <c:pt idx="303">
                  <c:v>36861</c:v>
                </c:pt>
                <c:pt idx="304">
                  <c:v>36831</c:v>
                </c:pt>
                <c:pt idx="305">
                  <c:v>36800</c:v>
                </c:pt>
                <c:pt idx="306">
                  <c:v>36770</c:v>
                </c:pt>
                <c:pt idx="307">
                  <c:v>36739</c:v>
                </c:pt>
                <c:pt idx="308">
                  <c:v>36708</c:v>
                </c:pt>
                <c:pt idx="309">
                  <c:v>36678</c:v>
                </c:pt>
                <c:pt idx="310">
                  <c:v>36647</c:v>
                </c:pt>
                <c:pt idx="311">
                  <c:v>36617</c:v>
                </c:pt>
                <c:pt idx="312">
                  <c:v>36586</c:v>
                </c:pt>
                <c:pt idx="313">
                  <c:v>36557</c:v>
                </c:pt>
                <c:pt idx="314">
                  <c:v>36526</c:v>
                </c:pt>
                <c:pt idx="315">
                  <c:v>36495</c:v>
                </c:pt>
                <c:pt idx="316">
                  <c:v>36465</c:v>
                </c:pt>
                <c:pt idx="317">
                  <c:v>36434</c:v>
                </c:pt>
                <c:pt idx="318">
                  <c:v>36404</c:v>
                </c:pt>
                <c:pt idx="319">
                  <c:v>36373</c:v>
                </c:pt>
                <c:pt idx="320">
                  <c:v>36342</c:v>
                </c:pt>
                <c:pt idx="321">
                  <c:v>36312</c:v>
                </c:pt>
                <c:pt idx="322">
                  <c:v>36281</c:v>
                </c:pt>
                <c:pt idx="323">
                  <c:v>36251</c:v>
                </c:pt>
                <c:pt idx="324">
                  <c:v>36220</c:v>
                </c:pt>
                <c:pt idx="325">
                  <c:v>36192</c:v>
                </c:pt>
                <c:pt idx="326">
                  <c:v>36161</c:v>
                </c:pt>
                <c:pt idx="327">
                  <c:v>36130</c:v>
                </c:pt>
                <c:pt idx="328">
                  <c:v>36100</c:v>
                </c:pt>
                <c:pt idx="329">
                  <c:v>36069</c:v>
                </c:pt>
                <c:pt idx="330">
                  <c:v>36039</c:v>
                </c:pt>
                <c:pt idx="331">
                  <c:v>36008</c:v>
                </c:pt>
                <c:pt idx="332">
                  <c:v>35977</c:v>
                </c:pt>
                <c:pt idx="333">
                  <c:v>35947</c:v>
                </c:pt>
                <c:pt idx="334">
                  <c:v>35916</c:v>
                </c:pt>
                <c:pt idx="335">
                  <c:v>35886</c:v>
                </c:pt>
                <c:pt idx="336">
                  <c:v>35855</c:v>
                </c:pt>
                <c:pt idx="337">
                  <c:v>35827</c:v>
                </c:pt>
                <c:pt idx="338">
                  <c:v>35796</c:v>
                </c:pt>
                <c:pt idx="339">
                  <c:v>35765</c:v>
                </c:pt>
                <c:pt idx="340">
                  <c:v>35735</c:v>
                </c:pt>
                <c:pt idx="341">
                  <c:v>35704</c:v>
                </c:pt>
                <c:pt idx="342">
                  <c:v>35674</c:v>
                </c:pt>
                <c:pt idx="343">
                  <c:v>35643</c:v>
                </c:pt>
                <c:pt idx="344">
                  <c:v>35612</c:v>
                </c:pt>
                <c:pt idx="345">
                  <c:v>35582</c:v>
                </c:pt>
                <c:pt idx="346">
                  <c:v>35551</c:v>
                </c:pt>
                <c:pt idx="347">
                  <c:v>35521</c:v>
                </c:pt>
                <c:pt idx="348">
                  <c:v>35490</c:v>
                </c:pt>
                <c:pt idx="349">
                  <c:v>35462</c:v>
                </c:pt>
                <c:pt idx="350">
                  <c:v>35431</c:v>
                </c:pt>
                <c:pt idx="351">
                  <c:v>35400</c:v>
                </c:pt>
                <c:pt idx="352">
                  <c:v>35370</c:v>
                </c:pt>
                <c:pt idx="353">
                  <c:v>35339</c:v>
                </c:pt>
                <c:pt idx="354">
                  <c:v>35309</c:v>
                </c:pt>
                <c:pt idx="355">
                  <c:v>35278</c:v>
                </c:pt>
                <c:pt idx="356">
                  <c:v>35247</c:v>
                </c:pt>
                <c:pt idx="357">
                  <c:v>35217</c:v>
                </c:pt>
                <c:pt idx="358">
                  <c:v>35186</c:v>
                </c:pt>
                <c:pt idx="359">
                  <c:v>35156</c:v>
                </c:pt>
                <c:pt idx="360">
                  <c:v>35125</c:v>
                </c:pt>
                <c:pt idx="361">
                  <c:v>35096</c:v>
                </c:pt>
                <c:pt idx="362">
                  <c:v>35065</c:v>
                </c:pt>
                <c:pt idx="363">
                  <c:v>35034</c:v>
                </c:pt>
                <c:pt idx="364">
                  <c:v>35004</c:v>
                </c:pt>
                <c:pt idx="365">
                  <c:v>34973</c:v>
                </c:pt>
                <c:pt idx="366">
                  <c:v>34943</c:v>
                </c:pt>
                <c:pt idx="367">
                  <c:v>34912</c:v>
                </c:pt>
                <c:pt idx="368">
                  <c:v>34881</c:v>
                </c:pt>
                <c:pt idx="369">
                  <c:v>34851</c:v>
                </c:pt>
                <c:pt idx="370">
                  <c:v>34820</c:v>
                </c:pt>
                <c:pt idx="371">
                  <c:v>34790</c:v>
                </c:pt>
                <c:pt idx="372">
                  <c:v>34759</c:v>
                </c:pt>
                <c:pt idx="373">
                  <c:v>34731</c:v>
                </c:pt>
                <c:pt idx="374">
                  <c:v>34700</c:v>
                </c:pt>
                <c:pt idx="375">
                  <c:v>34669</c:v>
                </c:pt>
                <c:pt idx="376">
                  <c:v>34639</c:v>
                </c:pt>
                <c:pt idx="377">
                  <c:v>34608</c:v>
                </c:pt>
                <c:pt idx="378">
                  <c:v>34578</c:v>
                </c:pt>
                <c:pt idx="379">
                  <c:v>34547</c:v>
                </c:pt>
                <c:pt idx="380">
                  <c:v>34516</c:v>
                </c:pt>
                <c:pt idx="381">
                  <c:v>34486</c:v>
                </c:pt>
                <c:pt idx="382">
                  <c:v>34455</c:v>
                </c:pt>
                <c:pt idx="383">
                  <c:v>34425</c:v>
                </c:pt>
                <c:pt idx="384">
                  <c:v>34394</c:v>
                </c:pt>
                <c:pt idx="385">
                  <c:v>34366</c:v>
                </c:pt>
                <c:pt idx="386">
                  <c:v>34335</c:v>
                </c:pt>
                <c:pt idx="387">
                  <c:v>34304</c:v>
                </c:pt>
                <c:pt idx="388">
                  <c:v>34274</c:v>
                </c:pt>
                <c:pt idx="389">
                  <c:v>34243</c:v>
                </c:pt>
                <c:pt idx="390">
                  <c:v>34213</c:v>
                </c:pt>
                <c:pt idx="391">
                  <c:v>34182</c:v>
                </c:pt>
                <c:pt idx="392">
                  <c:v>34151</c:v>
                </c:pt>
                <c:pt idx="393">
                  <c:v>34121</c:v>
                </c:pt>
                <c:pt idx="394">
                  <c:v>34090</c:v>
                </c:pt>
                <c:pt idx="395">
                  <c:v>34060</c:v>
                </c:pt>
                <c:pt idx="396">
                  <c:v>34029</c:v>
                </c:pt>
                <c:pt idx="397">
                  <c:v>34001</c:v>
                </c:pt>
                <c:pt idx="398">
                  <c:v>33970</c:v>
                </c:pt>
                <c:pt idx="399">
                  <c:v>33939</c:v>
                </c:pt>
                <c:pt idx="400">
                  <c:v>33909</c:v>
                </c:pt>
                <c:pt idx="401">
                  <c:v>33878</c:v>
                </c:pt>
                <c:pt idx="402">
                  <c:v>33848</c:v>
                </c:pt>
                <c:pt idx="403">
                  <c:v>33817</c:v>
                </c:pt>
                <c:pt idx="404">
                  <c:v>33786</c:v>
                </c:pt>
                <c:pt idx="405">
                  <c:v>33756</c:v>
                </c:pt>
                <c:pt idx="406">
                  <c:v>33725</c:v>
                </c:pt>
                <c:pt idx="407">
                  <c:v>33695</c:v>
                </c:pt>
                <c:pt idx="408">
                  <c:v>33664</c:v>
                </c:pt>
                <c:pt idx="409">
                  <c:v>33635</c:v>
                </c:pt>
                <c:pt idx="410">
                  <c:v>33604</c:v>
                </c:pt>
                <c:pt idx="411">
                  <c:v>33573</c:v>
                </c:pt>
                <c:pt idx="412">
                  <c:v>33543</c:v>
                </c:pt>
                <c:pt idx="413">
                  <c:v>33512</c:v>
                </c:pt>
                <c:pt idx="414">
                  <c:v>33482</c:v>
                </c:pt>
                <c:pt idx="415">
                  <c:v>33451</c:v>
                </c:pt>
                <c:pt idx="416">
                  <c:v>33420</c:v>
                </c:pt>
                <c:pt idx="417">
                  <c:v>33390</c:v>
                </c:pt>
                <c:pt idx="418">
                  <c:v>33359</c:v>
                </c:pt>
                <c:pt idx="419">
                  <c:v>33329</c:v>
                </c:pt>
                <c:pt idx="420">
                  <c:v>33298</c:v>
                </c:pt>
                <c:pt idx="421">
                  <c:v>33270</c:v>
                </c:pt>
                <c:pt idx="422">
                  <c:v>33239</c:v>
                </c:pt>
                <c:pt idx="423">
                  <c:v>33208</c:v>
                </c:pt>
                <c:pt idx="424">
                  <c:v>33178</c:v>
                </c:pt>
                <c:pt idx="425">
                  <c:v>33147</c:v>
                </c:pt>
                <c:pt idx="426">
                  <c:v>33117</c:v>
                </c:pt>
                <c:pt idx="427">
                  <c:v>33086</c:v>
                </c:pt>
                <c:pt idx="428">
                  <c:v>33055</c:v>
                </c:pt>
                <c:pt idx="429">
                  <c:v>33025</c:v>
                </c:pt>
                <c:pt idx="430">
                  <c:v>32994</c:v>
                </c:pt>
                <c:pt idx="431">
                  <c:v>32964</c:v>
                </c:pt>
                <c:pt idx="432">
                  <c:v>32933</c:v>
                </c:pt>
                <c:pt idx="433">
                  <c:v>32905</c:v>
                </c:pt>
                <c:pt idx="434">
                  <c:v>32874</c:v>
                </c:pt>
                <c:pt idx="435">
                  <c:v>32843</c:v>
                </c:pt>
                <c:pt idx="436">
                  <c:v>32813</c:v>
                </c:pt>
                <c:pt idx="437">
                  <c:v>32782</c:v>
                </c:pt>
                <c:pt idx="438">
                  <c:v>32752</c:v>
                </c:pt>
                <c:pt idx="439">
                  <c:v>32721</c:v>
                </c:pt>
                <c:pt idx="440">
                  <c:v>32690</c:v>
                </c:pt>
                <c:pt idx="441">
                  <c:v>32660</c:v>
                </c:pt>
                <c:pt idx="442">
                  <c:v>32629</c:v>
                </c:pt>
                <c:pt idx="443">
                  <c:v>32599</c:v>
                </c:pt>
                <c:pt idx="444">
                  <c:v>32568</c:v>
                </c:pt>
                <c:pt idx="445">
                  <c:v>32540</c:v>
                </c:pt>
                <c:pt idx="446">
                  <c:v>32509</c:v>
                </c:pt>
                <c:pt idx="447">
                  <c:v>32478</c:v>
                </c:pt>
                <c:pt idx="448">
                  <c:v>32448</c:v>
                </c:pt>
                <c:pt idx="449">
                  <c:v>32417</c:v>
                </c:pt>
                <c:pt idx="450">
                  <c:v>32387</c:v>
                </c:pt>
                <c:pt idx="451">
                  <c:v>32356</c:v>
                </c:pt>
                <c:pt idx="452">
                  <c:v>32325</c:v>
                </c:pt>
                <c:pt idx="453">
                  <c:v>32295</c:v>
                </c:pt>
                <c:pt idx="454">
                  <c:v>32264</c:v>
                </c:pt>
                <c:pt idx="455">
                  <c:v>32234</c:v>
                </c:pt>
                <c:pt idx="456">
                  <c:v>32203</c:v>
                </c:pt>
                <c:pt idx="457">
                  <c:v>32174</c:v>
                </c:pt>
                <c:pt idx="458">
                  <c:v>32143</c:v>
                </c:pt>
                <c:pt idx="459">
                  <c:v>32112</c:v>
                </c:pt>
                <c:pt idx="460">
                  <c:v>32082</c:v>
                </c:pt>
                <c:pt idx="461">
                  <c:v>32051</c:v>
                </c:pt>
                <c:pt idx="462">
                  <c:v>32021</c:v>
                </c:pt>
                <c:pt idx="463">
                  <c:v>31990</c:v>
                </c:pt>
                <c:pt idx="464">
                  <c:v>31959</c:v>
                </c:pt>
              </c:numCache>
            </c:numRef>
          </c:cat>
          <c:val>
            <c:numRef>
              <c:f>'Chart 2.14 data'!$R$3:$R$467</c:f>
              <c:numCache>
                <c:formatCode>0.00</c:formatCode>
                <c:ptCount val="465"/>
                <c:pt idx="0">
                  <c:v>5.4549155302259233</c:v>
                </c:pt>
                <c:pt idx="1">
                  <c:v>3.5404550556065617</c:v>
                </c:pt>
                <c:pt idx="2">
                  <c:v>3.8217213114754234</c:v>
                </c:pt>
                <c:pt idx="3">
                  <c:v>3.442572107929287</c:v>
                </c:pt>
                <c:pt idx="4">
                  <c:v>3.3130354009701657</c:v>
                </c:pt>
                <c:pt idx="5">
                  <c:v>3.7602576088085593</c:v>
                </c:pt>
                <c:pt idx="6">
                  <c:v>3.6591686534674039</c:v>
                </c:pt>
                <c:pt idx="7">
                  <c:v>2.9975278121137094</c:v>
                </c:pt>
                <c:pt idx="8">
                  <c:v>2.3758320532514032</c:v>
                </c:pt>
                <c:pt idx="9">
                  <c:v>1.1930474133497793</c:v>
                </c:pt>
                <c:pt idx="10">
                  <c:v>1.046475838719596</c:v>
                </c:pt>
                <c:pt idx="11">
                  <c:v>0.93094629156009745</c:v>
                </c:pt>
                <c:pt idx="12">
                  <c:v>1.3235294117647234</c:v>
                </c:pt>
                <c:pt idx="13">
                  <c:v>#N/A</c:v>
                </c:pt>
                <c:pt idx="14">
                  <c:v>#N/A</c:v>
                </c:pt>
                <c:pt idx="15">
                  <c:v>0.81300813008129413</c:v>
                </c:pt>
                <c:pt idx="16">
                  <c:v>#N/A</c:v>
                </c:pt>
                <c:pt idx="17">
                  <c:v>#N/A</c:v>
                </c:pt>
                <c:pt idx="18">
                  <c:v>1.4105419450631151</c:v>
                </c:pt>
                <c:pt idx="19">
                  <c:v>#N/A</c:v>
                </c:pt>
                <c:pt idx="20">
                  <c:v>#N/A</c:v>
                </c:pt>
                <c:pt idx="21">
                  <c:v>3.2306536438768019</c:v>
                </c:pt>
                <c:pt idx="22">
                  <c:v>#N/A</c:v>
                </c:pt>
                <c:pt idx="23">
                  <c:v>#N/A</c:v>
                </c:pt>
                <c:pt idx="24">
                  <c:v>3.1084154662623265</c:v>
                </c:pt>
                <c:pt idx="25">
                  <c:v>#N/A</c:v>
                </c:pt>
                <c:pt idx="26">
                  <c:v>#N/A</c:v>
                </c:pt>
                <c:pt idx="27">
                  <c:v>3.7576687116564367</c:v>
                </c:pt>
                <c:pt idx="28">
                  <c:v>#N/A</c:v>
                </c:pt>
                <c:pt idx="29">
                  <c:v>#N/A</c:v>
                </c:pt>
                <c:pt idx="30">
                  <c:v>4.9065420560747475</c:v>
                </c:pt>
                <c:pt idx="31">
                  <c:v>#N/A</c:v>
                </c:pt>
                <c:pt idx="32">
                  <c:v>#N/A</c:v>
                </c:pt>
                <c:pt idx="33">
                  <c:v>5.802861685214622</c:v>
                </c:pt>
                <c:pt idx="34">
                  <c:v>#N/A</c:v>
                </c:pt>
                <c:pt idx="35">
                  <c:v>#N/A</c:v>
                </c:pt>
                <c:pt idx="36">
                  <c:v>7.5856443719412914</c:v>
                </c:pt>
                <c:pt idx="37">
                  <c:v>#N/A</c:v>
                </c:pt>
                <c:pt idx="38">
                  <c:v>#N/A</c:v>
                </c:pt>
                <c:pt idx="39">
                  <c:v>9.487825356843004</c:v>
                </c:pt>
                <c:pt idx="40">
                  <c:v>#N/A</c:v>
                </c:pt>
                <c:pt idx="41">
                  <c:v>#N/A</c:v>
                </c:pt>
                <c:pt idx="42">
                  <c:v>9.5563139931740704</c:v>
                </c:pt>
                <c:pt idx="43">
                  <c:v>#N/A</c:v>
                </c:pt>
                <c:pt idx="44">
                  <c:v>#N/A</c:v>
                </c:pt>
                <c:pt idx="45">
                  <c:v>8.3548664944013815</c:v>
                </c:pt>
                <c:pt idx="46">
                  <c:v>#N/A</c:v>
                </c:pt>
                <c:pt idx="47">
                  <c:v>#N/A</c:v>
                </c:pt>
                <c:pt idx="48">
                  <c:v>6.6086956521739015</c:v>
                </c:pt>
                <c:pt idx="49">
                  <c:v>#N/A</c:v>
                </c:pt>
                <c:pt idx="50">
                  <c:v>#N/A</c:v>
                </c:pt>
                <c:pt idx="51">
                  <c:v>4.2907180385288957</c:v>
                </c:pt>
                <c:pt idx="52">
                  <c:v>#N/A</c:v>
                </c:pt>
                <c:pt idx="53">
                  <c:v>#N/A</c:v>
                </c:pt>
                <c:pt idx="54">
                  <c:v>2.8070175438596578</c:v>
                </c:pt>
                <c:pt idx="55">
                  <c:v>#N/A</c:v>
                </c:pt>
                <c:pt idx="56">
                  <c:v>#N/A</c:v>
                </c:pt>
                <c:pt idx="57">
                  <c:v>2.8343666961913039</c:v>
                </c:pt>
                <c:pt idx="58">
                  <c:v>#N/A</c:v>
                </c:pt>
                <c:pt idx="59">
                  <c:v>#N/A</c:v>
                </c:pt>
                <c:pt idx="60">
                  <c:v>1.1433597185576128</c:v>
                </c:pt>
                <c:pt idx="61">
                  <c:v>#N/A</c:v>
                </c:pt>
                <c:pt idx="62">
                  <c:v>#N/A</c:v>
                </c:pt>
                <c:pt idx="63">
                  <c:v>1.0619469026548645</c:v>
                </c:pt>
                <c:pt idx="64">
                  <c:v>#N/A</c:v>
                </c:pt>
                <c:pt idx="65">
                  <c:v>#N/A</c:v>
                </c:pt>
                <c:pt idx="66">
                  <c:v>1.7857142857142794</c:v>
                </c:pt>
                <c:pt idx="67">
                  <c:v>#N/A</c:v>
                </c:pt>
                <c:pt idx="68">
                  <c:v>#N/A</c:v>
                </c:pt>
                <c:pt idx="69">
                  <c:v>1.255605381165914</c:v>
                </c:pt>
                <c:pt idx="70">
                  <c:v>#N/A</c:v>
                </c:pt>
                <c:pt idx="71">
                  <c:v>#N/A</c:v>
                </c:pt>
                <c:pt idx="72">
                  <c:v>2.7100271002709952</c:v>
                </c:pt>
                <c:pt idx="73">
                  <c:v>#N/A</c:v>
                </c:pt>
                <c:pt idx="74">
                  <c:v>#N/A</c:v>
                </c:pt>
                <c:pt idx="75">
                  <c:v>1.8935978358881833</c:v>
                </c:pt>
                <c:pt idx="76">
                  <c:v>#N/A</c:v>
                </c:pt>
                <c:pt idx="77">
                  <c:v>#N/A</c:v>
                </c:pt>
                <c:pt idx="78">
                  <c:v>1.5412511332729029</c:v>
                </c:pt>
                <c:pt idx="79">
                  <c:v>#N/A</c:v>
                </c:pt>
                <c:pt idx="80">
                  <c:v>#N/A</c:v>
                </c:pt>
                <c:pt idx="81">
                  <c:v>1.5482695810564717</c:v>
                </c:pt>
                <c:pt idx="82">
                  <c:v>#N/A</c:v>
                </c:pt>
                <c:pt idx="83">
                  <c:v>#N/A</c:v>
                </c:pt>
                <c:pt idx="84">
                  <c:v>1.2808783165599413</c:v>
                </c:pt>
                <c:pt idx="85">
                  <c:v>#N/A</c:v>
                </c:pt>
                <c:pt idx="86">
                  <c:v>#N/A</c:v>
                </c:pt>
                <c:pt idx="87">
                  <c:v>1.7431192660550598</c:v>
                </c:pt>
                <c:pt idx="88">
                  <c:v>#N/A</c:v>
                </c:pt>
                <c:pt idx="89">
                  <c:v>#N/A</c:v>
                </c:pt>
                <c:pt idx="90">
                  <c:v>2.2242817423540284</c:v>
                </c:pt>
                <c:pt idx="91">
                  <c:v>#N/A</c:v>
                </c:pt>
                <c:pt idx="92">
                  <c:v>#N/A</c:v>
                </c:pt>
                <c:pt idx="93">
                  <c:v>2.329916123019582</c:v>
                </c:pt>
                <c:pt idx="94">
                  <c:v>#N/A</c:v>
                </c:pt>
                <c:pt idx="95">
                  <c:v>#N/A</c:v>
                </c:pt>
                <c:pt idx="96">
                  <c:v>1.9589552238805874</c:v>
                </c:pt>
                <c:pt idx="97">
                  <c:v>#N/A</c:v>
                </c:pt>
                <c:pt idx="98">
                  <c:v>#N/A</c:v>
                </c:pt>
                <c:pt idx="99">
                  <c:v>2.1555763823805085</c:v>
                </c:pt>
                <c:pt idx="100">
                  <c:v>#N/A</c:v>
                </c:pt>
                <c:pt idx="101">
                  <c:v>#N/A</c:v>
                </c:pt>
                <c:pt idx="102">
                  <c:v>1.7924528301886955</c:v>
                </c:pt>
                <c:pt idx="103">
                  <c:v>#N/A</c:v>
                </c:pt>
                <c:pt idx="104">
                  <c:v>#N/A</c:v>
                </c:pt>
                <c:pt idx="105">
                  <c:v>1.9961977186311763</c:v>
                </c:pt>
                <c:pt idx="106">
                  <c:v>#N/A</c:v>
                </c:pt>
                <c:pt idx="107">
                  <c:v>#N/A</c:v>
                </c:pt>
                <c:pt idx="108">
                  <c:v>2.4856596558317401</c:v>
                </c:pt>
                <c:pt idx="109">
                  <c:v>#N/A</c:v>
                </c:pt>
                <c:pt idx="110">
                  <c:v>#N/A</c:v>
                </c:pt>
                <c:pt idx="111">
                  <c:v>1.3295346628680038</c:v>
                </c:pt>
                <c:pt idx="112">
                  <c:v>#N/A</c:v>
                </c:pt>
                <c:pt idx="113">
                  <c:v>#N/A</c:v>
                </c:pt>
                <c:pt idx="114">
                  <c:v>0.952380952380949</c:v>
                </c:pt>
                <c:pt idx="115">
                  <c:v>#N/A</c:v>
                </c:pt>
                <c:pt idx="116">
                  <c:v>#N/A</c:v>
                </c:pt>
                <c:pt idx="117">
                  <c:v>0.28598665395613843</c:v>
                </c:pt>
                <c:pt idx="118">
                  <c:v>#N/A</c:v>
                </c:pt>
                <c:pt idx="119">
                  <c:v>#N/A</c:v>
                </c:pt>
                <c:pt idx="120">
                  <c:v>0.86788813886209404</c:v>
                </c:pt>
                <c:pt idx="121">
                  <c:v>#N/A</c:v>
                </c:pt>
                <c:pt idx="122">
                  <c:v>#N/A</c:v>
                </c:pt>
                <c:pt idx="123">
                  <c:v>1.1527377521613813</c:v>
                </c:pt>
                <c:pt idx="124">
                  <c:v>#N/A</c:v>
                </c:pt>
                <c:pt idx="125">
                  <c:v>#N/A</c:v>
                </c:pt>
                <c:pt idx="126">
                  <c:v>0.57471264367816577</c:v>
                </c:pt>
                <c:pt idx="127">
                  <c:v>#N/A</c:v>
                </c:pt>
                <c:pt idx="128">
                  <c:v>#N/A</c:v>
                </c:pt>
                <c:pt idx="129">
                  <c:v>0.67178502879079449</c:v>
                </c:pt>
                <c:pt idx="130">
                  <c:v>#N/A</c:v>
                </c:pt>
                <c:pt idx="131">
                  <c:v>#N/A</c:v>
                </c:pt>
                <c:pt idx="132">
                  <c:v>0</c:v>
                </c:pt>
                <c:pt idx="133">
                  <c:v>#N/A</c:v>
                </c:pt>
                <c:pt idx="134">
                  <c:v>#N/A</c:v>
                </c:pt>
                <c:pt idx="135">
                  <c:v>0.96993210475266878</c:v>
                </c:pt>
                <c:pt idx="136">
                  <c:v>#N/A</c:v>
                </c:pt>
                <c:pt idx="137">
                  <c:v>#N/A</c:v>
                </c:pt>
                <c:pt idx="138">
                  <c:v>1.8536585365853675</c:v>
                </c:pt>
                <c:pt idx="139">
                  <c:v>#N/A</c:v>
                </c:pt>
                <c:pt idx="140">
                  <c:v>#N/A</c:v>
                </c:pt>
                <c:pt idx="141">
                  <c:v>2.8627838104639647</c:v>
                </c:pt>
                <c:pt idx="142">
                  <c:v>#N/A</c:v>
                </c:pt>
                <c:pt idx="143">
                  <c:v>#N/A</c:v>
                </c:pt>
                <c:pt idx="144">
                  <c:v>2.6732673267326756</c:v>
                </c:pt>
                <c:pt idx="145">
                  <c:v>#N/A</c:v>
                </c:pt>
                <c:pt idx="146">
                  <c:v>#N/A</c:v>
                </c:pt>
                <c:pt idx="147">
                  <c:v>1.9782393669633969</c:v>
                </c:pt>
                <c:pt idx="148">
                  <c:v>#N/A</c:v>
                </c:pt>
                <c:pt idx="149">
                  <c:v>#N/A</c:v>
                </c:pt>
                <c:pt idx="150">
                  <c:v>1.1846001974333609</c:v>
                </c:pt>
                <c:pt idx="151">
                  <c:v>#N/A</c:v>
                </c:pt>
                <c:pt idx="152">
                  <c:v>#N/A</c:v>
                </c:pt>
                <c:pt idx="153">
                  <c:v>1.2999999999999901</c:v>
                </c:pt>
                <c:pt idx="154">
                  <c:v>#N/A</c:v>
                </c:pt>
                <c:pt idx="155">
                  <c:v>#N/A</c:v>
                </c:pt>
                <c:pt idx="156">
                  <c:v>1.5075376884422065</c:v>
                </c:pt>
                <c:pt idx="157">
                  <c:v>#N/A</c:v>
                </c:pt>
                <c:pt idx="158">
                  <c:v>#N/A</c:v>
                </c:pt>
                <c:pt idx="159">
                  <c:v>1.0999999999999899</c:v>
                </c:pt>
                <c:pt idx="160">
                  <c:v>#N/A</c:v>
                </c:pt>
                <c:pt idx="161">
                  <c:v>#N/A</c:v>
                </c:pt>
                <c:pt idx="162">
                  <c:v>0.6958250497017815</c:v>
                </c:pt>
                <c:pt idx="163">
                  <c:v>#N/A</c:v>
                </c:pt>
                <c:pt idx="164">
                  <c:v>#N/A</c:v>
                </c:pt>
                <c:pt idx="165">
                  <c:v>-0.39840637450200278</c:v>
                </c:pt>
                <c:pt idx="166">
                  <c:v>#N/A</c:v>
                </c:pt>
                <c:pt idx="167">
                  <c:v>#N/A</c:v>
                </c:pt>
                <c:pt idx="168">
                  <c:v>0</c:v>
                </c:pt>
                <c:pt idx="169">
                  <c:v>#N/A</c:v>
                </c:pt>
                <c:pt idx="170">
                  <c:v>#N/A</c:v>
                </c:pt>
                <c:pt idx="171">
                  <c:v>2.1450459652706755</c:v>
                </c:pt>
                <c:pt idx="172">
                  <c:v>#N/A</c:v>
                </c:pt>
                <c:pt idx="173">
                  <c:v>#N/A</c:v>
                </c:pt>
                <c:pt idx="174">
                  <c:v>3.2854209445585036</c:v>
                </c:pt>
                <c:pt idx="175">
                  <c:v>#N/A</c:v>
                </c:pt>
                <c:pt idx="176">
                  <c:v>#N/A</c:v>
                </c:pt>
                <c:pt idx="177">
                  <c:v>3.7190082644628086</c:v>
                </c:pt>
                <c:pt idx="178">
                  <c:v>#N/A</c:v>
                </c:pt>
                <c:pt idx="179">
                  <c:v>#N/A</c:v>
                </c:pt>
                <c:pt idx="180">
                  <c:v>3.6458333333333259</c:v>
                </c:pt>
                <c:pt idx="181">
                  <c:v>#N/A</c:v>
                </c:pt>
                <c:pt idx="182">
                  <c:v>#N/A</c:v>
                </c:pt>
                <c:pt idx="183">
                  <c:v>2.6205450733752578</c:v>
                </c:pt>
                <c:pt idx="184">
                  <c:v>#N/A</c:v>
                </c:pt>
                <c:pt idx="185">
                  <c:v>#N/A</c:v>
                </c:pt>
                <c:pt idx="186">
                  <c:v>2.4185068349106276</c:v>
                </c:pt>
                <c:pt idx="187">
                  <c:v>#N/A</c:v>
                </c:pt>
                <c:pt idx="188">
                  <c:v>#N/A</c:v>
                </c:pt>
                <c:pt idx="189">
                  <c:v>2.7600849256900206</c:v>
                </c:pt>
                <c:pt idx="190">
                  <c:v>#N/A</c:v>
                </c:pt>
                <c:pt idx="191">
                  <c:v>#N/A</c:v>
                </c:pt>
                <c:pt idx="192">
                  <c:v>2.5641025641025772</c:v>
                </c:pt>
                <c:pt idx="193">
                  <c:v>#N/A</c:v>
                </c:pt>
                <c:pt idx="194">
                  <c:v>#N/A</c:v>
                </c:pt>
                <c:pt idx="195">
                  <c:v>2.6910656620021456</c:v>
                </c:pt>
                <c:pt idx="196">
                  <c:v>#N/A</c:v>
                </c:pt>
                <c:pt idx="197">
                  <c:v>#N/A</c:v>
                </c:pt>
                <c:pt idx="198">
                  <c:v>1.2779552715654896</c:v>
                </c:pt>
                <c:pt idx="199">
                  <c:v>#N/A</c:v>
                </c:pt>
                <c:pt idx="200">
                  <c:v>#N/A</c:v>
                </c:pt>
                <c:pt idx="201">
                  <c:v>1.2903225806451646</c:v>
                </c:pt>
                <c:pt idx="202">
                  <c:v>#N/A</c:v>
                </c:pt>
                <c:pt idx="203">
                  <c:v>#N/A</c:v>
                </c:pt>
                <c:pt idx="204">
                  <c:v>1.9607843137254832</c:v>
                </c:pt>
                <c:pt idx="205">
                  <c:v>#N/A</c:v>
                </c:pt>
                <c:pt idx="206">
                  <c:v>#N/A</c:v>
                </c:pt>
                <c:pt idx="207">
                  <c:v>2.5386313465783683</c:v>
                </c:pt>
                <c:pt idx="208">
                  <c:v>#N/A</c:v>
                </c:pt>
                <c:pt idx="209">
                  <c:v>#N/A</c:v>
                </c:pt>
                <c:pt idx="210">
                  <c:v>4.4493882091212411</c:v>
                </c:pt>
                <c:pt idx="211">
                  <c:v>#N/A</c:v>
                </c:pt>
                <c:pt idx="212">
                  <c:v>#N/A</c:v>
                </c:pt>
                <c:pt idx="213">
                  <c:v>3.9106145251396551</c:v>
                </c:pt>
                <c:pt idx="214">
                  <c:v>#N/A</c:v>
                </c:pt>
                <c:pt idx="215">
                  <c:v>#N/A</c:v>
                </c:pt>
                <c:pt idx="216">
                  <c:v>4.0816326530612068</c:v>
                </c:pt>
                <c:pt idx="217">
                  <c:v>#N/A</c:v>
                </c:pt>
                <c:pt idx="218">
                  <c:v>#N/A</c:v>
                </c:pt>
                <c:pt idx="219">
                  <c:v>2.488687782805421</c:v>
                </c:pt>
                <c:pt idx="220">
                  <c:v>#N/A</c:v>
                </c:pt>
                <c:pt idx="221">
                  <c:v>#N/A</c:v>
                </c:pt>
                <c:pt idx="222">
                  <c:v>0.78475336322869627</c:v>
                </c:pt>
                <c:pt idx="223">
                  <c:v>#N/A</c:v>
                </c:pt>
                <c:pt idx="224">
                  <c:v>#N/A</c:v>
                </c:pt>
                <c:pt idx="225">
                  <c:v>1.2443438914027105</c:v>
                </c:pt>
                <c:pt idx="226">
                  <c:v>#N/A</c:v>
                </c:pt>
                <c:pt idx="227">
                  <c:v>#N/A</c:v>
                </c:pt>
                <c:pt idx="228">
                  <c:v>1.8475750577367389</c:v>
                </c:pt>
                <c:pt idx="229">
                  <c:v>#N/A</c:v>
                </c:pt>
                <c:pt idx="230">
                  <c:v>#N/A</c:v>
                </c:pt>
                <c:pt idx="231">
                  <c:v>2.9103608847497187</c:v>
                </c:pt>
                <c:pt idx="232">
                  <c:v>#N/A</c:v>
                </c:pt>
                <c:pt idx="233">
                  <c:v>#N/A</c:v>
                </c:pt>
                <c:pt idx="234">
                  <c:v>4.20560747663552</c:v>
                </c:pt>
                <c:pt idx="235">
                  <c:v>#N/A</c:v>
                </c:pt>
                <c:pt idx="236">
                  <c:v>#N/A</c:v>
                </c:pt>
                <c:pt idx="237">
                  <c:v>4.4917257683215306</c:v>
                </c:pt>
                <c:pt idx="238">
                  <c:v>#N/A</c:v>
                </c:pt>
                <c:pt idx="239">
                  <c:v>#N/A</c:v>
                </c:pt>
                <c:pt idx="240">
                  <c:v>3.0952380952380842</c:v>
                </c:pt>
                <c:pt idx="241">
                  <c:v>#N/A</c:v>
                </c:pt>
                <c:pt idx="242">
                  <c:v>#N/A</c:v>
                </c:pt>
                <c:pt idx="243">
                  <c:v>2.6284348864993978</c:v>
                </c:pt>
                <c:pt idx="244">
                  <c:v>#N/A</c:v>
                </c:pt>
                <c:pt idx="245">
                  <c:v>#N/A</c:v>
                </c:pt>
                <c:pt idx="246">
                  <c:v>3.1325301204819134</c:v>
                </c:pt>
                <c:pt idx="247">
                  <c:v>#N/A</c:v>
                </c:pt>
                <c:pt idx="248">
                  <c:v>#N/A</c:v>
                </c:pt>
                <c:pt idx="249">
                  <c:v>2.0506634499396714</c:v>
                </c:pt>
                <c:pt idx="250">
                  <c:v>#N/A</c:v>
                </c:pt>
                <c:pt idx="251">
                  <c:v>#N/A</c:v>
                </c:pt>
                <c:pt idx="252">
                  <c:v>1.6949152542373058</c:v>
                </c:pt>
                <c:pt idx="253">
                  <c:v>#N/A</c:v>
                </c:pt>
                <c:pt idx="254">
                  <c:v>#N/A</c:v>
                </c:pt>
                <c:pt idx="255">
                  <c:v>2.19780219780219</c:v>
                </c:pt>
                <c:pt idx="256">
                  <c:v>#N/A</c:v>
                </c:pt>
                <c:pt idx="257">
                  <c:v>#N/A</c:v>
                </c:pt>
                <c:pt idx="258">
                  <c:v>1.71568627450982</c:v>
                </c:pt>
                <c:pt idx="259">
                  <c:v>#N/A</c:v>
                </c:pt>
                <c:pt idx="260">
                  <c:v>#N/A</c:v>
                </c:pt>
                <c:pt idx="261">
                  <c:v>1.9680196801968197</c:v>
                </c:pt>
                <c:pt idx="262">
                  <c:v>#N/A</c:v>
                </c:pt>
                <c:pt idx="263">
                  <c:v>#N/A</c:v>
                </c:pt>
                <c:pt idx="264">
                  <c:v>1.225490196078427</c:v>
                </c:pt>
                <c:pt idx="265">
                  <c:v>#N/A</c:v>
                </c:pt>
                <c:pt idx="266">
                  <c:v>#N/A</c:v>
                </c:pt>
                <c:pt idx="267">
                  <c:v>1.8656716417910557</c:v>
                </c:pt>
                <c:pt idx="268">
                  <c:v>#N/A</c:v>
                </c:pt>
                <c:pt idx="269">
                  <c:v>#N/A</c:v>
                </c:pt>
                <c:pt idx="270">
                  <c:v>2.2556390977443552</c:v>
                </c:pt>
                <c:pt idx="271">
                  <c:v>#N/A</c:v>
                </c:pt>
                <c:pt idx="272">
                  <c:v>#N/A</c:v>
                </c:pt>
                <c:pt idx="273">
                  <c:v>2.1356783919598055</c:v>
                </c:pt>
                <c:pt idx="274">
                  <c:v>#N/A</c:v>
                </c:pt>
                <c:pt idx="275">
                  <c:v>#N/A</c:v>
                </c:pt>
                <c:pt idx="276">
                  <c:v>3.0303030303030276</c:v>
                </c:pt>
                <c:pt idx="277">
                  <c:v>#N/A</c:v>
                </c:pt>
                <c:pt idx="278">
                  <c:v>#N/A</c:v>
                </c:pt>
                <c:pt idx="279">
                  <c:v>2.1601016518424387</c:v>
                </c:pt>
                <c:pt idx="280">
                  <c:v>#N/A</c:v>
                </c:pt>
                <c:pt idx="281">
                  <c:v>#N/A</c:v>
                </c:pt>
                <c:pt idx="282">
                  <c:v>2.1766965428937191</c:v>
                </c:pt>
                <c:pt idx="283">
                  <c:v>#N/A</c:v>
                </c:pt>
                <c:pt idx="284">
                  <c:v>#N/A</c:v>
                </c:pt>
                <c:pt idx="285">
                  <c:v>1.7902813299232712</c:v>
                </c:pt>
                <c:pt idx="286">
                  <c:v>#N/A</c:v>
                </c:pt>
                <c:pt idx="287">
                  <c:v>#N/A</c:v>
                </c:pt>
                <c:pt idx="288">
                  <c:v>2.3255813953488413</c:v>
                </c:pt>
                <c:pt idx="289">
                  <c:v>#N/A</c:v>
                </c:pt>
                <c:pt idx="290">
                  <c:v>#N/A</c:v>
                </c:pt>
                <c:pt idx="291">
                  <c:v>3.0104712041884696</c:v>
                </c:pt>
                <c:pt idx="292">
                  <c:v>#N/A</c:v>
                </c:pt>
                <c:pt idx="293">
                  <c:v>#N/A</c:v>
                </c:pt>
                <c:pt idx="294">
                  <c:v>2.4934383202099619</c:v>
                </c:pt>
                <c:pt idx="295">
                  <c:v>#N/A</c:v>
                </c:pt>
                <c:pt idx="296">
                  <c:v>#N/A</c:v>
                </c:pt>
                <c:pt idx="297">
                  <c:v>6.1058344640434248</c:v>
                </c:pt>
                <c:pt idx="298">
                  <c:v>#N/A</c:v>
                </c:pt>
                <c:pt idx="299">
                  <c:v>#N/A</c:v>
                </c:pt>
                <c:pt idx="300">
                  <c:v>5.7377049180327822</c:v>
                </c:pt>
                <c:pt idx="301">
                  <c:v>#N/A</c:v>
                </c:pt>
                <c:pt idx="302">
                  <c:v>#N/A</c:v>
                </c:pt>
                <c:pt idx="303">
                  <c:v>5.3793103448275925</c:v>
                </c:pt>
                <c:pt idx="304">
                  <c:v>#N/A</c:v>
                </c:pt>
                <c:pt idx="305">
                  <c:v>#N/A</c:v>
                </c:pt>
                <c:pt idx="306">
                  <c:v>5.3941908713692976</c:v>
                </c:pt>
                <c:pt idx="307">
                  <c:v>#N/A</c:v>
                </c:pt>
                <c:pt idx="308">
                  <c:v>#N/A</c:v>
                </c:pt>
                <c:pt idx="309">
                  <c:v>2.7894002789400352</c:v>
                </c:pt>
                <c:pt idx="310">
                  <c:v>#N/A</c:v>
                </c:pt>
                <c:pt idx="311">
                  <c:v>#N/A</c:v>
                </c:pt>
                <c:pt idx="312">
                  <c:v>2.6647966339411022</c:v>
                </c:pt>
                <c:pt idx="313">
                  <c:v>#N/A</c:v>
                </c:pt>
                <c:pt idx="314">
                  <c:v>#N/A</c:v>
                </c:pt>
                <c:pt idx="315">
                  <c:v>1.9690576652602099</c:v>
                </c:pt>
                <c:pt idx="316">
                  <c:v>#N/A</c:v>
                </c:pt>
                <c:pt idx="317">
                  <c:v>#N/A</c:v>
                </c:pt>
                <c:pt idx="318">
                  <c:v>2.1186440677966045</c:v>
                </c:pt>
                <c:pt idx="319">
                  <c:v>#N/A</c:v>
                </c:pt>
                <c:pt idx="320">
                  <c:v>#N/A</c:v>
                </c:pt>
                <c:pt idx="321">
                  <c:v>1.4144271570014189</c:v>
                </c:pt>
                <c:pt idx="322">
                  <c:v>#N/A</c:v>
                </c:pt>
                <c:pt idx="323">
                  <c:v>#N/A</c:v>
                </c:pt>
                <c:pt idx="324">
                  <c:v>1.2784090909090828</c:v>
                </c:pt>
                <c:pt idx="325">
                  <c:v>#N/A</c:v>
                </c:pt>
                <c:pt idx="326">
                  <c:v>#N/A</c:v>
                </c:pt>
                <c:pt idx="327">
                  <c:v>0.99431818181816567</c:v>
                </c:pt>
                <c:pt idx="328">
                  <c:v>#N/A</c:v>
                </c:pt>
                <c:pt idx="329">
                  <c:v>#N/A</c:v>
                </c:pt>
                <c:pt idx="330">
                  <c:v>0.99857346647647116</c:v>
                </c:pt>
                <c:pt idx="331">
                  <c:v>#N/A</c:v>
                </c:pt>
                <c:pt idx="332">
                  <c:v>#N/A</c:v>
                </c:pt>
                <c:pt idx="333">
                  <c:v>0.56899004267425557</c:v>
                </c:pt>
                <c:pt idx="334">
                  <c:v>#N/A</c:v>
                </c:pt>
                <c:pt idx="335">
                  <c:v>#N/A</c:v>
                </c:pt>
                <c:pt idx="336">
                  <c:v>0.14224751066858055</c:v>
                </c:pt>
                <c:pt idx="337">
                  <c:v>#N/A</c:v>
                </c:pt>
                <c:pt idx="338">
                  <c:v>#N/A</c:v>
                </c:pt>
                <c:pt idx="339">
                  <c:v>0.42796005706136064</c:v>
                </c:pt>
                <c:pt idx="340">
                  <c:v>#N/A</c:v>
                </c:pt>
                <c:pt idx="341">
                  <c:v>#N/A</c:v>
                </c:pt>
                <c:pt idx="342">
                  <c:v>0.57388809182208345</c:v>
                </c:pt>
                <c:pt idx="343">
                  <c:v>#N/A</c:v>
                </c:pt>
                <c:pt idx="344">
                  <c:v>#N/A</c:v>
                </c:pt>
                <c:pt idx="345">
                  <c:v>1.0057471264367956</c:v>
                </c:pt>
                <c:pt idx="346">
                  <c:v>#N/A</c:v>
                </c:pt>
                <c:pt idx="347">
                  <c:v>#N/A</c:v>
                </c:pt>
                <c:pt idx="348">
                  <c:v>2.0319303338171224</c:v>
                </c:pt>
                <c:pt idx="349">
                  <c:v>#N/A</c:v>
                </c:pt>
                <c:pt idx="350">
                  <c:v>#N/A</c:v>
                </c:pt>
                <c:pt idx="351">
                  <c:v>2.186588921282806</c:v>
                </c:pt>
                <c:pt idx="352">
                  <c:v>#N/A</c:v>
                </c:pt>
                <c:pt idx="353">
                  <c:v>#N/A</c:v>
                </c:pt>
                <c:pt idx="354">
                  <c:v>2.049780380673516</c:v>
                </c:pt>
                <c:pt idx="355">
                  <c:v>#N/A</c:v>
                </c:pt>
                <c:pt idx="356">
                  <c:v>#N/A</c:v>
                </c:pt>
                <c:pt idx="357">
                  <c:v>3.2640949554896048</c:v>
                </c:pt>
                <c:pt idx="358">
                  <c:v>#N/A</c:v>
                </c:pt>
                <c:pt idx="359">
                  <c:v>#N/A</c:v>
                </c:pt>
                <c:pt idx="360">
                  <c:v>3.45345345345347</c:v>
                </c:pt>
                <c:pt idx="361">
                  <c:v>#N/A</c:v>
                </c:pt>
                <c:pt idx="362">
                  <c:v>#N/A</c:v>
                </c:pt>
                <c:pt idx="363">
                  <c:v>3.9393939393939315</c:v>
                </c:pt>
                <c:pt idx="364">
                  <c:v>#N/A</c:v>
                </c:pt>
                <c:pt idx="365">
                  <c:v>#N/A</c:v>
                </c:pt>
                <c:pt idx="366">
                  <c:v>3.7993920972644313</c:v>
                </c:pt>
                <c:pt idx="367">
                  <c:v>#N/A</c:v>
                </c:pt>
                <c:pt idx="368">
                  <c:v>#N/A</c:v>
                </c:pt>
                <c:pt idx="369">
                  <c:v>3.0581039755351647</c:v>
                </c:pt>
                <c:pt idx="370">
                  <c:v>#N/A</c:v>
                </c:pt>
                <c:pt idx="371">
                  <c:v>#N/A</c:v>
                </c:pt>
                <c:pt idx="372">
                  <c:v>2.4615384615384484</c:v>
                </c:pt>
                <c:pt idx="373">
                  <c:v>#N/A</c:v>
                </c:pt>
                <c:pt idx="374">
                  <c:v>#N/A</c:v>
                </c:pt>
                <c:pt idx="375">
                  <c:v>2.0092735703245657</c:v>
                </c:pt>
                <c:pt idx="376">
                  <c:v>#N/A</c:v>
                </c:pt>
                <c:pt idx="377">
                  <c:v>#N/A</c:v>
                </c:pt>
                <c:pt idx="378">
                  <c:v>2.0155038759689825</c:v>
                </c:pt>
                <c:pt idx="379">
                  <c:v>#N/A</c:v>
                </c:pt>
                <c:pt idx="380">
                  <c:v>#N/A</c:v>
                </c:pt>
                <c:pt idx="381">
                  <c:v>2.0280811232449514</c:v>
                </c:pt>
                <c:pt idx="382">
                  <c:v>#N/A</c:v>
                </c:pt>
                <c:pt idx="383">
                  <c:v>#N/A</c:v>
                </c:pt>
                <c:pt idx="384">
                  <c:v>1.8808777429467183</c:v>
                </c:pt>
                <c:pt idx="385">
                  <c:v>#N/A</c:v>
                </c:pt>
                <c:pt idx="386">
                  <c:v>#N/A</c:v>
                </c:pt>
                <c:pt idx="387">
                  <c:v>2.5356576862123559</c:v>
                </c:pt>
                <c:pt idx="388">
                  <c:v>#N/A</c:v>
                </c:pt>
                <c:pt idx="389">
                  <c:v>#N/A</c:v>
                </c:pt>
                <c:pt idx="390">
                  <c:v>3.0351437699680517</c:v>
                </c:pt>
                <c:pt idx="391">
                  <c:v>#N/A</c:v>
                </c:pt>
                <c:pt idx="392">
                  <c:v>#N/A</c:v>
                </c:pt>
                <c:pt idx="393">
                  <c:v>2.8892455858748001</c:v>
                </c:pt>
                <c:pt idx="394">
                  <c:v>#N/A</c:v>
                </c:pt>
                <c:pt idx="395">
                  <c:v>#N/A</c:v>
                </c:pt>
                <c:pt idx="396">
                  <c:v>3.0694668820678395</c:v>
                </c:pt>
                <c:pt idx="397">
                  <c:v>#N/A</c:v>
                </c:pt>
                <c:pt idx="398">
                  <c:v>#N/A</c:v>
                </c:pt>
                <c:pt idx="399">
                  <c:v>2.1035598705501757</c:v>
                </c:pt>
                <c:pt idx="400">
                  <c:v>#N/A</c:v>
                </c:pt>
                <c:pt idx="401">
                  <c:v>#N/A</c:v>
                </c:pt>
                <c:pt idx="402">
                  <c:v>1.788617886178856</c:v>
                </c:pt>
                <c:pt idx="403">
                  <c:v>#N/A</c:v>
                </c:pt>
                <c:pt idx="404">
                  <c:v>#N/A</c:v>
                </c:pt>
                <c:pt idx="405">
                  <c:v>2.4671052631578982</c:v>
                </c:pt>
                <c:pt idx="406">
                  <c:v>#N/A</c:v>
                </c:pt>
                <c:pt idx="407">
                  <c:v>#N/A</c:v>
                </c:pt>
                <c:pt idx="408">
                  <c:v>2.1452145214521323</c:v>
                </c:pt>
                <c:pt idx="409">
                  <c:v>#N/A</c:v>
                </c:pt>
                <c:pt idx="410">
                  <c:v>#N/A</c:v>
                </c:pt>
                <c:pt idx="411">
                  <c:v>1.6447368421052655</c:v>
                </c:pt>
                <c:pt idx="412">
                  <c:v>#N/A</c:v>
                </c:pt>
                <c:pt idx="413">
                  <c:v>#N/A</c:v>
                </c:pt>
                <c:pt idx="414">
                  <c:v>4.2372881355932313</c:v>
                </c:pt>
                <c:pt idx="415">
                  <c:v>#N/A</c:v>
                </c:pt>
                <c:pt idx="416">
                  <c:v>#N/A</c:v>
                </c:pt>
                <c:pt idx="417">
                  <c:v>3.4013605442176909</c:v>
                </c:pt>
                <c:pt idx="418">
                  <c:v>#N/A</c:v>
                </c:pt>
                <c:pt idx="419">
                  <c:v>#N/A</c:v>
                </c:pt>
                <c:pt idx="420">
                  <c:v>4.844290657439454</c:v>
                </c:pt>
                <c:pt idx="421">
                  <c:v>#N/A</c:v>
                </c:pt>
                <c:pt idx="422">
                  <c:v>#N/A</c:v>
                </c:pt>
                <c:pt idx="423">
                  <c:v>6.6666666666666652</c:v>
                </c:pt>
                <c:pt idx="424">
                  <c:v>#N/A</c:v>
                </c:pt>
                <c:pt idx="425">
                  <c:v>#N/A</c:v>
                </c:pt>
                <c:pt idx="426">
                  <c:v>4.9822064056939341</c:v>
                </c:pt>
                <c:pt idx="427">
                  <c:v>#N/A</c:v>
                </c:pt>
                <c:pt idx="428">
                  <c:v>#N/A</c:v>
                </c:pt>
                <c:pt idx="429">
                  <c:v>6.1371841155234641</c:v>
                </c:pt>
                <c:pt idx="430">
                  <c:v>#N/A</c:v>
                </c:pt>
                <c:pt idx="431">
                  <c:v>#N/A</c:v>
                </c:pt>
                <c:pt idx="432">
                  <c:v>6.6420664206642055</c:v>
                </c:pt>
                <c:pt idx="433">
                  <c:v>#N/A</c:v>
                </c:pt>
                <c:pt idx="434">
                  <c:v>#N/A</c:v>
                </c:pt>
                <c:pt idx="435">
                  <c:v>#N/A</c:v>
                </c:pt>
                <c:pt idx="436">
                  <c:v>#N/A</c:v>
                </c:pt>
                <c:pt idx="437">
                  <c:v>#N/A</c:v>
                </c:pt>
                <c:pt idx="438">
                  <c:v>#N/A</c:v>
                </c:pt>
                <c:pt idx="439">
                  <c:v>#N/A</c:v>
                </c:pt>
                <c:pt idx="440">
                  <c:v>#N/A</c:v>
                </c:pt>
                <c:pt idx="441">
                  <c:v>#N/A</c:v>
                </c:pt>
                <c:pt idx="442">
                  <c:v>#N/A</c:v>
                </c:pt>
                <c:pt idx="443">
                  <c:v>#N/A</c:v>
                </c:pt>
                <c:pt idx="444">
                  <c:v>#N/A</c:v>
                </c:pt>
                <c:pt idx="445">
                  <c:v>#N/A</c:v>
                </c:pt>
                <c:pt idx="446">
                  <c:v>#N/A</c:v>
                </c:pt>
                <c:pt idx="447">
                  <c:v>#N/A</c:v>
                </c:pt>
                <c:pt idx="448">
                  <c:v>#N/A</c:v>
                </c:pt>
                <c:pt idx="449">
                  <c:v>#N/A</c:v>
                </c:pt>
                <c:pt idx="450">
                  <c:v>#N/A</c:v>
                </c:pt>
                <c:pt idx="451">
                  <c:v>#N/A</c:v>
                </c:pt>
                <c:pt idx="452">
                  <c:v>#N/A</c:v>
                </c:pt>
                <c:pt idx="453">
                  <c:v>#N/A</c:v>
                </c:pt>
                <c:pt idx="454">
                  <c:v>#N/A</c:v>
                </c:pt>
                <c:pt idx="455">
                  <c:v>#N/A</c:v>
                </c:pt>
                <c:pt idx="456">
                  <c:v>#N/A</c:v>
                </c:pt>
                <c:pt idx="457">
                  <c:v>#N/A</c:v>
                </c:pt>
                <c:pt idx="458">
                  <c:v>#N/A</c:v>
                </c:pt>
                <c:pt idx="459">
                  <c:v>#N/A</c:v>
                </c:pt>
                <c:pt idx="460">
                  <c:v>#N/A</c:v>
                </c:pt>
                <c:pt idx="461">
                  <c:v>#N/A</c:v>
                </c:pt>
                <c:pt idx="462">
                  <c:v>#N/A</c:v>
                </c:pt>
                <c:pt idx="463">
                  <c:v>#N/A</c:v>
                </c:pt>
                <c:pt idx="464">
                  <c:v>#N/A</c:v>
                </c:pt>
              </c:numCache>
            </c:numRef>
          </c:val>
          <c:smooth val="0"/>
          <c:extLst>
            <c:ext xmlns:c16="http://schemas.microsoft.com/office/drawing/2014/chart" uri="{C3380CC4-5D6E-409C-BE32-E72D297353CC}">
              <c16:uniqueId val="{00000000-7073-4E80-89C5-7D5C2C84AB48}"/>
            </c:ext>
          </c:extLst>
        </c:ser>
        <c:ser>
          <c:idx val="3"/>
          <c:order val="1"/>
          <c:tx>
            <c:strRef>
              <c:f>'Chart 2.14 data'!$S$2</c:f>
              <c:strCache>
                <c:ptCount val="1"/>
                <c:pt idx="0">
                  <c:v>Services (Australia)</c:v>
                </c:pt>
              </c:strCache>
            </c:strRef>
          </c:tx>
          <c:spPr>
            <a:ln w="22225" cap="rnd">
              <a:solidFill>
                <a:schemeClr val="bg1">
                  <a:lumMod val="75000"/>
                </a:schemeClr>
              </a:solidFill>
              <a:prstDash val="sysDash"/>
              <a:round/>
            </a:ln>
            <a:effectLst/>
          </c:spPr>
          <c:marker>
            <c:symbol val="none"/>
          </c:marker>
          <c:cat>
            <c:numRef>
              <c:f>'Chart 2.14 data'!$O$3:$O$467</c:f>
              <c:numCache>
                <c:formatCode>mmm\-yyyy</c:formatCode>
                <c:ptCount val="465"/>
                <c:pt idx="0">
                  <c:v>46082</c:v>
                </c:pt>
                <c:pt idx="1">
                  <c:v>46054</c:v>
                </c:pt>
                <c:pt idx="2">
                  <c:v>46023</c:v>
                </c:pt>
                <c:pt idx="3">
                  <c:v>45992</c:v>
                </c:pt>
                <c:pt idx="4">
                  <c:v>45962</c:v>
                </c:pt>
                <c:pt idx="5">
                  <c:v>45931</c:v>
                </c:pt>
                <c:pt idx="6">
                  <c:v>45901</c:v>
                </c:pt>
                <c:pt idx="7">
                  <c:v>45870</c:v>
                </c:pt>
                <c:pt idx="8">
                  <c:v>45839</c:v>
                </c:pt>
                <c:pt idx="9">
                  <c:v>45809</c:v>
                </c:pt>
                <c:pt idx="10">
                  <c:v>45778</c:v>
                </c:pt>
                <c:pt idx="11">
                  <c:v>45748</c:v>
                </c:pt>
                <c:pt idx="12">
                  <c:v>45717</c:v>
                </c:pt>
                <c:pt idx="13">
                  <c:v>45689</c:v>
                </c:pt>
                <c:pt idx="14">
                  <c:v>45658</c:v>
                </c:pt>
                <c:pt idx="15">
                  <c:v>45627</c:v>
                </c:pt>
                <c:pt idx="16">
                  <c:v>45597</c:v>
                </c:pt>
                <c:pt idx="17">
                  <c:v>45566</c:v>
                </c:pt>
                <c:pt idx="18">
                  <c:v>45536</c:v>
                </c:pt>
                <c:pt idx="19">
                  <c:v>45505</c:v>
                </c:pt>
                <c:pt idx="20">
                  <c:v>45474</c:v>
                </c:pt>
                <c:pt idx="21">
                  <c:v>45444</c:v>
                </c:pt>
                <c:pt idx="22">
                  <c:v>45413</c:v>
                </c:pt>
                <c:pt idx="23">
                  <c:v>45383</c:v>
                </c:pt>
                <c:pt idx="24">
                  <c:v>45352</c:v>
                </c:pt>
                <c:pt idx="25">
                  <c:v>45323</c:v>
                </c:pt>
                <c:pt idx="26">
                  <c:v>45292</c:v>
                </c:pt>
                <c:pt idx="27">
                  <c:v>45261</c:v>
                </c:pt>
                <c:pt idx="28">
                  <c:v>45231</c:v>
                </c:pt>
                <c:pt idx="29">
                  <c:v>45200</c:v>
                </c:pt>
                <c:pt idx="30">
                  <c:v>45170</c:v>
                </c:pt>
                <c:pt idx="31">
                  <c:v>45139</c:v>
                </c:pt>
                <c:pt idx="32">
                  <c:v>45108</c:v>
                </c:pt>
                <c:pt idx="33">
                  <c:v>45078</c:v>
                </c:pt>
                <c:pt idx="34">
                  <c:v>45047</c:v>
                </c:pt>
                <c:pt idx="35">
                  <c:v>45017</c:v>
                </c:pt>
                <c:pt idx="36">
                  <c:v>44986</c:v>
                </c:pt>
                <c:pt idx="37">
                  <c:v>44958</c:v>
                </c:pt>
                <c:pt idx="38">
                  <c:v>44927</c:v>
                </c:pt>
                <c:pt idx="39">
                  <c:v>44896</c:v>
                </c:pt>
                <c:pt idx="40">
                  <c:v>44866</c:v>
                </c:pt>
                <c:pt idx="41">
                  <c:v>44835</c:v>
                </c:pt>
                <c:pt idx="42">
                  <c:v>44805</c:v>
                </c:pt>
                <c:pt idx="43">
                  <c:v>44774</c:v>
                </c:pt>
                <c:pt idx="44">
                  <c:v>44743</c:v>
                </c:pt>
                <c:pt idx="45">
                  <c:v>44713</c:v>
                </c:pt>
                <c:pt idx="46">
                  <c:v>44682</c:v>
                </c:pt>
                <c:pt idx="47">
                  <c:v>44652</c:v>
                </c:pt>
                <c:pt idx="48">
                  <c:v>44621</c:v>
                </c:pt>
                <c:pt idx="49">
                  <c:v>44593</c:v>
                </c:pt>
                <c:pt idx="50">
                  <c:v>44562</c:v>
                </c:pt>
                <c:pt idx="51">
                  <c:v>44531</c:v>
                </c:pt>
                <c:pt idx="52">
                  <c:v>44501</c:v>
                </c:pt>
                <c:pt idx="53">
                  <c:v>44470</c:v>
                </c:pt>
                <c:pt idx="54">
                  <c:v>44440</c:v>
                </c:pt>
                <c:pt idx="55">
                  <c:v>44409</c:v>
                </c:pt>
                <c:pt idx="56">
                  <c:v>44378</c:v>
                </c:pt>
                <c:pt idx="57">
                  <c:v>44348</c:v>
                </c:pt>
                <c:pt idx="58">
                  <c:v>44317</c:v>
                </c:pt>
                <c:pt idx="59">
                  <c:v>44287</c:v>
                </c:pt>
                <c:pt idx="60">
                  <c:v>44256</c:v>
                </c:pt>
                <c:pt idx="61">
                  <c:v>44228</c:v>
                </c:pt>
                <c:pt idx="62">
                  <c:v>44197</c:v>
                </c:pt>
                <c:pt idx="63">
                  <c:v>44166</c:v>
                </c:pt>
                <c:pt idx="64">
                  <c:v>44136</c:v>
                </c:pt>
                <c:pt idx="65">
                  <c:v>44105</c:v>
                </c:pt>
                <c:pt idx="66">
                  <c:v>44075</c:v>
                </c:pt>
                <c:pt idx="67">
                  <c:v>44044</c:v>
                </c:pt>
                <c:pt idx="68">
                  <c:v>44013</c:v>
                </c:pt>
                <c:pt idx="69">
                  <c:v>43983</c:v>
                </c:pt>
                <c:pt idx="70">
                  <c:v>43952</c:v>
                </c:pt>
                <c:pt idx="71">
                  <c:v>43922</c:v>
                </c:pt>
                <c:pt idx="72">
                  <c:v>43891</c:v>
                </c:pt>
                <c:pt idx="73">
                  <c:v>43862</c:v>
                </c:pt>
                <c:pt idx="74">
                  <c:v>43831</c:v>
                </c:pt>
                <c:pt idx="75">
                  <c:v>43800</c:v>
                </c:pt>
                <c:pt idx="76">
                  <c:v>43770</c:v>
                </c:pt>
                <c:pt idx="77">
                  <c:v>43739</c:v>
                </c:pt>
                <c:pt idx="78">
                  <c:v>43709</c:v>
                </c:pt>
                <c:pt idx="79">
                  <c:v>43678</c:v>
                </c:pt>
                <c:pt idx="80">
                  <c:v>43647</c:v>
                </c:pt>
                <c:pt idx="81">
                  <c:v>43617</c:v>
                </c:pt>
                <c:pt idx="82">
                  <c:v>43586</c:v>
                </c:pt>
                <c:pt idx="83">
                  <c:v>43556</c:v>
                </c:pt>
                <c:pt idx="84">
                  <c:v>43525</c:v>
                </c:pt>
                <c:pt idx="85">
                  <c:v>43497</c:v>
                </c:pt>
                <c:pt idx="86">
                  <c:v>43466</c:v>
                </c:pt>
                <c:pt idx="87">
                  <c:v>43435</c:v>
                </c:pt>
                <c:pt idx="88">
                  <c:v>43405</c:v>
                </c:pt>
                <c:pt idx="89">
                  <c:v>43374</c:v>
                </c:pt>
                <c:pt idx="90">
                  <c:v>43344</c:v>
                </c:pt>
                <c:pt idx="91">
                  <c:v>43313</c:v>
                </c:pt>
                <c:pt idx="92">
                  <c:v>43282</c:v>
                </c:pt>
                <c:pt idx="93">
                  <c:v>43252</c:v>
                </c:pt>
                <c:pt idx="94">
                  <c:v>43221</c:v>
                </c:pt>
                <c:pt idx="95">
                  <c:v>43191</c:v>
                </c:pt>
                <c:pt idx="96">
                  <c:v>43160</c:v>
                </c:pt>
                <c:pt idx="97">
                  <c:v>43132</c:v>
                </c:pt>
                <c:pt idx="98">
                  <c:v>43101</c:v>
                </c:pt>
                <c:pt idx="99">
                  <c:v>43070</c:v>
                </c:pt>
                <c:pt idx="100">
                  <c:v>43040</c:v>
                </c:pt>
                <c:pt idx="101">
                  <c:v>43009</c:v>
                </c:pt>
                <c:pt idx="102">
                  <c:v>42979</c:v>
                </c:pt>
                <c:pt idx="103">
                  <c:v>42948</c:v>
                </c:pt>
                <c:pt idx="104">
                  <c:v>42917</c:v>
                </c:pt>
                <c:pt idx="105">
                  <c:v>42887</c:v>
                </c:pt>
                <c:pt idx="106">
                  <c:v>42856</c:v>
                </c:pt>
                <c:pt idx="107">
                  <c:v>42826</c:v>
                </c:pt>
                <c:pt idx="108">
                  <c:v>42795</c:v>
                </c:pt>
                <c:pt idx="109">
                  <c:v>42767</c:v>
                </c:pt>
                <c:pt idx="110">
                  <c:v>42736</c:v>
                </c:pt>
                <c:pt idx="111">
                  <c:v>42705</c:v>
                </c:pt>
                <c:pt idx="112">
                  <c:v>42675</c:v>
                </c:pt>
                <c:pt idx="113">
                  <c:v>42644</c:v>
                </c:pt>
                <c:pt idx="114">
                  <c:v>42614</c:v>
                </c:pt>
                <c:pt idx="115">
                  <c:v>42583</c:v>
                </c:pt>
                <c:pt idx="116">
                  <c:v>42552</c:v>
                </c:pt>
                <c:pt idx="117">
                  <c:v>42522</c:v>
                </c:pt>
                <c:pt idx="118">
                  <c:v>42491</c:v>
                </c:pt>
                <c:pt idx="119">
                  <c:v>42461</c:v>
                </c:pt>
                <c:pt idx="120">
                  <c:v>42430</c:v>
                </c:pt>
                <c:pt idx="121">
                  <c:v>42401</c:v>
                </c:pt>
                <c:pt idx="122">
                  <c:v>42370</c:v>
                </c:pt>
                <c:pt idx="123">
                  <c:v>42339</c:v>
                </c:pt>
                <c:pt idx="124">
                  <c:v>42309</c:v>
                </c:pt>
                <c:pt idx="125">
                  <c:v>42278</c:v>
                </c:pt>
                <c:pt idx="126">
                  <c:v>42248</c:v>
                </c:pt>
                <c:pt idx="127">
                  <c:v>42217</c:v>
                </c:pt>
                <c:pt idx="128">
                  <c:v>42186</c:v>
                </c:pt>
                <c:pt idx="129">
                  <c:v>42156</c:v>
                </c:pt>
                <c:pt idx="130">
                  <c:v>42125</c:v>
                </c:pt>
                <c:pt idx="131">
                  <c:v>42095</c:v>
                </c:pt>
                <c:pt idx="132">
                  <c:v>42064</c:v>
                </c:pt>
                <c:pt idx="133">
                  <c:v>42036</c:v>
                </c:pt>
                <c:pt idx="134">
                  <c:v>42005</c:v>
                </c:pt>
                <c:pt idx="135">
                  <c:v>41974</c:v>
                </c:pt>
                <c:pt idx="136">
                  <c:v>41944</c:v>
                </c:pt>
                <c:pt idx="137">
                  <c:v>41913</c:v>
                </c:pt>
                <c:pt idx="138">
                  <c:v>41883</c:v>
                </c:pt>
                <c:pt idx="139">
                  <c:v>41852</c:v>
                </c:pt>
                <c:pt idx="140">
                  <c:v>41821</c:v>
                </c:pt>
                <c:pt idx="141">
                  <c:v>41791</c:v>
                </c:pt>
                <c:pt idx="142">
                  <c:v>41760</c:v>
                </c:pt>
                <c:pt idx="143">
                  <c:v>41730</c:v>
                </c:pt>
                <c:pt idx="144">
                  <c:v>41699</c:v>
                </c:pt>
                <c:pt idx="145">
                  <c:v>41671</c:v>
                </c:pt>
                <c:pt idx="146">
                  <c:v>41640</c:v>
                </c:pt>
                <c:pt idx="147">
                  <c:v>41609</c:v>
                </c:pt>
                <c:pt idx="148">
                  <c:v>41579</c:v>
                </c:pt>
                <c:pt idx="149">
                  <c:v>41548</c:v>
                </c:pt>
                <c:pt idx="150">
                  <c:v>41518</c:v>
                </c:pt>
                <c:pt idx="151">
                  <c:v>41487</c:v>
                </c:pt>
                <c:pt idx="152">
                  <c:v>41456</c:v>
                </c:pt>
                <c:pt idx="153">
                  <c:v>41426</c:v>
                </c:pt>
                <c:pt idx="154">
                  <c:v>41395</c:v>
                </c:pt>
                <c:pt idx="155">
                  <c:v>41365</c:v>
                </c:pt>
                <c:pt idx="156">
                  <c:v>41334</c:v>
                </c:pt>
                <c:pt idx="157">
                  <c:v>41306</c:v>
                </c:pt>
                <c:pt idx="158">
                  <c:v>41275</c:v>
                </c:pt>
                <c:pt idx="159">
                  <c:v>41244</c:v>
                </c:pt>
                <c:pt idx="160">
                  <c:v>41214</c:v>
                </c:pt>
                <c:pt idx="161">
                  <c:v>41183</c:v>
                </c:pt>
                <c:pt idx="162">
                  <c:v>41153</c:v>
                </c:pt>
                <c:pt idx="163">
                  <c:v>41122</c:v>
                </c:pt>
                <c:pt idx="164">
                  <c:v>41091</c:v>
                </c:pt>
                <c:pt idx="165">
                  <c:v>41061</c:v>
                </c:pt>
                <c:pt idx="166">
                  <c:v>41030</c:v>
                </c:pt>
                <c:pt idx="167">
                  <c:v>41000</c:v>
                </c:pt>
                <c:pt idx="168">
                  <c:v>40969</c:v>
                </c:pt>
                <c:pt idx="169">
                  <c:v>40940</c:v>
                </c:pt>
                <c:pt idx="170">
                  <c:v>40909</c:v>
                </c:pt>
                <c:pt idx="171">
                  <c:v>40878</c:v>
                </c:pt>
                <c:pt idx="172">
                  <c:v>40848</c:v>
                </c:pt>
                <c:pt idx="173">
                  <c:v>40817</c:v>
                </c:pt>
                <c:pt idx="174">
                  <c:v>40787</c:v>
                </c:pt>
                <c:pt idx="175">
                  <c:v>40756</c:v>
                </c:pt>
                <c:pt idx="176">
                  <c:v>40725</c:v>
                </c:pt>
                <c:pt idx="177">
                  <c:v>40695</c:v>
                </c:pt>
                <c:pt idx="178">
                  <c:v>40664</c:v>
                </c:pt>
                <c:pt idx="179">
                  <c:v>40634</c:v>
                </c:pt>
                <c:pt idx="180">
                  <c:v>40603</c:v>
                </c:pt>
                <c:pt idx="181">
                  <c:v>40575</c:v>
                </c:pt>
                <c:pt idx="182">
                  <c:v>40544</c:v>
                </c:pt>
                <c:pt idx="183">
                  <c:v>40513</c:v>
                </c:pt>
                <c:pt idx="184">
                  <c:v>40483</c:v>
                </c:pt>
                <c:pt idx="185">
                  <c:v>40452</c:v>
                </c:pt>
                <c:pt idx="186">
                  <c:v>40422</c:v>
                </c:pt>
                <c:pt idx="187">
                  <c:v>40391</c:v>
                </c:pt>
                <c:pt idx="188">
                  <c:v>40360</c:v>
                </c:pt>
                <c:pt idx="189">
                  <c:v>40330</c:v>
                </c:pt>
                <c:pt idx="190">
                  <c:v>40299</c:v>
                </c:pt>
                <c:pt idx="191">
                  <c:v>40269</c:v>
                </c:pt>
                <c:pt idx="192">
                  <c:v>40238</c:v>
                </c:pt>
                <c:pt idx="193">
                  <c:v>40210</c:v>
                </c:pt>
                <c:pt idx="194">
                  <c:v>40179</c:v>
                </c:pt>
                <c:pt idx="195">
                  <c:v>40148</c:v>
                </c:pt>
                <c:pt idx="196">
                  <c:v>40118</c:v>
                </c:pt>
                <c:pt idx="197">
                  <c:v>40087</c:v>
                </c:pt>
                <c:pt idx="198">
                  <c:v>40057</c:v>
                </c:pt>
                <c:pt idx="199">
                  <c:v>40026</c:v>
                </c:pt>
                <c:pt idx="200">
                  <c:v>39995</c:v>
                </c:pt>
                <c:pt idx="201">
                  <c:v>39965</c:v>
                </c:pt>
                <c:pt idx="202">
                  <c:v>39934</c:v>
                </c:pt>
                <c:pt idx="203">
                  <c:v>39904</c:v>
                </c:pt>
                <c:pt idx="204">
                  <c:v>39873</c:v>
                </c:pt>
                <c:pt idx="205">
                  <c:v>39845</c:v>
                </c:pt>
                <c:pt idx="206">
                  <c:v>39814</c:v>
                </c:pt>
                <c:pt idx="207">
                  <c:v>39783</c:v>
                </c:pt>
                <c:pt idx="208">
                  <c:v>39753</c:v>
                </c:pt>
                <c:pt idx="209">
                  <c:v>39722</c:v>
                </c:pt>
                <c:pt idx="210">
                  <c:v>39692</c:v>
                </c:pt>
                <c:pt idx="211">
                  <c:v>39661</c:v>
                </c:pt>
                <c:pt idx="212">
                  <c:v>39630</c:v>
                </c:pt>
                <c:pt idx="213">
                  <c:v>39600</c:v>
                </c:pt>
                <c:pt idx="214">
                  <c:v>39569</c:v>
                </c:pt>
                <c:pt idx="215">
                  <c:v>39539</c:v>
                </c:pt>
                <c:pt idx="216">
                  <c:v>39508</c:v>
                </c:pt>
                <c:pt idx="217">
                  <c:v>39479</c:v>
                </c:pt>
                <c:pt idx="218">
                  <c:v>39448</c:v>
                </c:pt>
                <c:pt idx="219">
                  <c:v>39417</c:v>
                </c:pt>
                <c:pt idx="220">
                  <c:v>39387</c:v>
                </c:pt>
                <c:pt idx="221">
                  <c:v>39356</c:v>
                </c:pt>
                <c:pt idx="222">
                  <c:v>39326</c:v>
                </c:pt>
                <c:pt idx="223">
                  <c:v>39295</c:v>
                </c:pt>
                <c:pt idx="224">
                  <c:v>39264</c:v>
                </c:pt>
                <c:pt idx="225">
                  <c:v>39234</c:v>
                </c:pt>
                <c:pt idx="226">
                  <c:v>39203</c:v>
                </c:pt>
                <c:pt idx="227">
                  <c:v>39173</c:v>
                </c:pt>
                <c:pt idx="228">
                  <c:v>39142</c:v>
                </c:pt>
                <c:pt idx="229">
                  <c:v>39114</c:v>
                </c:pt>
                <c:pt idx="230">
                  <c:v>39083</c:v>
                </c:pt>
                <c:pt idx="231">
                  <c:v>39052</c:v>
                </c:pt>
                <c:pt idx="232">
                  <c:v>39022</c:v>
                </c:pt>
                <c:pt idx="233">
                  <c:v>38991</c:v>
                </c:pt>
                <c:pt idx="234">
                  <c:v>38961</c:v>
                </c:pt>
                <c:pt idx="235">
                  <c:v>38930</c:v>
                </c:pt>
                <c:pt idx="236">
                  <c:v>38899</c:v>
                </c:pt>
                <c:pt idx="237">
                  <c:v>38869</c:v>
                </c:pt>
                <c:pt idx="238">
                  <c:v>38838</c:v>
                </c:pt>
                <c:pt idx="239">
                  <c:v>38808</c:v>
                </c:pt>
                <c:pt idx="240">
                  <c:v>38777</c:v>
                </c:pt>
                <c:pt idx="241">
                  <c:v>38749</c:v>
                </c:pt>
                <c:pt idx="242">
                  <c:v>38718</c:v>
                </c:pt>
                <c:pt idx="243">
                  <c:v>38687</c:v>
                </c:pt>
                <c:pt idx="244">
                  <c:v>38657</c:v>
                </c:pt>
                <c:pt idx="245">
                  <c:v>38626</c:v>
                </c:pt>
                <c:pt idx="246">
                  <c:v>38596</c:v>
                </c:pt>
                <c:pt idx="247">
                  <c:v>38565</c:v>
                </c:pt>
                <c:pt idx="248">
                  <c:v>38534</c:v>
                </c:pt>
                <c:pt idx="249">
                  <c:v>38504</c:v>
                </c:pt>
                <c:pt idx="250">
                  <c:v>38473</c:v>
                </c:pt>
                <c:pt idx="251">
                  <c:v>38443</c:v>
                </c:pt>
                <c:pt idx="252">
                  <c:v>38412</c:v>
                </c:pt>
                <c:pt idx="253">
                  <c:v>38384</c:v>
                </c:pt>
                <c:pt idx="254">
                  <c:v>38353</c:v>
                </c:pt>
                <c:pt idx="255">
                  <c:v>38322</c:v>
                </c:pt>
                <c:pt idx="256">
                  <c:v>38292</c:v>
                </c:pt>
                <c:pt idx="257">
                  <c:v>38261</c:v>
                </c:pt>
                <c:pt idx="258">
                  <c:v>38231</c:v>
                </c:pt>
                <c:pt idx="259">
                  <c:v>38200</c:v>
                </c:pt>
                <c:pt idx="260">
                  <c:v>38169</c:v>
                </c:pt>
                <c:pt idx="261">
                  <c:v>38139</c:v>
                </c:pt>
                <c:pt idx="262">
                  <c:v>38108</c:v>
                </c:pt>
                <c:pt idx="263">
                  <c:v>38078</c:v>
                </c:pt>
                <c:pt idx="264">
                  <c:v>38047</c:v>
                </c:pt>
                <c:pt idx="265">
                  <c:v>38018</c:v>
                </c:pt>
                <c:pt idx="266">
                  <c:v>37987</c:v>
                </c:pt>
                <c:pt idx="267">
                  <c:v>37956</c:v>
                </c:pt>
                <c:pt idx="268">
                  <c:v>37926</c:v>
                </c:pt>
                <c:pt idx="269">
                  <c:v>37895</c:v>
                </c:pt>
                <c:pt idx="270">
                  <c:v>37865</c:v>
                </c:pt>
                <c:pt idx="271">
                  <c:v>37834</c:v>
                </c:pt>
                <c:pt idx="272">
                  <c:v>37803</c:v>
                </c:pt>
                <c:pt idx="273">
                  <c:v>37773</c:v>
                </c:pt>
                <c:pt idx="274">
                  <c:v>37742</c:v>
                </c:pt>
                <c:pt idx="275">
                  <c:v>37712</c:v>
                </c:pt>
                <c:pt idx="276">
                  <c:v>37681</c:v>
                </c:pt>
                <c:pt idx="277">
                  <c:v>37653</c:v>
                </c:pt>
                <c:pt idx="278">
                  <c:v>37622</c:v>
                </c:pt>
                <c:pt idx="279">
                  <c:v>37591</c:v>
                </c:pt>
                <c:pt idx="280">
                  <c:v>37561</c:v>
                </c:pt>
                <c:pt idx="281">
                  <c:v>37530</c:v>
                </c:pt>
                <c:pt idx="282">
                  <c:v>37500</c:v>
                </c:pt>
                <c:pt idx="283">
                  <c:v>37469</c:v>
                </c:pt>
                <c:pt idx="284">
                  <c:v>37438</c:v>
                </c:pt>
                <c:pt idx="285">
                  <c:v>37408</c:v>
                </c:pt>
                <c:pt idx="286">
                  <c:v>37377</c:v>
                </c:pt>
                <c:pt idx="287">
                  <c:v>37347</c:v>
                </c:pt>
                <c:pt idx="288">
                  <c:v>37316</c:v>
                </c:pt>
                <c:pt idx="289">
                  <c:v>37288</c:v>
                </c:pt>
                <c:pt idx="290">
                  <c:v>37257</c:v>
                </c:pt>
                <c:pt idx="291">
                  <c:v>37226</c:v>
                </c:pt>
                <c:pt idx="292">
                  <c:v>37196</c:v>
                </c:pt>
                <c:pt idx="293">
                  <c:v>37165</c:v>
                </c:pt>
                <c:pt idx="294">
                  <c:v>37135</c:v>
                </c:pt>
                <c:pt idx="295">
                  <c:v>37104</c:v>
                </c:pt>
                <c:pt idx="296">
                  <c:v>37073</c:v>
                </c:pt>
                <c:pt idx="297">
                  <c:v>37043</c:v>
                </c:pt>
                <c:pt idx="298">
                  <c:v>37012</c:v>
                </c:pt>
                <c:pt idx="299">
                  <c:v>36982</c:v>
                </c:pt>
                <c:pt idx="300">
                  <c:v>36951</c:v>
                </c:pt>
                <c:pt idx="301">
                  <c:v>36923</c:v>
                </c:pt>
                <c:pt idx="302">
                  <c:v>36892</c:v>
                </c:pt>
                <c:pt idx="303">
                  <c:v>36861</c:v>
                </c:pt>
                <c:pt idx="304">
                  <c:v>36831</c:v>
                </c:pt>
                <c:pt idx="305">
                  <c:v>36800</c:v>
                </c:pt>
                <c:pt idx="306">
                  <c:v>36770</c:v>
                </c:pt>
                <c:pt idx="307">
                  <c:v>36739</c:v>
                </c:pt>
                <c:pt idx="308">
                  <c:v>36708</c:v>
                </c:pt>
                <c:pt idx="309">
                  <c:v>36678</c:v>
                </c:pt>
                <c:pt idx="310">
                  <c:v>36647</c:v>
                </c:pt>
                <c:pt idx="311">
                  <c:v>36617</c:v>
                </c:pt>
                <c:pt idx="312">
                  <c:v>36586</c:v>
                </c:pt>
                <c:pt idx="313">
                  <c:v>36557</c:v>
                </c:pt>
                <c:pt idx="314">
                  <c:v>36526</c:v>
                </c:pt>
                <c:pt idx="315">
                  <c:v>36495</c:v>
                </c:pt>
                <c:pt idx="316">
                  <c:v>36465</c:v>
                </c:pt>
                <c:pt idx="317">
                  <c:v>36434</c:v>
                </c:pt>
                <c:pt idx="318">
                  <c:v>36404</c:v>
                </c:pt>
                <c:pt idx="319">
                  <c:v>36373</c:v>
                </c:pt>
                <c:pt idx="320">
                  <c:v>36342</c:v>
                </c:pt>
                <c:pt idx="321">
                  <c:v>36312</c:v>
                </c:pt>
                <c:pt idx="322">
                  <c:v>36281</c:v>
                </c:pt>
                <c:pt idx="323">
                  <c:v>36251</c:v>
                </c:pt>
                <c:pt idx="324">
                  <c:v>36220</c:v>
                </c:pt>
                <c:pt idx="325">
                  <c:v>36192</c:v>
                </c:pt>
                <c:pt idx="326">
                  <c:v>36161</c:v>
                </c:pt>
                <c:pt idx="327">
                  <c:v>36130</c:v>
                </c:pt>
                <c:pt idx="328">
                  <c:v>36100</c:v>
                </c:pt>
                <c:pt idx="329">
                  <c:v>36069</c:v>
                </c:pt>
                <c:pt idx="330">
                  <c:v>36039</c:v>
                </c:pt>
                <c:pt idx="331">
                  <c:v>36008</c:v>
                </c:pt>
                <c:pt idx="332">
                  <c:v>35977</c:v>
                </c:pt>
                <c:pt idx="333">
                  <c:v>35947</c:v>
                </c:pt>
                <c:pt idx="334">
                  <c:v>35916</c:v>
                </c:pt>
                <c:pt idx="335">
                  <c:v>35886</c:v>
                </c:pt>
                <c:pt idx="336">
                  <c:v>35855</c:v>
                </c:pt>
                <c:pt idx="337">
                  <c:v>35827</c:v>
                </c:pt>
                <c:pt idx="338">
                  <c:v>35796</c:v>
                </c:pt>
                <c:pt idx="339">
                  <c:v>35765</c:v>
                </c:pt>
                <c:pt idx="340">
                  <c:v>35735</c:v>
                </c:pt>
                <c:pt idx="341">
                  <c:v>35704</c:v>
                </c:pt>
                <c:pt idx="342">
                  <c:v>35674</c:v>
                </c:pt>
                <c:pt idx="343">
                  <c:v>35643</c:v>
                </c:pt>
                <c:pt idx="344">
                  <c:v>35612</c:v>
                </c:pt>
                <c:pt idx="345">
                  <c:v>35582</c:v>
                </c:pt>
                <c:pt idx="346">
                  <c:v>35551</c:v>
                </c:pt>
                <c:pt idx="347">
                  <c:v>35521</c:v>
                </c:pt>
                <c:pt idx="348">
                  <c:v>35490</c:v>
                </c:pt>
                <c:pt idx="349">
                  <c:v>35462</c:v>
                </c:pt>
                <c:pt idx="350">
                  <c:v>35431</c:v>
                </c:pt>
                <c:pt idx="351">
                  <c:v>35400</c:v>
                </c:pt>
                <c:pt idx="352">
                  <c:v>35370</c:v>
                </c:pt>
                <c:pt idx="353">
                  <c:v>35339</c:v>
                </c:pt>
                <c:pt idx="354">
                  <c:v>35309</c:v>
                </c:pt>
                <c:pt idx="355">
                  <c:v>35278</c:v>
                </c:pt>
                <c:pt idx="356">
                  <c:v>35247</c:v>
                </c:pt>
                <c:pt idx="357">
                  <c:v>35217</c:v>
                </c:pt>
                <c:pt idx="358">
                  <c:v>35186</c:v>
                </c:pt>
                <c:pt idx="359">
                  <c:v>35156</c:v>
                </c:pt>
                <c:pt idx="360">
                  <c:v>35125</c:v>
                </c:pt>
                <c:pt idx="361">
                  <c:v>35096</c:v>
                </c:pt>
                <c:pt idx="362">
                  <c:v>35065</c:v>
                </c:pt>
                <c:pt idx="363">
                  <c:v>35034</c:v>
                </c:pt>
                <c:pt idx="364">
                  <c:v>35004</c:v>
                </c:pt>
                <c:pt idx="365">
                  <c:v>34973</c:v>
                </c:pt>
                <c:pt idx="366">
                  <c:v>34943</c:v>
                </c:pt>
                <c:pt idx="367">
                  <c:v>34912</c:v>
                </c:pt>
                <c:pt idx="368">
                  <c:v>34881</c:v>
                </c:pt>
                <c:pt idx="369">
                  <c:v>34851</c:v>
                </c:pt>
                <c:pt idx="370">
                  <c:v>34820</c:v>
                </c:pt>
                <c:pt idx="371">
                  <c:v>34790</c:v>
                </c:pt>
                <c:pt idx="372">
                  <c:v>34759</c:v>
                </c:pt>
                <c:pt idx="373">
                  <c:v>34731</c:v>
                </c:pt>
                <c:pt idx="374">
                  <c:v>34700</c:v>
                </c:pt>
                <c:pt idx="375">
                  <c:v>34669</c:v>
                </c:pt>
                <c:pt idx="376">
                  <c:v>34639</c:v>
                </c:pt>
                <c:pt idx="377">
                  <c:v>34608</c:v>
                </c:pt>
                <c:pt idx="378">
                  <c:v>34578</c:v>
                </c:pt>
                <c:pt idx="379">
                  <c:v>34547</c:v>
                </c:pt>
                <c:pt idx="380">
                  <c:v>34516</c:v>
                </c:pt>
                <c:pt idx="381">
                  <c:v>34486</c:v>
                </c:pt>
                <c:pt idx="382">
                  <c:v>34455</c:v>
                </c:pt>
                <c:pt idx="383">
                  <c:v>34425</c:v>
                </c:pt>
                <c:pt idx="384">
                  <c:v>34394</c:v>
                </c:pt>
                <c:pt idx="385">
                  <c:v>34366</c:v>
                </c:pt>
                <c:pt idx="386">
                  <c:v>34335</c:v>
                </c:pt>
                <c:pt idx="387">
                  <c:v>34304</c:v>
                </c:pt>
                <c:pt idx="388">
                  <c:v>34274</c:v>
                </c:pt>
                <c:pt idx="389">
                  <c:v>34243</c:v>
                </c:pt>
                <c:pt idx="390">
                  <c:v>34213</c:v>
                </c:pt>
                <c:pt idx="391">
                  <c:v>34182</c:v>
                </c:pt>
                <c:pt idx="392">
                  <c:v>34151</c:v>
                </c:pt>
                <c:pt idx="393">
                  <c:v>34121</c:v>
                </c:pt>
                <c:pt idx="394">
                  <c:v>34090</c:v>
                </c:pt>
                <c:pt idx="395">
                  <c:v>34060</c:v>
                </c:pt>
                <c:pt idx="396">
                  <c:v>34029</c:v>
                </c:pt>
                <c:pt idx="397">
                  <c:v>34001</c:v>
                </c:pt>
                <c:pt idx="398">
                  <c:v>33970</c:v>
                </c:pt>
                <c:pt idx="399">
                  <c:v>33939</c:v>
                </c:pt>
                <c:pt idx="400">
                  <c:v>33909</c:v>
                </c:pt>
                <c:pt idx="401">
                  <c:v>33878</c:v>
                </c:pt>
                <c:pt idx="402">
                  <c:v>33848</c:v>
                </c:pt>
                <c:pt idx="403">
                  <c:v>33817</c:v>
                </c:pt>
                <c:pt idx="404">
                  <c:v>33786</c:v>
                </c:pt>
                <c:pt idx="405">
                  <c:v>33756</c:v>
                </c:pt>
                <c:pt idx="406">
                  <c:v>33725</c:v>
                </c:pt>
                <c:pt idx="407">
                  <c:v>33695</c:v>
                </c:pt>
                <c:pt idx="408">
                  <c:v>33664</c:v>
                </c:pt>
                <c:pt idx="409">
                  <c:v>33635</c:v>
                </c:pt>
                <c:pt idx="410">
                  <c:v>33604</c:v>
                </c:pt>
                <c:pt idx="411">
                  <c:v>33573</c:v>
                </c:pt>
                <c:pt idx="412">
                  <c:v>33543</c:v>
                </c:pt>
                <c:pt idx="413">
                  <c:v>33512</c:v>
                </c:pt>
                <c:pt idx="414">
                  <c:v>33482</c:v>
                </c:pt>
                <c:pt idx="415">
                  <c:v>33451</c:v>
                </c:pt>
                <c:pt idx="416">
                  <c:v>33420</c:v>
                </c:pt>
                <c:pt idx="417">
                  <c:v>33390</c:v>
                </c:pt>
                <c:pt idx="418">
                  <c:v>33359</c:v>
                </c:pt>
                <c:pt idx="419">
                  <c:v>33329</c:v>
                </c:pt>
                <c:pt idx="420">
                  <c:v>33298</c:v>
                </c:pt>
                <c:pt idx="421">
                  <c:v>33270</c:v>
                </c:pt>
                <c:pt idx="422">
                  <c:v>33239</c:v>
                </c:pt>
                <c:pt idx="423">
                  <c:v>33208</c:v>
                </c:pt>
                <c:pt idx="424">
                  <c:v>33178</c:v>
                </c:pt>
                <c:pt idx="425">
                  <c:v>33147</c:v>
                </c:pt>
                <c:pt idx="426">
                  <c:v>33117</c:v>
                </c:pt>
                <c:pt idx="427">
                  <c:v>33086</c:v>
                </c:pt>
                <c:pt idx="428">
                  <c:v>33055</c:v>
                </c:pt>
                <c:pt idx="429">
                  <c:v>33025</c:v>
                </c:pt>
                <c:pt idx="430">
                  <c:v>32994</c:v>
                </c:pt>
                <c:pt idx="431">
                  <c:v>32964</c:v>
                </c:pt>
                <c:pt idx="432">
                  <c:v>32933</c:v>
                </c:pt>
                <c:pt idx="433">
                  <c:v>32905</c:v>
                </c:pt>
                <c:pt idx="434">
                  <c:v>32874</c:v>
                </c:pt>
                <c:pt idx="435">
                  <c:v>32843</c:v>
                </c:pt>
                <c:pt idx="436">
                  <c:v>32813</c:v>
                </c:pt>
                <c:pt idx="437">
                  <c:v>32782</c:v>
                </c:pt>
                <c:pt idx="438">
                  <c:v>32752</c:v>
                </c:pt>
                <c:pt idx="439">
                  <c:v>32721</c:v>
                </c:pt>
                <c:pt idx="440">
                  <c:v>32690</c:v>
                </c:pt>
                <c:pt idx="441">
                  <c:v>32660</c:v>
                </c:pt>
                <c:pt idx="442">
                  <c:v>32629</c:v>
                </c:pt>
                <c:pt idx="443">
                  <c:v>32599</c:v>
                </c:pt>
                <c:pt idx="444">
                  <c:v>32568</c:v>
                </c:pt>
                <c:pt idx="445">
                  <c:v>32540</c:v>
                </c:pt>
                <c:pt idx="446">
                  <c:v>32509</c:v>
                </c:pt>
                <c:pt idx="447">
                  <c:v>32478</c:v>
                </c:pt>
                <c:pt idx="448">
                  <c:v>32448</c:v>
                </c:pt>
                <c:pt idx="449">
                  <c:v>32417</c:v>
                </c:pt>
                <c:pt idx="450">
                  <c:v>32387</c:v>
                </c:pt>
                <c:pt idx="451">
                  <c:v>32356</c:v>
                </c:pt>
                <c:pt idx="452">
                  <c:v>32325</c:v>
                </c:pt>
                <c:pt idx="453">
                  <c:v>32295</c:v>
                </c:pt>
                <c:pt idx="454">
                  <c:v>32264</c:v>
                </c:pt>
                <c:pt idx="455">
                  <c:v>32234</c:v>
                </c:pt>
                <c:pt idx="456">
                  <c:v>32203</c:v>
                </c:pt>
                <c:pt idx="457">
                  <c:v>32174</c:v>
                </c:pt>
                <c:pt idx="458">
                  <c:v>32143</c:v>
                </c:pt>
                <c:pt idx="459">
                  <c:v>32112</c:v>
                </c:pt>
                <c:pt idx="460">
                  <c:v>32082</c:v>
                </c:pt>
                <c:pt idx="461">
                  <c:v>32051</c:v>
                </c:pt>
                <c:pt idx="462">
                  <c:v>32021</c:v>
                </c:pt>
                <c:pt idx="463">
                  <c:v>31990</c:v>
                </c:pt>
                <c:pt idx="464">
                  <c:v>31959</c:v>
                </c:pt>
              </c:numCache>
            </c:numRef>
          </c:cat>
          <c:val>
            <c:numRef>
              <c:f>'Chart 2.14 data'!$S$3:$S$467</c:f>
              <c:numCache>
                <c:formatCode>0.00</c:formatCode>
                <c:ptCount val="465"/>
                <c:pt idx="0">
                  <c:v>3.5955746773202124</c:v>
                </c:pt>
                <c:pt idx="1">
                  <c:v>3.9469626888683162</c:v>
                </c:pt>
                <c:pt idx="2">
                  <c:v>3.8540385403853961</c:v>
                </c:pt>
                <c:pt idx="3">
                  <c:v>4.1245533435426252</c:v>
                </c:pt>
                <c:pt idx="4">
                  <c:v>3.6303288040659742</c:v>
                </c:pt>
                <c:pt idx="5">
                  <c:v>3.9028440938343234</c:v>
                </c:pt>
                <c:pt idx="6">
                  <c:v>3.5303861683404048</c:v>
                </c:pt>
                <c:pt idx="7">
                  <c:v>3.4241570101263052</c:v>
                </c:pt>
                <c:pt idx="8">
                  <c:v>3.6665622062049374</c:v>
                </c:pt>
                <c:pt idx="9">
                  <c:v>2.7281279397930458</c:v>
                </c:pt>
                <c:pt idx="10">
                  <c:v>3.4020073956682495</c:v>
                </c:pt>
                <c:pt idx="11">
                  <c:v>4.1244725738396548</c:v>
                </c:pt>
                <c:pt idx="12">
                  <c:v>3.6637931034482873</c:v>
                </c:pt>
                <c:pt idx="13">
                  <c:v>#N/A</c:v>
                </c:pt>
                <c:pt idx="14">
                  <c:v>#N/A</c:v>
                </c:pt>
                <c:pt idx="15">
                  <c:v>4.2971595047341493</c:v>
                </c:pt>
                <c:pt idx="16">
                  <c:v>#N/A</c:v>
                </c:pt>
                <c:pt idx="17">
                  <c:v>#N/A</c:v>
                </c:pt>
                <c:pt idx="18">
                  <c:v>4.5588235294117485</c:v>
                </c:pt>
                <c:pt idx="19">
                  <c:v>#N/A</c:v>
                </c:pt>
                <c:pt idx="20">
                  <c:v>#N/A</c:v>
                </c:pt>
                <c:pt idx="21">
                  <c:v>4.457652303120363</c:v>
                </c:pt>
                <c:pt idx="22">
                  <c:v>#N/A</c:v>
                </c:pt>
                <c:pt idx="23">
                  <c:v>#N/A</c:v>
                </c:pt>
                <c:pt idx="24">
                  <c:v>4.2696629213483162</c:v>
                </c:pt>
                <c:pt idx="25">
                  <c:v>#N/A</c:v>
                </c:pt>
                <c:pt idx="26">
                  <c:v>#N/A</c:v>
                </c:pt>
                <c:pt idx="27">
                  <c:v>4.5696877380045686</c:v>
                </c:pt>
                <c:pt idx="28">
                  <c:v>#N/A</c:v>
                </c:pt>
                <c:pt idx="29">
                  <c:v>#N/A</c:v>
                </c:pt>
                <c:pt idx="30">
                  <c:v>5.7542768273717071</c:v>
                </c:pt>
                <c:pt idx="31">
                  <c:v>#N/A</c:v>
                </c:pt>
                <c:pt idx="32">
                  <c:v>#N/A</c:v>
                </c:pt>
                <c:pt idx="33">
                  <c:v>6.3191153238546516</c:v>
                </c:pt>
                <c:pt idx="34">
                  <c:v>#N/A</c:v>
                </c:pt>
                <c:pt idx="35">
                  <c:v>#N/A</c:v>
                </c:pt>
                <c:pt idx="36">
                  <c:v>6.1208267090619994</c:v>
                </c:pt>
                <c:pt idx="37">
                  <c:v>#N/A</c:v>
                </c:pt>
                <c:pt idx="38">
                  <c:v>#N/A</c:v>
                </c:pt>
                <c:pt idx="39">
                  <c:v>5.5466237942122243</c:v>
                </c:pt>
                <c:pt idx="40">
                  <c:v>#N/A</c:v>
                </c:pt>
                <c:pt idx="41">
                  <c:v>#N/A</c:v>
                </c:pt>
                <c:pt idx="42">
                  <c:v>4.1295546558704377</c:v>
                </c:pt>
                <c:pt idx="43">
                  <c:v>#N/A</c:v>
                </c:pt>
                <c:pt idx="44">
                  <c:v>#N/A</c:v>
                </c:pt>
                <c:pt idx="45">
                  <c:v>3.2626427406198921</c:v>
                </c:pt>
                <c:pt idx="46">
                  <c:v>#N/A</c:v>
                </c:pt>
                <c:pt idx="47">
                  <c:v>#N/A</c:v>
                </c:pt>
                <c:pt idx="48">
                  <c:v>3.0303030303030276</c:v>
                </c:pt>
                <c:pt idx="49">
                  <c:v>#N/A</c:v>
                </c:pt>
                <c:pt idx="50">
                  <c:v>#N/A</c:v>
                </c:pt>
                <c:pt idx="51">
                  <c:v>2.3026315789473673</c:v>
                </c:pt>
                <c:pt idx="52">
                  <c:v>#N/A</c:v>
                </c:pt>
                <c:pt idx="53">
                  <c:v>#N/A</c:v>
                </c:pt>
                <c:pt idx="54">
                  <c:v>3.5205364626990754</c:v>
                </c:pt>
                <c:pt idx="55">
                  <c:v>#N/A</c:v>
                </c:pt>
                <c:pt idx="56">
                  <c:v>#N/A</c:v>
                </c:pt>
                <c:pt idx="57">
                  <c:v>5.1457975986277882</c:v>
                </c:pt>
                <c:pt idx="58">
                  <c:v>#N/A</c:v>
                </c:pt>
                <c:pt idx="59">
                  <c:v>#N/A</c:v>
                </c:pt>
                <c:pt idx="60">
                  <c:v>1.0761589403973426</c:v>
                </c:pt>
                <c:pt idx="61">
                  <c:v>#N/A</c:v>
                </c:pt>
                <c:pt idx="62">
                  <c:v>#N/A</c:v>
                </c:pt>
                <c:pt idx="63">
                  <c:v>0.82918739635158278</c:v>
                </c:pt>
                <c:pt idx="64">
                  <c:v>#N/A</c:v>
                </c:pt>
                <c:pt idx="65">
                  <c:v>#N/A</c:v>
                </c:pt>
                <c:pt idx="66">
                  <c:v>-0.5833333333333357</c:v>
                </c:pt>
                <c:pt idx="67">
                  <c:v>#N/A</c:v>
                </c:pt>
                <c:pt idx="68">
                  <c:v>#N/A</c:v>
                </c:pt>
                <c:pt idx="69">
                  <c:v>-2.1812080536912859</c:v>
                </c:pt>
                <c:pt idx="70">
                  <c:v>#N/A</c:v>
                </c:pt>
                <c:pt idx="71">
                  <c:v>#N/A</c:v>
                </c:pt>
                <c:pt idx="72">
                  <c:v>1.7691659646166702</c:v>
                </c:pt>
                <c:pt idx="73">
                  <c:v>#N/A</c:v>
                </c:pt>
                <c:pt idx="74">
                  <c:v>#N/A</c:v>
                </c:pt>
                <c:pt idx="75">
                  <c:v>1.7721518987341645</c:v>
                </c:pt>
                <c:pt idx="76">
                  <c:v>#N/A</c:v>
                </c:pt>
                <c:pt idx="77">
                  <c:v>#N/A</c:v>
                </c:pt>
                <c:pt idx="78">
                  <c:v>1.7811704834605591</c:v>
                </c:pt>
                <c:pt idx="79">
                  <c:v>#N/A</c:v>
                </c:pt>
                <c:pt idx="80">
                  <c:v>#N/A</c:v>
                </c:pt>
                <c:pt idx="81">
                  <c:v>1.4468085106382977</c:v>
                </c:pt>
                <c:pt idx="82">
                  <c:v>#N/A</c:v>
                </c:pt>
                <c:pt idx="83">
                  <c:v>#N/A</c:v>
                </c:pt>
                <c:pt idx="84">
                  <c:v>1.2798634812286602</c:v>
                </c:pt>
                <c:pt idx="85">
                  <c:v>#N/A</c:v>
                </c:pt>
                <c:pt idx="86">
                  <c:v>#N/A</c:v>
                </c:pt>
                <c:pt idx="87">
                  <c:v>1.716738197424883</c:v>
                </c:pt>
                <c:pt idx="88">
                  <c:v>#N/A</c:v>
                </c:pt>
                <c:pt idx="89">
                  <c:v>#N/A</c:v>
                </c:pt>
                <c:pt idx="90">
                  <c:v>1.5503875968992276</c:v>
                </c:pt>
                <c:pt idx="91">
                  <c:v>#N/A</c:v>
                </c:pt>
                <c:pt idx="92">
                  <c:v>#N/A</c:v>
                </c:pt>
                <c:pt idx="93">
                  <c:v>1.81975736568456</c:v>
                </c:pt>
                <c:pt idx="94">
                  <c:v>#N/A</c:v>
                </c:pt>
                <c:pt idx="95">
                  <c:v>#N/A</c:v>
                </c:pt>
                <c:pt idx="96">
                  <c:v>2.0017406440382857</c:v>
                </c:pt>
                <c:pt idx="97">
                  <c:v>#N/A</c:v>
                </c:pt>
                <c:pt idx="98">
                  <c:v>#N/A</c:v>
                </c:pt>
                <c:pt idx="99">
                  <c:v>1.7467248908296984</c:v>
                </c:pt>
                <c:pt idx="100">
                  <c:v>#N/A</c:v>
                </c:pt>
                <c:pt idx="101">
                  <c:v>#N/A</c:v>
                </c:pt>
                <c:pt idx="102">
                  <c:v>1.8421052631578894</c:v>
                </c:pt>
                <c:pt idx="103">
                  <c:v>#N/A</c:v>
                </c:pt>
                <c:pt idx="104">
                  <c:v>#N/A</c:v>
                </c:pt>
                <c:pt idx="105">
                  <c:v>1.763668430335108</c:v>
                </c:pt>
                <c:pt idx="106">
                  <c:v>#N/A</c:v>
                </c:pt>
                <c:pt idx="107">
                  <c:v>#N/A</c:v>
                </c:pt>
                <c:pt idx="108">
                  <c:v>1.5915119363395291</c:v>
                </c:pt>
                <c:pt idx="109">
                  <c:v>#N/A</c:v>
                </c:pt>
                <c:pt idx="110">
                  <c:v>#N/A</c:v>
                </c:pt>
                <c:pt idx="111">
                  <c:v>1.6873889875666181</c:v>
                </c:pt>
                <c:pt idx="112">
                  <c:v>#N/A</c:v>
                </c:pt>
                <c:pt idx="113">
                  <c:v>#N/A</c:v>
                </c:pt>
                <c:pt idx="114">
                  <c:v>1.7857142857142794</c:v>
                </c:pt>
                <c:pt idx="115">
                  <c:v>#N/A</c:v>
                </c:pt>
                <c:pt idx="116">
                  <c:v>#N/A</c:v>
                </c:pt>
                <c:pt idx="117">
                  <c:v>1.9784172661870603</c:v>
                </c:pt>
                <c:pt idx="118">
                  <c:v>#N/A</c:v>
                </c:pt>
                <c:pt idx="119">
                  <c:v>#N/A</c:v>
                </c:pt>
                <c:pt idx="120">
                  <c:v>1.8918918918918948</c:v>
                </c:pt>
                <c:pt idx="121">
                  <c:v>#N/A</c:v>
                </c:pt>
                <c:pt idx="122">
                  <c:v>#N/A</c:v>
                </c:pt>
                <c:pt idx="123">
                  <c:v>2.3636363636363678</c:v>
                </c:pt>
                <c:pt idx="124">
                  <c:v>#N/A</c:v>
                </c:pt>
                <c:pt idx="125">
                  <c:v>#N/A</c:v>
                </c:pt>
                <c:pt idx="126">
                  <c:v>2.6581118240146751</c:v>
                </c:pt>
                <c:pt idx="127">
                  <c:v>#N/A</c:v>
                </c:pt>
                <c:pt idx="128">
                  <c:v>#N/A</c:v>
                </c:pt>
                <c:pt idx="129">
                  <c:v>2.6777469990766356</c:v>
                </c:pt>
                <c:pt idx="130">
                  <c:v>#N/A</c:v>
                </c:pt>
                <c:pt idx="131">
                  <c:v>#N/A</c:v>
                </c:pt>
                <c:pt idx="132">
                  <c:v>3.0640668523676862</c:v>
                </c:pt>
                <c:pt idx="133">
                  <c:v>#N/A</c:v>
                </c:pt>
                <c:pt idx="134">
                  <c:v>#N/A</c:v>
                </c:pt>
                <c:pt idx="135">
                  <c:v>2.7077497665733086</c:v>
                </c:pt>
                <c:pt idx="136">
                  <c:v>#N/A</c:v>
                </c:pt>
                <c:pt idx="137">
                  <c:v>#N/A</c:v>
                </c:pt>
                <c:pt idx="138">
                  <c:v>2.827521206409056</c:v>
                </c:pt>
                <c:pt idx="139">
                  <c:v>#N/A</c:v>
                </c:pt>
                <c:pt idx="140">
                  <c:v>#N/A</c:v>
                </c:pt>
                <c:pt idx="141">
                  <c:v>3.3396946564885566</c:v>
                </c:pt>
                <c:pt idx="142">
                  <c:v>#N/A</c:v>
                </c:pt>
                <c:pt idx="143">
                  <c:v>#N/A</c:v>
                </c:pt>
                <c:pt idx="144">
                  <c:v>3.2598274209012512</c:v>
                </c:pt>
                <c:pt idx="145">
                  <c:v>#N/A</c:v>
                </c:pt>
                <c:pt idx="146">
                  <c:v>#N/A</c:v>
                </c:pt>
                <c:pt idx="147">
                  <c:v>3.6786060019361022</c:v>
                </c:pt>
                <c:pt idx="148">
                  <c:v>#N/A</c:v>
                </c:pt>
                <c:pt idx="149">
                  <c:v>#N/A</c:v>
                </c:pt>
                <c:pt idx="150">
                  <c:v>3.6132812499999778</c:v>
                </c:pt>
                <c:pt idx="151">
                  <c:v>#N/A</c:v>
                </c:pt>
                <c:pt idx="152">
                  <c:v>#N/A</c:v>
                </c:pt>
                <c:pt idx="153">
                  <c:v>3.7623762376237657</c:v>
                </c:pt>
                <c:pt idx="154">
                  <c:v>#N/A</c:v>
                </c:pt>
                <c:pt idx="155">
                  <c:v>#N/A</c:v>
                </c:pt>
                <c:pt idx="156">
                  <c:v>3.7810945273631713</c:v>
                </c:pt>
                <c:pt idx="157">
                  <c:v>#N/A</c:v>
                </c:pt>
                <c:pt idx="158">
                  <c:v>#N/A</c:v>
                </c:pt>
                <c:pt idx="159">
                  <c:v>3.6108324974924777</c:v>
                </c:pt>
                <c:pt idx="160">
                  <c:v>#N/A</c:v>
                </c:pt>
                <c:pt idx="161">
                  <c:v>#N/A</c:v>
                </c:pt>
                <c:pt idx="162">
                  <c:v>3.5389282103134523</c:v>
                </c:pt>
                <c:pt idx="163">
                  <c:v>#N/A</c:v>
                </c:pt>
                <c:pt idx="164">
                  <c:v>#N/A</c:v>
                </c:pt>
                <c:pt idx="165">
                  <c:v>3.4836065573770503</c:v>
                </c:pt>
                <c:pt idx="166">
                  <c:v>#N/A</c:v>
                </c:pt>
                <c:pt idx="167">
                  <c:v>#N/A</c:v>
                </c:pt>
                <c:pt idx="168">
                  <c:v>3.8223140495867725</c:v>
                </c:pt>
                <c:pt idx="169">
                  <c:v>#N/A</c:v>
                </c:pt>
                <c:pt idx="170">
                  <c:v>#N/A</c:v>
                </c:pt>
                <c:pt idx="171">
                  <c:v>4.507337526205446</c:v>
                </c:pt>
                <c:pt idx="172">
                  <c:v>#N/A</c:v>
                </c:pt>
                <c:pt idx="173">
                  <c:v>#N/A</c:v>
                </c:pt>
                <c:pt idx="174">
                  <c:v>3.8865546218487479</c:v>
                </c:pt>
                <c:pt idx="175">
                  <c:v>#N/A</c:v>
                </c:pt>
                <c:pt idx="176">
                  <c:v>#N/A</c:v>
                </c:pt>
                <c:pt idx="177">
                  <c:v>3.4994697773064631</c:v>
                </c:pt>
                <c:pt idx="178">
                  <c:v>#N/A</c:v>
                </c:pt>
                <c:pt idx="179">
                  <c:v>#N/A</c:v>
                </c:pt>
                <c:pt idx="180">
                  <c:v>2.8692879914984148</c:v>
                </c:pt>
                <c:pt idx="181">
                  <c:v>#N/A</c:v>
                </c:pt>
                <c:pt idx="182">
                  <c:v>#N/A</c:v>
                </c:pt>
                <c:pt idx="183">
                  <c:v>2.6910656620021456</c:v>
                </c:pt>
                <c:pt idx="184">
                  <c:v>#N/A</c:v>
                </c:pt>
                <c:pt idx="185">
                  <c:v>#N/A</c:v>
                </c:pt>
                <c:pt idx="186">
                  <c:v>3.365906623235615</c:v>
                </c:pt>
                <c:pt idx="187">
                  <c:v>#N/A</c:v>
                </c:pt>
                <c:pt idx="188">
                  <c:v>#N/A</c:v>
                </c:pt>
                <c:pt idx="189">
                  <c:v>3.3991228070175294</c:v>
                </c:pt>
                <c:pt idx="190">
                  <c:v>#N/A</c:v>
                </c:pt>
                <c:pt idx="191">
                  <c:v>#N/A</c:v>
                </c:pt>
                <c:pt idx="192">
                  <c:v>3.4065934065933945</c:v>
                </c:pt>
                <c:pt idx="193">
                  <c:v>#N/A</c:v>
                </c:pt>
                <c:pt idx="194">
                  <c:v>#N/A</c:v>
                </c:pt>
                <c:pt idx="195">
                  <c:v>1.4192139737991383</c:v>
                </c:pt>
                <c:pt idx="196">
                  <c:v>#N/A</c:v>
                </c:pt>
                <c:pt idx="197">
                  <c:v>#N/A</c:v>
                </c:pt>
                <c:pt idx="198">
                  <c:v>1.0976948408342402</c:v>
                </c:pt>
                <c:pt idx="199">
                  <c:v>#N/A</c:v>
                </c:pt>
                <c:pt idx="200">
                  <c:v>#N/A</c:v>
                </c:pt>
                <c:pt idx="201">
                  <c:v>1.5590200445434466</c:v>
                </c:pt>
                <c:pt idx="202">
                  <c:v>#N/A</c:v>
                </c:pt>
                <c:pt idx="203">
                  <c:v>#N/A</c:v>
                </c:pt>
                <c:pt idx="204">
                  <c:v>3.0577576443941101</c:v>
                </c:pt>
                <c:pt idx="205">
                  <c:v>#N/A</c:v>
                </c:pt>
                <c:pt idx="206">
                  <c:v>#N/A</c:v>
                </c:pt>
                <c:pt idx="207">
                  <c:v>5.0458715596330084</c:v>
                </c:pt>
                <c:pt idx="208">
                  <c:v>#N/A</c:v>
                </c:pt>
                <c:pt idx="209">
                  <c:v>#N/A</c:v>
                </c:pt>
                <c:pt idx="210">
                  <c:v>5.8072009291521454</c:v>
                </c:pt>
                <c:pt idx="211">
                  <c:v>#N/A</c:v>
                </c:pt>
                <c:pt idx="212">
                  <c:v>#N/A</c:v>
                </c:pt>
                <c:pt idx="213">
                  <c:v>5.39906103286385</c:v>
                </c:pt>
                <c:pt idx="214">
                  <c:v>#N/A</c:v>
                </c:pt>
                <c:pt idx="215">
                  <c:v>#N/A</c:v>
                </c:pt>
                <c:pt idx="216">
                  <c:v>4.3735224586288535</c:v>
                </c:pt>
                <c:pt idx="217">
                  <c:v>#N/A</c:v>
                </c:pt>
                <c:pt idx="218">
                  <c:v>#N/A</c:v>
                </c:pt>
                <c:pt idx="219">
                  <c:v>3.6860879904875299</c:v>
                </c:pt>
                <c:pt idx="220">
                  <c:v>#N/A</c:v>
                </c:pt>
                <c:pt idx="221">
                  <c:v>#N/A</c:v>
                </c:pt>
                <c:pt idx="222">
                  <c:v>3.3613445378151141</c:v>
                </c:pt>
                <c:pt idx="223">
                  <c:v>#N/A</c:v>
                </c:pt>
                <c:pt idx="224">
                  <c:v>#N/A</c:v>
                </c:pt>
                <c:pt idx="225">
                  <c:v>3.2727272727272716</c:v>
                </c:pt>
                <c:pt idx="226">
                  <c:v>#N/A</c:v>
                </c:pt>
                <c:pt idx="227">
                  <c:v>#N/A</c:v>
                </c:pt>
                <c:pt idx="228">
                  <c:v>3.4229828850855792</c:v>
                </c:pt>
                <c:pt idx="229">
                  <c:v>#N/A</c:v>
                </c:pt>
                <c:pt idx="230">
                  <c:v>#N/A</c:v>
                </c:pt>
                <c:pt idx="231">
                  <c:v>3.8271604938271642</c:v>
                </c:pt>
                <c:pt idx="232">
                  <c:v>#N/A</c:v>
                </c:pt>
                <c:pt idx="233">
                  <c:v>#N/A</c:v>
                </c:pt>
                <c:pt idx="234">
                  <c:v>3.6069651741293507</c:v>
                </c:pt>
                <c:pt idx="235">
                  <c:v>#N/A</c:v>
                </c:pt>
                <c:pt idx="236">
                  <c:v>#N/A</c:v>
                </c:pt>
                <c:pt idx="237">
                  <c:v>3.2540675844805911</c:v>
                </c:pt>
                <c:pt idx="238">
                  <c:v>#N/A</c:v>
                </c:pt>
                <c:pt idx="239">
                  <c:v>#N/A</c:v>
                </c:pt>
                <c:pt idx="240">
                  <c:v>2.7638190954773822</c:v>
                </c:pt>
                <c:pt idx="241">
                  <c:v>#N/A</c:v>
                </c:pt>
                <c:pt idx="242">
                  <c:v>#N/A</c:v>
                </c:pt>
                <c:pt idx="243">
                  <c:v>3.0534351145038219</c:v>
                </c:pt>
                <c:pt idx="244">
                  <c:v>#N/A</c:v>
                </c:pt>
                <c:pt idx="245">
                  <c:v>#N/A</c:v>
                </c:pt>
                <c:pt idx="246">
                  <c:v>2.9449423815621101</c:v>
                </c:pt>
                <c:pt idx="247">
                  <c:v>#N/A</c:v>
                </c:pt>
                <c:pt idx="248">
                  <c:v>#N/A</c:v>
                </c:pt>
                <c:pt idx="249">
                  <c:v>3.2299741602067167</c:v>
                </c:pt>
                <c:pt idx="250">
                  <c:v>#N/A</c:v>
                </c:pt>
                <c:pt idx="251">
                  <c:v>#N/A</c:v>
                </c:pt>
                <c:pt idx="252">
                  <c:v>3.6458333333333259</c:v>
                </c:pt>
                <c:pt idx="253">
                  <c:v>#N/A</c:v>
                </c:pt>
                <c:pt idx="254">
                  <c:v>#N/A</c:v>
                </c:pt>
                <c:pt idx="255">
                  <c:v>3.1496062992125928</c:v>
                </c:pt>
                <c:pt idx="256">
                  <c:v>#N/A</c:v>
                </c:pt>
                <c:pt idx="257">
                  <c:v>#N/A</c:v>
                </c:pt>
                <c:pt idx="258">
                  <c:v>3.443708609271523</c:v>
                </c:pt>
                <c:pt idx="259">
                  <c:v>#N/A</c:v>
                </c:pt>
                <c:pt idx="260">
                  <c:v>#N/A</c:v>
                </c:pt>
                <c:pt idx="261">
                  <c:v>3.4759358288770192</c:v>
                </c:pt>
                <c:pt idx="262">
                  <c:v>#N/A</c:v>
                </c:pt>
                <c:pt idx="263">
                  <c:v>#N/A</c:v>
                </c:pt>
                <c:pt idx="264">
                  <c:v>3.3647375504710642</c:v>
                </c:pt>
                <c:pt idx="265">
                  <c:v>#N/A</c:v>
                </c:pt>
                <c:pt idx="266">
                  <c:v>#N/A</c:v>
                </c:pt>
                <c:pt idx="267">
                  <c:v>3.3921302578018953</c:v>
                </c:pt>
                <c:pt idx="268">
                  <c:v>#N/A</c:v>
                </c:pt>
                <c:pt idx="269">
                  <c:v>#N/A</c:v>
                </c:pt>
                <c:pt idx="270">
                  <c:v>3.1420765027322384</c:v>
                </c:pt>
                <c:pt idx="271">
                  <c:v>#N/A</c:v>
                </c:pt>
                <c:pt idx="272">
                  <c:v>#N/A</c:v>
                </c:pt>
                <c:pt idx="273">
                  <c:v>3.7447988904299567</c:v>
                </c:pt>
                <c:pt idx="274">
                  <c:v>#N/A</c:v>
                </c:pt>
                <c:pt idx="275">
                  <c:v>#N/A</c:v>
                </c:pt>
                <c:pt idx="276">
                  <c:v>4.0616246498599295</c:v>
                </c:pt>
                <c:pt idx="277">
                  <c:v>#N/A</c:v>
                </c:pt>
                <c:pt idx="278">
                  <c:v>#N/A</c:v>
                </c:pt>
                <c:pt idx="279">
                  <c:v>4.8364153627311612</c:v>
                </c:pt>
                <c:pt idx="280">
                  <c:v>#N/A</c:v>
                </c:pt>
                <c:pt idx="281">
                  <c:v>#N/A</c:v>
                </c:pt>
                <c:pt idx="282">
                  <c:v>5.1724137931034697</c:v>
                </c:pt>
                <c:pt idx="283">
                  <c:v>#N/A</c:v>
                </c:pt>
                <c:pt idx="284">
                  <c:v>#N/A</c:v>
                </c:pt>
                <c:pt idx="285">
                  <c:v>4.6444121915819814</c:v>
                </c:pt>
                <c:pt idx="286">
                  <c:v>#N/A</c:v>
                </c:pt>
                <c:pt idx="287">
                  <c:v>#N/A</c:v>
                </c:pt>
                <c:pt idx="288">
                  <c:v>4.0816326530612512</c:v>
                </c:pt>
                <c:pt idx="289">
                  <c:v>#N/A</c:v>
                </c:pt>
                <c:pt idx="290">
                  <c:v>#N/A</c:v>
                </c:pt>
                <c:pt idx="291">
                  <c:v>3.2305433186490484</c:v>
                </c:pt>
                <c:pt idx="292">
                  <c:v>#N/A</c:v>
                </c:pt>
                <c:pt idx="293">
                  <c:v>#N/A</c:v>
                </c:pt>
                <c:pt idx="294">
                  <c:v>2.6548672566371723</c:v>
                </c:pt>
                <c:pt idx="295">
                  <c:v>#N/A</c:v>
                </c:pt>
                <c:pt idx="296">
                  <c:v>#N/A</c:v>
                </c:pt>
                <c:pt idx="297">
                  <c:v>6.1633281972264919</c:v>
                </c:pt>
                <c:pt idx="298">
                  <c:v>#N/A</c:v>
                </c:pt>
                <c:pt idx="299">
                  <c:v>#N/A</c:v>
                </c:pt>
                <c:pt idx="300">
                  <c:v>6.6874027993779173</c:v>
                </c:pt>
                <c:pt idx="301">
                  <c:v>#N/A</c:v>
                </c:pt>
                <c:pt idx="302">
                  <c:v>#N/A</c:v>
                </c:pt>
                <c:pt idx="303">
                  <c:v>6.7398119122257016</c:v>
                </c:pt>
                <c:pt idx="304">
                  <c:v>#N/A</c:v>
                </c:pt>
                <c:pt idx="305">
                  <c:v>#N/A</c:v>
                </c:pt>
                <c:pt idx="306">
                  <c:v>7.1090047393364886</c:v>
                </c:pt>
                <c:pt idx="307">
                  <c:v>#N/A</c:v>
                </c:pt>
                <c:pt idx="308">
                  <c:v>#N/A</c:v>
                </c:pt>
                <c:pt idx="309">
                  <c:v>3.6741214057508076</c:v>
                </c:pt>
                <c:pt idx="310">
                  <c:v>#N/A</c:v>
                </c:pt>
                <c:pt idx="311">
                  <c:v>#N/A</c:v>
                </c:pt>
                <c:pt idx="312">
                  <c:v>3.0448717948717841</c:v>
                </c:pt>
                <c:pt idx="313">
                  <c:v>#N/A</c:v>
                </c:pt>
                <c:pt idx="314">
                  <c:v>#N/A</c:v>
                </c:pt>
                <c:pt idx="315">
                  <c:v>1.2698412698412653</c:v>
                </c:pt>
                <c:pt idx="316">
                  <c:v>#N/A</c:v>
                </c:pt>
                <c:pt idx="317">
                  <c:v>#N/A</c:v>
                </c:pt>
                <c:pt idx="318">
                  <c:v>1.1182108626198062</c:v>
                </c:pt>
                <c:pt idx="319">
                  <c:v>#N/A</c:v>
                </c:pt>
                <c:pt idx="320">
                  <c:v>#N/A</c:v>
                </c:pt>
                <c:pt idx="321">
                  <c:v>0.64308681672025081</c:v>
                </c:pt>
                <c:pt idx="322">
                  <c:v>#N/A</c:v>
                </c:pt>
                <c:pt idx="323">
                  <c:v>#N/A</c:v>
                </c:pt>
                <c:pt idx="324">
                  <c:v>1.1345218800648205</c:v>
                </c:pt>
                <c:pt idx="325">
                  <c:v>#N/A</c:v>
                </c:pt>
                <c:pt idx="326">
                  <c:v>#N/A</c:v>
                </c:pt>
                <c:pt idx="327">
                  <c:v>2.6058631921824116</c:v>
                </c:pt>
                <c:pt idx="328">
                  <c:v>#N/A</c:v>
                </c:pt>
                <c:pt idx="329">
                  <c:v>#N/A</c:v>
                </c:pt>
                <c:pt idx="330">
                  <c:v>1.9543973941368087</c:v>
                </c:pt>
                <c:pt idx="331">
                  <c:v>#N/A</c:v>
                </c:pt>
                <c:pt idx="332">
                  <c:v>#N/A</c:v>
                </c:pt>
                <c:pt idx="333">
                  <c:v>0.64724919093852584</c:v>
                </c:pt>
                <c:pt idx="334">
                  <c:v>#N/A</c:v>
                </c:pt>
                <c:pt idx="335">
                  <c:v>#N/A</c:v>
                </c:pt>
                <c:pt idx="336">
                  <c:v>-0.80385852090032461</c:v>
                </c:pt>
                <c:pt idx="337">
                  <c:v>#N/A</c:v>
                </c:pt>
                <c:pt idx="338">
                  <c:v>#N/A</c:v>
                </c:pt>
                <c:pt idx="339">
                  <c:v>-1.2861736334405238</c:v>
                </c:pt>
                <c:pt idx="340">
                  <c:v>#N/A</c:v>
                </c:pt>
                <c:pt idx="341">
                  <c:v>#N/A</c:v>
                </c:pt>
                <c:pt idx="342">
                  <c:v>-1.760000000000006</c:v>
                </c:pt>
                <c:pt idx="343">
                  <c:v>#N/A</c:v>
                </c:pt>
                <c:pt idx="344">
                  <c:v>#N/A</c:v>
                </c:pt>
                <c:pt idx="345">
                  <c:v>-0.64308681672026191</c:v>
                </c:pt>
                <c:pt idx="346">
                  <c:v>#N/A</c:v>
                </c:pt>
                <c:pt idx="347">
                  <c:v>#N/A</c:v>
                </c:pt>
                <c:pt idx="348">
                  <c:v>0.16103059581320522</c:v>
                </c:pt>
                <c:pt idx="349">
                  <c:v>#N/A</c:v>
                </c:pt>
                <c:pt idx="350">
                  <c:v>#N/A</c:v>
                </c:pt>
                <c:pt idx="351">
                  <c:v>0.64724919093852584</c:v>
                </c:pt>
                <c:pt idx="352">
                  <c:v>#N/A</c:v>
                </c:pt>
                <c:pt idx="353">
                  <c:v>#N/A</c:v>
                </c:pt>
                <c:pt idx="354">
                  <c:v>2.2913256955810146</c:v>
                </c:pt>
                <c:pt idx="355">
                  <c:v>#N/A</c:v>
                </c:pt>
                <c:pt idx="356">
                  <c:v>#N/A</c:v>
                </c:pt>
                <c:pt idx="357">
                  <c:v>2.8099173553719048</c:v>
                </c:pt>
                <c:pt idx="358">
                  <c:v>#N/A</c:v>
                </c:pt>
                <c:pt idx="359">
                  <c:v>#N/A</c:v>
                </c:pt>
                <c:pt idx="360">
                  <c:v>4.1946308724832182</c:v>
                </c:pt>
                <c:pt idx="361">
                  <c:v>#N/A</c:v>
                </c:pt>
                <c:pt idx="362">
                  <c:v>#N/A</c:v>
                </c:pt>
                <c:pt idx="363">
                  <c:v>6.7357512953367893</c:v>
                </c:pt>
                <c:pt idx="364">
                  <c:v>#N/A</c:v>
                </c:pt>
                <c:pt idx="365">
                  <c:v>#N/A</c:v>
                </c:pt>
                <c:pt idx="366">
                  <c:v>7.192982456140351</c:v>
                </c:pt>
                <c:pt idx="367">
                  <c:v>#N/A</c:v>
                </c:pt>
                <c:pt idx="368">
                  <c:v>#N/A</c:v>
                </c:pt>
                <c:pt idx="369">
                  <c:v>7.079646017699126</c:v>
                </c:pt>
                <c:pt idx="370">
                  <c:v>#N/A</c:v>
                </c:pt>
                <c:pt idx="371">
                  <c:v>#N/A</c:v>
                </c:pt>
                <c:pt idx="372">
                  <c:v>6.0498220640569311</c:v>
                </c:pt>
                <c:pt idx="373">
                  <c:v>#N/A</c:v>
                </c:pt>
                <c:pt idx="374">
                  <c:v>#N/A</c:v>
                </c:pt>
                <c:pt idx="375">
                  <c:v>3.3928571428571308</c:v>
                </c:pt>
                <c:pt idx="376">
                  <c:v>#N/A</c:v>
                </c:pt>
                <c:pt idx="377">
                  <c:v>#N/A</c:v>
                </c:pt>
                <c:pt idx="378">
                  <c:v>1.7857142857142794</c:v>
                </c:pt>
                <c:pt idx="379">
                  <c:v>#N/A</c:v>
                </c:pt>
                <c:pt idx="380">
                  <c:v>#N/A</c:v>
                </c:pt>
                <c:pt idx="381">
                  <c:v>0.89285714285713969</c:v>
                </c:pt>
                <c:pt idx="382">
                  <c:v>#N/A</c:v>
                </c:pt>
                <c:pt idx="383">
                  <c:v>#N/A</c:v>
                </c:pt>
                <c:pt idx="384">
                  <c:v>0.71684587813620748</c:v>
                </c:pt>
                <c:pt idx="385">
                  <c:v>#N/A</c:v>
                </c:pt>
                <c:pt idx="386">
                  <c:v>#N/A</c:v>
                </c:pt>
                <c:pt idx="387">
                  <c:v>1.0830324909747224</c:v>
                </c:pt>
                <c:pt idx="388">
                  <c:v>#N/A</c:v>
                </c:pt>
                <c:pt idx="389">
                  <c:v>#N/A</c:v>
                </c:pt>
                <c:pt idx="390">
                  <c:v>1.0830324909747224</c:v>
                </c:pt>
                <c:pt idx="391">
                  <c:v>#N/A</c:v>
                </c:pt>
                <c:pt idx="392">
                  <c:v>#N/A</c:v>
                </c:pt>
                <c:pt idx="393">
                  <c:v>0.35842293906811484</c:v>
                </c:pt>
                <c:pt idx="394">
                  <c:v>#N/A</c:v>
                </c:pt>
                <c:pt idx="395">
                  <c:v>#N/A</c:v>
                </c:pt>
                <c:pt idx="396">
                  <c:v>-1.5873015873015928</c:v>
                </c:pt>
                <c:pt idx="397">
                  <c:v>#N/A</c:v>
                </c:pt>
                <c:pt idx="398">
                  <c:v>#N/A</c:v>
                </c:pt>
                <c:pt idx="399">
                  <c:v>-2.6362038664323406</c:v>
                </c:pt>
                <c:pt idx="400">
                  <c:v>#N/A</c:v>
                </c:pt>
                <c:pt idx="401">
                  <c:v>#N/A</c:v>
                </c:pt>
                <c:pt idx="402">
                  <c:v>-1.2477718360071388</c:v>
                </c:pt>
                <c:pt idx="403">
                  <c:v>#N/A</c:v>
                </c:pt>
                <c:pt idx="404">
                  <c:v>#N/A</c:v>
                </c:pt>
                <c:pt idx="405">
                  <c:v>-0.71174377224200169</c:v>
                </c:pt>
                <c:pt idx="406">
                  <c:v>#N/A</c:v>
                </c:pt>
                <c:pt idx="407">
                  <c:v>#N/A</c:v>
                </c:pt>
                <c:pt idx="408">
                  <c:v>0.88967971530249379</c:v>
                </c:pt>
                <c:pt idx="409">
                  <c:v>#N/A</c:v>
                </c:pt>
                <c:pt idx="410">
                  <c:v>#N/A</c:v>
                </c:pt>
                <c:pt idx="411">
                  <c:v>1.0657193605683846</c:v>
                </c:pt>
                <c:pt idx="412">
                  <c:v>#N/A</c:v>
                </c:pt>
                <c:pt idx="413">
                  <c:v>#N/A</c:v>
                </c:pt>
                <c:pt idx="414">
                  <c:v>1.8148820326678861</c:v>
                </c:pt>
                <c:pt idx="415">
                  <c:v>#N/A</c:v>
                </c:pt>
                <c:pt idx="416">
                  <c:v>#N/A</c:v>
                </c:pt>
                <c:pt idx="417">
                  <c:v>3.3088235294117752</c:v>
                </c:pt>
                <c:pt idx="418">
                  <c:v>#N/A</c:v>
                </c:pt>
                <c:pt idx="419">
                  <c:v>#N/A</c:v>
                </c:pt>
                <c:pt idx="420">
                  <c:v>4.8507462686567138</c:v>
                </c:pt>
                <c:pt idx="421">
                  <c:v>#N/A</c:v>
                </c:pt>
                <c:pt idx="422">
                  <c:v>#N/A</c:v>
                </c:pt>
                <c:pt idx="423">
                  <c:v>7.4427480916030575</c:v>
                </c:pt>
                <c:pt idx="424">
                  <c:v>#N/A</c:v>
                </c:pt>
                <c:pt idx="425">
                  <c:v>#N/A</c:v>
                </c:pt>
                <c:pt idx="426">
                  <c:v>8.0392156862745026</c:v>
                </c:pt>
                <c:pt idx="427">
                  <c:v>#N/A</c:v>
                </c:pt>
                <c:pt idx="428">
                  <c:v>#N/A</c:v>
                </c:pt>
                <c:pt idx="429">
                  <c:v>10.794297352342163</c:v>
                </c:pt>
                <c:pt idx="430">
                  <c:v>#N/A</c:v>
                </c:pt>
                <c:pt idx="431">
                  <c:v>#N/A</c:v>
                </c:pt>
                <c:pt idx="432">
                  <c:v>12.133891213389125</c:v>
                </c:pt>
                <c:pt idx="433">
                  <c:v>#N/A</c:v>
                </c:pt>
                <c:pt idx="434">
                  <c:v>#N/A</c:v>
                </c:pt>
                <c:pt idx="435">
                  <c:v>#N/A</c:v>
                </c:pt>
                <c:pt idx="436">
                  <c:v>#N/A</c:v>
                </c:pt>
                <c:pt idx="437">
                  <c:v>#N/A</c:v>
                </c:pt>
                <c:pt idx="438">
                  <c:v>#N/A</c:v>
                </c:pt>
                <c:pt idx="439">
                  <c:v>#N/A</c:v>
                </c:pt>
                <c:pt idx="440">
                  <c:v>#N/A</c:v>
                </c:pt>
                <c:pt idx="441">
                  <c:v>#N/A</c:v>
                </c:pt>
                <c:pt idx="442">
                  <c:v>#N/A</c:v>
                </c:pt>
                <c:pt idx="443">
                  <c:v>#N/A</c:v>
                </c:pt>
                <c:pt idx="444">
                  <c:v>#N/A</c:v>
                </c:pt>
                <c:pt idx="445">
                  <c:v>#N/A</c:v>
                </c:pt>
                <c:pt idx="446">
                  <c:v>#N/A</c:v>
                </c:pt>
                <c:pt idx="447">
                  <c:v>#N/A</c:v>
                </c:pt>
                <c:pt idx="448">
                  <c:v>#N/A</c:v>
                </c:pt>
                <c:pt idx="449">
                  <c:v>#N/A</c:v>
                </c:pt>
                <c:pt idx="450">
                  <c:v>#N/A</c:v>
                </c:pt>
                <c:pt idx="451">
                  <c:v>#N/A</c:v>
                </c:pt>
                <c:pt idx="452">
                  <c:v>#N/A</c:v>
                </c:pt>
                <c:pt idx="453">
                  <c:v>#N/A</c:v>
                </c:pt>
                <c:pt idx="454">
                  <c:v>#N/A</c:v>
                </c:pt>
                <c:pt idx="455">
                  <c:v>#N/A</c:v>
                </c:pt>
                <c:pt idx="456">
                  <c:v>#N/A</c:v>
                </c:pt>
                <c:pt idx="457">
                  <c:v>#N/A</c:v>
                </c:pt>
                <c:pt idx="458">
                  <c:v>#N/A</c:v>
                </c:pt>
                <c:pt idx="459">
                  <c:v>#N/A</c:v>
                </c:pt>
                <c:pt idx="460">
                  <c:v>#N/A</c:v>
                </c:pt>
                <c:pt idx="461">
                  <c:v>#N/A</c:v>
                </c:pt>
                <c:pt idx="462">
                  <c:v>#N/A</c:v>
                </c:pt>
                <c:pt idx="463">
                  <c:v>#N/A</c:v>
                </c:pt>
                <c:pt idx="464">
                  <c:v>#N/A</c:v>
                </c:pt>
              </c:numCache>
            </c:numRef>
          </c:val>
          <c:smooth val="0"/>
          <c:extLst>
            <c:ext xmlns:c16="http://schemas.microsoft.com/office/drawing/2014/chart" uri="{C3380CC4-5D6E-409C-BE32-E72D297353CC}">
              <c16:uniqueId val="{00000001-7073-4E80-89C5-7D5C2C84AB48}"/>
            </c:ext>
          </c:extLst>
        </c:ser>
        <c:ser>
          <c:idx val="0"/>
          <c:order val="2"/>
          <c:tx>
            <c:strRef>
              <c:f>'Chart 2.14 data'!$P$2</c:f>
              <c:strCache>
                <c:ptCount val="1"/>
                <c:pt idx="0">
                  <c:v>Goods (Melbourne)</c:v>
                </c:pt>
              </c:strCache>
            </c:strRef>
          </c:tx>
          <c:spPr>
            <a:ln w="22225" cap="rnd">
              <a:solidFill>
                <a:srgbClr val="414141"/>
              </a:solidFill>
              <a:round/>
            </a:ln>
            <a:effectLst/>
          </c:spPr>
          <c:marker>
            <c:symbol val="none"/>
          </c:marker>
          <c:cat>
            <c:numRef>
              <c:f>'Chart 2.14 data'!$O$3:$O$467</c:f>
              <c:numCache>
                <c:formatCode>mmm\-yyyy</c:formatCode>
                <c:ptCount val="465"/>
                <c:pt idx="0">
                  <c:v>46082</c:v>
                </c:pt>
                <c:pt idx="1">
                  <c:v>46054</c:v>
                </c:pt>
                <c:pt idx="2">
                  <c:v>46023</c:v>
                </c:pt>
                <c:pt idx="3">
                  <c:v>45992</c:v>
                </c:pt>
                <c:pt idx="4">
                  <c:v>45962</c:v>
                </c:pt>
                <c:pt idx="5">
                  <c:v>45931</c:v>
                </c:pt>
                <c:pt idx="6">
                  <c:v>45901</c:v>
                </c:pt>
                <c:pt idx="7">
                  <c:v>45870</c:v>
                </c:pt>
                <c:pt idx="8">
                  <c:v>45839</c:v>
                </c:pt>
                <c:pt idx="9">
                  <c:v>45809</c:v>
                </c:pt>
                <c:pt idx="10">
                  <c:v>45778</c:v>
                </c:pt>
                <c:pt idx="11">
                  <c:v>45748</c:v>
                </c:pt>
                <c:pt idx="12">
                  <c:v>45717</c:v>
                </c:pt>
                <c:pt idx="13">
                  <c:v>45689</c:v>
                </c:pt>
                <c:pt idx="14">
                  <c:v>45658</c:v>
                </c:pt>
                <c:pt idx="15">
                  <c:v>45627</c:v>
                </c:pt>
                <c:pt idx="16">
                  <c:v>45597</c:v>
                </c:pt>
                <c:pt idx="17">
                  <c:v>45566</c:v>
                </c:pt>
                <c:pt idx="18">
                  <c:v>45536</c:v>
                </c:pt>
                <c:pt idx="19">
                  <c:v>45505</c:v>
                </c:pt>
                <c:pt idx="20">
                  <c:v>45474</c:v>
                </c:pt>
                <c:pt idx="21">
                  <c:v>45444</c:v>
                </c:pt>
                <c:pt idx="22">
                  <c:v>45413</c:v>
                </c:pt>
                <c:pt idx="23">
                  <c:v>45383</c:v>
                </c:pt>
                <c:pt idx="24">
                  <c:v>45352</c:v>
                </c:pt>
                <c:pt idx="25">
                  <c:v>45323</c:v>
                </c:pt>
                <c:pt idx="26">
                  <c:v>45292</c:v>
                </c:pt>
                <c:pt idx="27">
                  <c:v>45261</c:v>
                </c:pt>
                <c:pt idx="28">
                  <c:v>45231</c:v>
                </c:pt>
                <c:pt idx="29">
                  <c:v>45200</c:v>
                </c:pt>
                <c:pt idx="30">
                  <c:v>45170</c:v>
                </c:pt>
                <c:pt idx="31">
                  <c:v>45139</c:v>
                </c:pt>
                <c:pt idx="32">
                  <c:v>45108</c:v>
                </c:pt>
                <c:pt idx="33">
                  <c:v>45078</c:v>
                </c:pt>
                <c:pt idx="34">
                  <c:v>45047</c:v>
                </c:pt>
                <c:pt idx="35">
                  <c:v>45017</c:v>
                </c:pt>
                <c:pt idx="36">
                  <c:v>44986</c:v>
                </c:pt>
                <c:pt idx="37">
                  <c:v>44958</c:v>
                </c:pt>
                <c:pt idx="38">
                  <c:v>44927</c:v>
                </c:pt>
                <c:pt idx="39">
                  <c:v>44896</c:v>
                </c:pt>
                <c:pt idx="40">
                  <c:v>44866</c:v>
                </c:pt>
                <c:pt idx="41">
                  <c:v>44835</c:v>
                </c:pt>
                <c:pt idx="42">
                  <c:v>44805</c:v>
                </c:pt>
                <c:pt idx="43">
                  <c:v>44774</c:v>
                </c:pt>
                <c:pt idx="44">
                  <c:v>44743</c:v>
                </c:pt>
                <c:pt idx="45">
                  <c:v>44713</c:v>
                </c:pt>
                <c:pt idx="46">
                  <c:v>44682</c:v>
                </c:pt>
                <c:pt idx="47">
                  <c:v>44652</c:v>
                </c:pt>
                <c:pt idx="48">
                  <c:v>44621</c:v>
                </c:pt>
                <c:pt idx="49">
                  <c:v>44593</c:v>
                </c:pt>
                <c:pt idx="50">
                  <c:v>44562</c:v>
                </c:pt>
                <c:pt idx="51">
                  <c:v>44531</c:v>
                </c:pt>
                <c:pt idx="52">
                  <c:v>44501</c:v>
                </c:pt>
                <c:pt idx="53">
                  <c:v>44470</c:v>
                </c:pt>
                <c:pt idx="54">
                  <c:v>44440</c:v>
                </c:pt>
                <c:pt idx="55">
                  <c:v>44409</c:v>
                </c:pt>
                <c:pt idx="56">
                  <c:v>44378</c:v>
                </c:pt>
                <c:pt idx="57">
                  <c:v>44348</c:v>
                </c:pt>
                <c:pt idx="58">
                  <c:v>44317</c:v>
                </c:pt>
                <c:pt idx="59">
                  <c:v>44287</c:v>
                </c:pt>
                <c:pt idx="60">
                  <c:v>44256</c:v>
                </c:pt>
                <c:pt idx="61">
                  <c:v>44228</c:v>
                </c:pt>
                <c:pt idx="62">
                  <c:v>44197</c:v>
                </c:pt>
                <c:pt idx="63">
                  <c:v>44166</c:v>
                </c:pt>
                <c:pt idx="64">
                  <c:v>44136</c:v>
                </c:pt>
                <c:pt idx="65">
                  <c:v>44105</c:v>
                </c:pt>
                <c:pt idx="66">
                  <c:v>44075</c:v>
                </c:pt>
                <c:pt idx="67">
                  <c:v>44044</c:v>
                </c:pt>
                <c:pt idx="68">
                  <c:v>44013</c:v>
                </c:pt>
                <c:pt idx="69">
                  <c:v>43983</c:v>
                </c:pt>
                <c:pt idx="70">
                  <c:v>43952</c:v>
                </c:pt>
                <c:pt idx="71">
                  <c:v>43922</c:v>
                </c:pt>
                <c:pt idx="72">
                  <c:v>43891</c:v>
                </c:pt>
                <c:pt idx="73">
                  <c:v>43862</c:v>
                </c:pt>
                <c:pt idx="74">
                  <c:v>43831</c:v>
                </c:pt>
                <c:pt idx="75">
                  <c:v>43800</c:v>
                </c:pt>
                <c:pt idx="76">
                  <c:v>43770</c:v>
                </c:pt>
                <c:pt idx="77">
                  <c:v>43739</c:v>
                </c:pt>
                <c:pt idx="78">
                  <c:v>43709</c:v>
                </c:pt>
                <c:pt idx="79">
                  <c:v>43678</c:v>
                </c:pt>
                <c:pt idx="80">
                  <c:v>43647</c:v>
                </c:pt>
                <c:pt idx="81">
                  <c:v>43617</c:v>
                </c:pt>
                <c:pt idx="82">
                  <c:v>43586</c:v>
                </c:pt>
                <c:pt idx="83">
                  <c:v>43556</c:v>
                </c:pt>
                <c:pt idx="84">
                  <c:v>43525</c:v>
                </c:pt>
                <c:pt idx="85">
                  <c:v>43497</c:v>
                </c:pt>
                <c:pt idx="86">
                  <c:v>43466</c:v>
                </c:pt>
                <c:pt idx="87">
                  <c:v>43435</c:v>
                </c:pt>
                <c:pt idx="88">
                  <c:v>43405</c:v>
                </c:pt>
                <c:pt idx="89">
                  <c:v>43374</c:v>
                </c:pt>
                <c:pt idx="90">
                  <c:v>43344</c:v>
                </c:pt>
                <c:pt idx="91">
                  <c:v>43313</c:v>
                </c:pt>
                <c:pt idx="92">
                  <c:v>43282</c:v>
                </c:pt>
                <c:pt idx="93">
                  <c:v>43252</c:v>
                </c:pt>
                <c:pt idx="94">
                  <c:v>43221</c:v>
                </c:pt>
                <c:pt idx="95">
                  <c:v>43191</c:v>
                </c:pt>
                <c:pt idx="96">
                  <c:v>43160</c:v>
                </c:pt>
                <c:pt idx="97">
                  <c:v>43132</c:v>
                </c:pt>
                <c:pt idx="98">
                  <c:v>43101</c:v>
                </c:pt>
                <c:pt idx="99">
                  <c:v>43070</c:v>
                </c:pt>
                <c:pt idx="100">
                  <c:v>43040</c:v>
                </c:pt>
                <c:pt idx="101">
                  <c:v>43009</c:v>
                </c:pt>
                <c:pt idx="102">
                  <c:v>42979</c:v>
                </c:pt>
                <c:pt idx="103">
                  <c:v>42948</c:v>
                </c:pt>
                <c:pt idx="104">
                  <c:v>42917</c:v>
                </c:pt>
                <c:pt idx="105">
                  <c:v>42887</c:v>
                </c:pt>
                <c:pt idx="106">
                  <c:v>42856</c:v>
                </c:pt>
                <c:pt idx="107">
                  <c:v>42826</c:v>
                </c:pt>
                <c:pt idx="108">
                  <c:v>42795</c:v>
                </c:pt>
                <c:pt idx="109">
                  <c:v>42767</c:v>
                </c:pt>
                <c:pt idx="110">
                  <c:v>42736</c:v>
                </c:pt>
                <c:pt idx="111">
                  <c:v>42705</c:v>
                </c:pt>
                <c:pt idx="112">
                  <c:v>42675</c:v>
                </c:pt>
                <c:pt idx="113">
                  <c:v>42644</c:v>
                </c:pt>
                <c:pt idx="114">
                  <c:v>42614</c:v>
                </c:pt>
                <c:pt idx="115">
                  <c:v>42583</c:v>
                </c:pt>
                <c:pt idx="116">
                  <c:v>42552</c:v>
                </c:pt>
                <c:pt idx="117">
                  <c:v>42522</c:v>
                </c:pt>
                <c:pt idx="118">
                  <c:v>42491</c:v>
                </c:pt>
                <c:pt idx="119">
                  <c:v>42461</c:v>
                </c:pt>
                <c:pt idx="120">
                  <c:v>42430</c:v>
                </c:pt>
                <c:pt idx="121">
                  <c:v>42401</c:v>
                </c:pt>
                <c:pt idx="122">
                  <c:v>42370</c:v>
                </c:pt>
                <c:pt idx="123">
                  <c:v>42339</c:v>
                </c:pt>
                <c:pt idx="124">
                  <c:v>42309</c:v>
                </c:pt>
                <c:pt idx="125">
                  <c:v>42278</c:v>
                </c:pt>
                <c:pt idx="126">
                  <c:v>42248</c:v>
                </c:pt>
                <c:pt idx="127">
                  <c:v>42217</c:v>
                </c:pt>
                <c:pt idx="128">
                  <c:v>42186</c:v>
                </c:pt>
                <c:pt idx="129">
                  <c:v>42156</c:v>
                </c:pt>
                <c:pt idx="130">
                  <c:v>42125</c:v>
                </c:pt>
                <c:pt idx="131">
                  <c:v>42095</c:v>
                </c:pt>
                <c:pt idx="132">
                  <c:v>42064</c:v>
                </c:pt>
                <c:pt idx="133">
                  <c:v>42036</c:v>
                </c:pt>
                <c:pt idx="134">
                  <c:v>42005</c:v>
                </c:pt>
                <c:pt idx="135">
                  <c:v>41974</c:v>
                </c:pt>
                <c:pt idx="136">
                  <c:v>41944</c:v>
                </c:pt>
                <c:pt idx="137">
                  <c:v>41913</c:v>
                </c:pt>
                <c:pt idx="138">
                  <c:v>41883</c:v>
                </c:pt>
                <c:pt idx="139">
                  <c:v>41852</c:v>
                </c:pt>
                <c:pt idx="140">
                  <c:v>41821</c:v>
                </c:pt>
                <c:pt idx="141">
                  <c:v>41791</c:v>
                </c:pt>
                <c:pt idx="142">
                  <c:v>41760</c:v>
                </c:pt>
                <c:pt idx="143">
                  <c:v>41730</c:v>
                </c:pt>
                <c:pt idx="144">
                  <c:v>41699</c:v>
                </c:pt>
                <c:pt idx="145">
                  <c:v>41671</c:v>
                </c:pt>
                <c:pt idx="146">
                  <c:v>41640</c:v>
                </c:pt>
                <c:pt idx="147">
                  <c:v>41609</c:v>
                </c:pt>
                <c:pt idx="148">
                  <c:v>41579</c:v>
                </c:pt>
                <c:pt idx="149">
                  <c:v>41548</c:v>
                </c:pt>
                <c:pt idx="150">
                  <c:v>41518</c:v>
                </c:pt>
                <c:pt idx="151">
                  <c:v>41487</c:v>
                </c:pt>
                <c:pt idx="152">
                  <c:v>41456</c:v>
                </c:pt>
                <c:pt idx="153">
                  <c:v>41426</c:v>
                </c:pt>
                <c:pt idx="154">
                  <c:v>41395</c:v>
                </c:pt>
                <c:pt idx="155">
                  <c:v>41365</c:v>
                </c:pt>
                <c:pt idx="156">
                  <c:v>41334</c:v>
                </c:pt>
                <c:pt idx="157">
                  <c:v>41306</c:v>
                </c:pt>
                <c:pt idx="158">
                  <c:v>41275</c:v>
                </c:pt>
                <c:pt idx="159">
                  <c:v>41244</c:v>
                </c:pt>
                <c:pt idx="160">
                  <c:v>41214</c:v>
                </c:pt>
                <c:pt idx="161">
                  <c:v>41183</c:v>
                </c:pt>
                <c:pt idx="162">
                  <c:v>41153</c:v>
                </c:pt>
                <c:pt idx="163">
                  <c:v>41122</c:v>
                </c:pt>
                <c:pt idx="164">
                  <c:v>41091</c:v>
                </c:pt>
                <c:pt idx="165">
                  <c:v>41061</c:v>
                </c:pt>
                <c:pt idx="166">
                  <c:v>41030</c:v>
                </c:pt>
                <c:pt idx="167">
                  <c:v>41000</c:v>
                </c:pt>
                <c:pt idx="168">
                  <c:v>40969</c:v>
                </c:pt>
                <c:pt idx="169">
                  <c:v>40940</c:v>
                </c:pt>
                <c:pt idx="170">
                  <c:v>40909</c:v>
                </c:pt>
                <c:pt idx="171">
                  <c:v>40878</c:v>
                </c:pt>
                <c:pt idx="172">
                  <c:v>40848</c:v>
                </c:pt>
                <c:pt idx="173">
                  <c:v>40817</c:v>
                </c:pt>
                <c:pt idx="174">
                  <c:v>40787</c:v>
                </c:pt>
                <c:pt idx="175">
                  <c:v>40756</c:v>
                </c:pt>
                <c:pt idx="176">
                  <c:v>40725</c:v>
                </c:pt>
                <c:pt idx="177">
                  <c:v>40695</c:v>
                </c:pt>
                <c:pt idx="178">
                  <c:v>40664</c:v>
                </c:pt>
                <c:pt idx="179">
                  <c:v>40634</c:v>
                </c:pt>
                <c:pt idx="180">
                  <c:v>40603</c:v>
                </c:pt>
                <c:pt idx="181">
                  <c:v>40575</c:v>
                </c:pt>
                <c:pt idx="182">
                  <c:v>40544</c:v>
                </c:pt>
                <c:pt idx="183">
                  <c:v>40513</c:v>
                </c:pt>
                <c:pt idx="184">
                  <c:v>40483</c:v>
                </c:pt>
                <c:pt idx="185">
                  <c:v>40452</c:v>
                </c:pt>
                <c:pt idx="186">
                  <c:v>40422</c:v>
                </c:pt>
                <c:pt idx="187">
                  <c:v>40391</c:v>
                </c:pt>
                <c:pt idx="188">
                  <c:v>40360</c:v>
                </c:pt>
                <c:pt idx="189">
                  <c:v>40330</c:v>
                </c:pt>
                <c:pt idx="190">
                  <c:v>40299</c:v>
                </c:pt>
                <c:pt idx="191">
                  <c:v>40269</c:v>
                </c:pt>
                <c:pt idx="192">
                  <c:v>40238</c:v>
                </c:pt>
                <c:pt idx="193">
                  <c:v>40210</c:v>
                </c:pt>
                <c:pt idx="194">
                  <c:v>40179</c:v>
                </c:pt>
                <c:pt idx="195">
                  <c:v>40148</c:v>
                </c:pt>
                <c:pt idx="196">
                  <c:v>40118</c:v>
                </c:pt>
                <c:pt idx="197">
                  <c:v>40087</c:v>
                </c:pt>
                <c:pt idx="198">
                  <c:v>40057</c:v>
                </c:pt>
                <c:pt idx="199">
                  <c:v>40026</c:v>
                </c:pt>
                <c:pt idx="200">
                  <c:v>39995</c:v>
                </c:pt>
                <c:pt idx="201">
                  <c:v>39965</c:v>
                </c:pt>
                <c:pt idx="202">
                  <c:v>39934</c:v>
                </c:pt>
                <c:pt idx="203">
                  <c:v>39904</c:v>
                </c:pt>
                <c:pt idx="204">
                  <c:v>39873</c:v>
                </c:pt>
                <c:pt idx="205">
                  <c:v>39845</c:v>
                </c:pt>
                <c:pt idx="206">
                  <c:v>39814</c:v>
                </c:pt>
                <c:pt idx="207">
                  <c:v>39783</c:v>
                </c:pt>
                <c:pt idx="208">
                  <c:v>39753</c:v>
                </c:pt>
                <c:pt idx="209">
                  <c:v>39722</c:v>
                </c:pt>
                <c:pt idx="210">
                  <c:v>39692</c:v>
                </c:pt>
                <c:pt idx="211">
                  <c:v>39661</c:v>
                </c:pt>
                <c:pt idx="212">
                  <c:v>39630</c:v>
                </c:pt>
                <c:pt idx="213">
                  <c:v>39600</c:v>
                </c:pt>
                <c:pt idx="214">
                  <c:v>39569</c:v>
                </c:pt>
                <c:pt idx="215">
                  <c:v>39539</c:v>
                </c:pt>
                <c:pt idx="216">
                  <c:v>39508</c:v>
                </c:pt>
                <c:pt idx="217">
                  <c:v>39479</c:v>
                </c:pt>
                <c:pt idx="218">
                  <c:v>39448</c:v>
                </c:pt>
                <c:pt idx="219">
                  <c:v>39417</c:v>
                </c:pt>
                <c:pt idx="220">
                  <c:v>39387</c:v>
                </c:pt>
                <c:pt idx="221">
                  <c:v>39356</c:v>
                </c:pt>
                <c:pt idx="222">
                  <c:v>39326</c:v>
                </c:pt>
                <c:pt idx="223">
                  <c:v>39295</c:v>
                </c:pt>
                <c:pt idx="224">
                  <c:v>39264</c:v>
                </c:pt>
                <c:pt idx="225">
                  <c:v>39234</c:v>
                </c:pt>
                <c:pt idx="226">
                  <c:v>39203</c:v>
                </c:pt>
                <c:pt idx="227">
                  <c:v>39173</c:v>
                </c:pt>
                <c:pt idx="228">
                  <c:v>39142</c:v>
                </c:pt>
                <c:pt idx="229">
                  <c:v>39114</c:v>
                </c:pt>
                <c:pt idx="230">
                  <c:v>39083</c:v>
                </c:pt>
                <c:pt idx="231">
                  <c:v>39052</c:v>
                </c:pt>
                <c:pt idx="232">
                  <c:v>39022</c:v>
                </c:pt>
                <c:pt idx="233">
                  <c:v>38991</c:v>
                </c:pt>
                <c:pt idx="234">
                  <c:v>38961</c:v>
                </c:pt>
                <c:pt idx="235">
                  <c:v>38930</c:v>
                </c:pt>
                <c:pt idx="236">
                  <c:v>38899</c:v>
                </c:pt>
                <c:pt idx="237">
                  <c:v>38869</c:v>
                </c:pt>
                <c:pt idx="238">
                  <c:v>38838</c:v>
                </c:pt>
                <c:pt idx="239">
                  <c:v>38808</c:v>
                </c:pt>
                <c:pt idx="240">
                  <c:v>38777</c:v>
                </c:pt>
                <c:pt idx="241">
                  <c:v>38749</c:v>
                </c:pt>
                <c:pt idx="242">
                  <c:v>38718</c:v>
                </c:pt>
                <c:pt idx="243">
                  <c:v>38687</c:v>
                </c:pt>
                <c:pt idx="244">
                  <c:v>38657</c:v>
                </c:pt>
                <c:pt idx="245">
                  <c:v>38626</c:v>
                </c:pt>
                <c:pt idx="246">
                  <c:v>38596</c:v>
                </c:pt>
                <c:pt idx="247">
                  <c:v>38565</c:v>
                </c:pt>
                <c:pt idx="248">
                  <c:v>38534</c:v>
                </c:pt>
                <c:pt idx="249">
                  <c:v>38504</c:v>
                </c:pt>
                <c:pt idx="250">
                  <c:v>38473</c:v>
                </c:pt>
                <c:pt idx="251">
                  <c:v>38443</c:v>
                </c:pt>
                <c:pt idx="252">
                  <c:v>38412</c:v>
                </c:pt>
                <c:pt idx="253">
                  <c:v>38384</c:v>
                </c:pt>
                <c:pt idx="254">
                  <c:v>38353</c:v>
                </c:pt>
                <c:pt idx="255">
                  <c:v>38322</c:v>
                </c:pt>
                <c:pt idx="256">
                  <c:v>38292</c:v>
                </c:pt>
                <c:pt idx="257">
                  <c:v>38261</c:v>
                </c:pt>
                <c:pt idx="258">
                  <c:v>38231</c:v>
                </c:pt>
                <c:pt idx="259">
                  <c:v>38200</c:v>
                </c:pt>
                <c:pt idx="260">
                  <c:v>38169</c:v>
                </c:pt>
                <c:pt idx="261">
                  <c:v>38139</c:v>
                </c:pt>
                <c:pt idx="262">
                  <c:v>38108</c:v>
                </c:pt>
                <c:pt idx="263">
                  <c:v>38078</c:v>
                </c:pt>
                <c:pt idx="264">
                  <c:v>38047</c:v>
                </c:pt>
                <c:pt idx="265">
                  <c:v>38018</c:v>
                </c:pt>
                <c:pt idx="266">
                  <c:v>37987</c:v>
                </c:pt>
                <c:pt idx="267">
                  <c:v>37956</c:v>
                </c:pt>
                <c:pt idx="268">
                  <c:v>37926</c:v>
                </c:pt>
                <c:pt idx="269">
                  <c:v>37895</c:v>
                </c:pt>
                <c:pt idx="270">
                  <c:v>37865</c:v>
                </c:pt>
                <c:pt idx="271">
                  <c:v>37834</c:v>
                </c:pt>
                <c:pt idx="272">
                  <c:v>37803</c:v>
                </c:pt>
                <c:pt idx="273">
                  <c:v>37773</c:v>
                </c:pt>
                <c:pt idx="274">
                  <c:v>37742</c:v>
                </c:pt>
                <c:pt idx="275">
                  <c:v>37712</c:v>
                </c:pt>
                <c:pt idx="276">
                  <c:v>37681</c:v>
                </c:pt>
                <c:pt idx="277">
                  <c:v>37653</c:v>
                </c:pt>
                <c:pt idx="278">
                  <c:v>37622</c:v>
                </c:pt>
                <c:pt idx="279">
                  <c:v>37591</c:v>
                </c:pt>
                <c:pt idx="280">
                  <c:v>37561</c:v>
                </c:pt>
                <c:pt idx="281">
                  <c:v>37530</c:v>
                </c:pt>
                <c:pt idx="282">
                  <c:v>37500</c:v>
                </c:pt>
                <c:pt idx="283">
                  <c:v>37469</c:v>
                </c:pt>
                <c:pt idx="284">
                  <c:v>37438</c:v>
                </c:pt>
                <c:pt idx="285">
                  <c:v>37408</c:v>
                </c:pt>
                <c:pt idx="286">
                  <c:v>37377</c:v>
                </c:pt>
                <c:pt idx="287">
                  <c:v>37347</c:v>
                </c:pt>
                <c:pt idx="288">
                  <c:v>37316</c:v>
                </c:pt>
                <c:pt idx="289">
                  <c:v>37288</c:v>
                </c:pt>
                <c:pt idx="290">
                  <c:v>37257</c:v>
                </c:pt>
                <c:pt idx="291">
                  <c:v>37226</c:v>
                </c:pt>
                <c:pt idx="292">
                  <c:v>37196</c:v>
                </c:pt>
                <c:pt idx="293">
                  <c:v>37165</c:v>
                </c:pt>
                <c:pt idx="294">
                  <c:v>37135</c:v>
                </c:pt>
                <c:pt idx="295">
                  <c:v>37104</c:v>
                </c:pt>
                <c:pt idx="296">
                  <c:v>37073</c:v>
                </c:pt>
                <c:pt idx="297">
                  <c:v>37043</c:v>
                </c:pt>
                <c:pt idx="298">
                  <c:v>37012</c:v>
                </c:pt>
                <c:pt idx="299">
                  <c:v>36982</c:v>
                </c:pt>
                <c:pt idx="300">
                  <c:v>36951</c:v>
                </c:pt>
                <c:pt idx="301">
                  <c:v>36923</c:v>
                </c:pt>
                <c:pt idx="302">
                  <c:v>36892</c:v>
                </c:pt>
                <c:pt idx="303">
                  <c:v>36861</c:v>
                </c:pt>
                <c:pt idx="304">
                  <c:v>36831</c:v>
                </c:pt>
                <c:pt idx="305">
                  <c:v>36800</c:v>
                </c:pt>
                <c:pt idx="306">
                  <c:v>36770</c:v>
                </c:pt>
                <c:pt idx="307">
                  <c:v>36739</c:v>
                </c:pt>
                <c:pt idx="308">
                  <c:v>36708</c:v>
                </c:pt>
                <c:pt idx="309">
                  <c:v>36678</c:v>
                </c:pt>
                <c:pt idx="310">
                  <c:v>36647</c:v>
                </c:pt>
                <c:pt idx="311">
                  <c:v>36617</c:v>
                </c:pt>
                <c:pt idx="312">
                  <c:v>36586</c:v>
                </c:pt>
                <c:pt idx="313">
                  <c:v>36557</c:v>
                </c:pt>
                <c:pt idx="314">
                  <c:v>36526</c:v>
                </c:pt>
                <c:pt idx="315">
                  <c:v>36495</c:v>
                </c:pt>
                <c:pt idx="316">
                  <c:v>36465</c:v>
                </c:pt>
                <c:pt idx="317">
                  <c:v>36434</c:v>
                </c:pt>
                <c:pt idx="318">
                  <c:v>36404</c:v>
                </c:pt>
                <c:pt idx="319">
                  <c:v>36373</c:v>
                </c:pt>
                <c:pt idx="320">
                  <c:v>36342</c:v>
                </c:pt>
                <c:pt idx="321">
                  <c:v>36312</c:v>
                </c:pt>
                <c:pt idx="322">
                  <c:v>36281</c:v>
                </c:pt>
                <c:pt idx="323">
                  <c:v>36251</c:v>
                </c:pt>
                <c:pt idx="324">
                  <c:v>36220</c:v>
                </c:pt>
                <c:pt idx="325">
                  <c:v>36192</c:v>
                </c:pt>
                <c:pt idx="326">
                  <c:v>36161</c:v>
                </c:pt>
                <c:pt idx="327">
                  <c:v>36130</c:v>
                </c:pt>
                <c:pt idx="328">
                  <c:v>36100</c:v>
                </c:pt>
                <c:pt idx="329">
                  <c:v>36069</c:v>
                </c:pt>
                <c:pt idx="330">
                  <c:v>36039</c:v>
                </c:pt>
                <c:pt idx="331">
                  <c:v>36008</c:v>
                </c:pt>
                <c:pt idx="332">
                  <c:v>35977</c:v>
                </c:pt>
                <c:pt idx="333">
                  <c:v>35947</c:v>
                </c:pt>
                <c:pt idx="334">
                  <c:v>35916</c:v>
                </c:pt>
                <c:pt idx="335">
                  <c:v>35886</c:v>
                </c:pt>
                <c:pt idx="336">
                  <c:v>35855</c:v>
                </c:pt>
                <c:pt idx="337">
                  <c:v>35827</c:v>
                </c:pt>
                <c:pt idx="338">
                  <c:v>35796</c:v>
                </c:pt>
                <c:pt idx="339">
                  <c:v>35765</c:v>
                </c:pt>
                <c:pt idx="340">
                  <c:v>35735</c:v>
                </c:pt>
                <c:pt idx="341">
                  <c:v>35704</c:v>
                </c:pt>
                <c:pt idx="342">
                  <c:v>35674</c:v>
                </c:pt>
                <c:pt idx="343">
                  <c:v>35643</c:v>
                </c:pt>
                <c:pt idx="344">
                  <c:v>35612</c:v>
                </c:pt>
                <c:pt idx="345">
                  <c:v>35582</c:v>
                </c:pt>
                <c:pt idx="346">
                  <c:v>35551</c:v>
                </c:pt>
                <c:pt idx="347">
                  <c:v>35521</c:v>
                </c:pt>
                <c:pt idx="348">
                  <c:v>35490</c:v>
                </c:pt>
                <c:pt idx="349">
                  <c:v>35462</c:v>
                </c:pt>
                <c:pt idx="350">
                  <c:v>35431</c:v>
                </c:pt>
                <c:pt idx="351">
                  <c:v>35400</c:v>
                </c:pt>
                <c:pt idx="352">
                  <c:v>35370</c:v>
                </c:pt>
                <c:pt idx="353">
                  <c:v>35339</c:v>
                </c:pt>
                <c:pt idx="354">
                  <c:v>35309</c:v>
                </c:pt>
                <c:pt idx="355">
                  <c:v>35278</c:v>
                </c:pt>
                <c:pt idx="356">
                  <c:v>35247</c:v>
                </c:pt>
                <c:pt idx="357">
                  <c:v>35217</c:v>
                </c:pt>
                <c:pt idx="358">
                  <c:v>35186</c:v>
                </c:pt>
                <c:pt idx="359">
                  <c:v>35156</c:v>
                </c:pt>
                <c:pt idx="360">
                  <c:v>35125</c:v>
                </c:pt>
                <c:pt idx="361">
                  <c:v>35096</c:v>
                </c:pt>
                <c:pt idx="362">
                  <c:v>35065</c:v>
                </c:pt>
                <c:pt idx="363">
                  <c:v>35034</c:v>
                </c:pt>
                <c:pt idx="364">
                  <c:v>35004</c:v>
                </c:pt>
                <c:pt idx="365">
                  <c:v>34973</c:v>
                </c:pt>
                <c:pt idx="366">
                  <c:v>34943</c:v>
                </c:pt>
                <c:pt idx="367">
                  <c:v>34912</c:v>
                </c:pt>
                <c:pt idx="368">
                  <c:v>34881</c:v>
                </c:pt>
                <c:pt idx="369">
                  <c:v>34851</c:v>
                </c:pt>
                <c:pt idx="370">
                  <c:v>34820</c:v>
                </c:pt>
                <c:pt idx="371">
                  <c:v>34790</c:v>
                </c:pt>
                <c:pt idx="372">
                  <c:v>34759</c:v>
                </c:pt>
                <c:pt idx="373">
                  <c:v>34731</c:v>
                </c:pt>
                <c:pt idx="374">
                  <c:v>34700</c:v>
                </c:pt>
                <c:pt idx="375">
                  <c:v>34669</c:v>
                </c:pt>
                <c:pt idx="376">
                  <c:v>34639</c:v>
                </c:pt>
                <c:pt idx="377">
                  <c:v>34608</c:v>
                </c:pt>
                <c:pt idx="378">
                  <c:v>34578</c:v>
                </c:pt>
                <c:pt idx="379">
                  <c:v>34547</c:v>
                </c:pt>
                <c:pt idx="380">
                  <c:v>34516</c:v>
                </c:pt>
                <c:pt idx="381">
                  <c:v>34486</c:v>
                </c:pt>
                <c:pt idx="382">
                  <c:v>34455</c:v>
                </c:pt>
                <c:pt idx="383">
                  <c:v>34425</c:v>
                </c:pt>
                <c:pt idx="384">
                  <c:v>34394</c:v>
                </c:pt>
                <c:pt idx="385">
                  <c:v>34366</c:v>
                </c:pt>
                <c:pt idx="386">
                  <c:v>34335</c:v>
                </c:pt>
                <c:pt idx="387">
                  <c:v>34304</c:v>
                </c:pt>
                <c:pt idx="388">
                  <c:v>34274</c:v>
                </c:pt>
                <c:pt idx="389">
                  <c:v>34243</c:v>
                </c:pt>
                <c:pt idx="390">
                  <c:v>34213</c:v>
                </c:pt>
                <c:pt idx="391">
                  <c:v>34182</c:v>
                </c:pt>
                <c:pt idx="392">
                  <c:v>34151</c:v>
                </c:pt>
                <c:pt idx="393">
                  <c:v>34121</c:v>
                </c:pt>
                <c:pt idx="394">
                  <c:v>34090</c:v>
                </c:pt>
                <c:pt idx="395">
                  <c:v>34060</c:v>
                </c:pt>
                <c:pt idx="396">
                  <c:v>34029</c:v>
                </c:pt>
                <c:pt idx="397">
                  <c:v>34001</c:v>
                </c:pt>
                <c:pt idx="398">
                  <c:v>33970</c:v>
                </c:pt>
                <c:pt idx="399">
                  <c:v>33939</c:v>
                </c:pt>
                <c:pt idx="400">
                  <c:v>33909</c:v>
                </c:pt>
                <c:pt idx="401">
                  <c:v>33878</c:v>
                </c:pt>
                <c:pt idx="402">
                  <c:v>33848</c:v>
                </c:pt>
                <c:pt idx="403">
                  <c:v>33817</c:v>
                </c:pt>
                <c:pt idx="404">
                  <c:v>33786</c:v>
                </c:pt>
                <c:pt idx="405">
                  <c:v>33756</c:v>
                </c:pt>
                <c:pt idx="406">
                  <c:v>33725</c:v>
                </c:pt>
                <c:pt idx="407">
                  <c:v>33695</c:v>
                </c:pt>
                <c:pt idx="408">
                  <c:v>33664</c:v>
                </c:pt>
                <c:pt idx="409">
                  <c:v>33635</c:v>
                </c:pt>
                <c:pt idx="410">
                  <c:v>33604</c:v>
                </c:pt>
                <c:pt idx="411">
                  <c:v>33573</c:v>
                </c:pt>
                <c:pt idx="412">
                  <c:v>33543</c:v>
                </c:pt>
                <c:pt idx="413">
                  <c:v>33512</c:v>
                </c:pt>
                <c:pt idx="414">
                  <c:v>33482</c:v>
                </c:pt>
                <c:pt idx="415">
                  <c:v>33451</c:v>
                </c:pt>
                <c:pt idx="416">
                  <c:v>33420</c:v>
                </c:pt>
                <c:pt idx="417">
                  <c:v>33390</c:v>
                </c:pt>
                <c:pt idx="418">
                  <c:v>33359</c:v>
                </c:pt>
                <c:pt idx="419">
                  <c:v>33329</c:v>
                </c:pt>
                <c:pt idx="420">
                  <c:v>33298</c:v>
                </c:pt>
                <c:pt idx="421">
                  <c:v>33270</c:v>
                </c:pt>
                <c:pt idx="422">
                  <c:v>33239</c:v>
                </c:pt>
                <c:pt idx="423">
                  <c:v>33208</c:v>
                </c:pt>
                <c:pt idx="424">
                  <c:v>33178</c:v>
                </c:pt>
                <c:pt idx="425">
                  <c:v>33147</c:v>
                </c:pt>
                <c:pt idx="426">
                  <c:v>33117</c:v>
                </c:pt>
                <c:pt idx="427">
                  <c:v>33086</c:v>
                </c:pt>
                <c:pt idx="428">
                  <c:v>33055</c:v>
                </c:pt>
                <c:pt idx="429">
                  <c:v>33025</c:v>
                </c:pt>
                <c:pt idx="430">
                  <c:v>32994</c:v>
                </c:pt>
                <c:pt idx="431">
                  <c:v>32964</c:v>
                </c:pt>
                <c:pt idx="432">
                  <c:v>32933</c:v>
                </c:pt>
                <c:pt idx="433">
                  <c:v>32905</c:v>
                </c:pt>
                <c:pt idx="434">
                  <c:v>32874</c:v>
                </c:pt>
                <c:pt idx="435">
                  <c:v>32843</c:v>
                </c:pt>
                <c:pt idx="436">
                  <c:v>32813</c:v>
                </c:pt>
                <c:pt idx="437">
                  <c:v>32782</c:v>
                </c:pt>
                <c:pt idx="438">
                  <c:v>32752</c:v>
                </c:pt>
                <c:pt idx="439">
                  <c:v>32721</c:v>
                </c:pt>
                <c:pt idx="440">
                  <c:v>32690</c:v>
                </c:pt>
                <c:pt idx="441">
                  <c:v>32660</c:v>
                </c:pt>
                <c:pt idx="442">
                  <c:v>32629</c:v>
                </c:pt>
                <c:pt idx="443">
                  <c:v>32599</c:v>
                </c:pt>
                <c:pt idx="444">
                  <c:v>32568</c:v>
                </c:pt>
                <c:pt idx="445">
                  <c:v>32540</c:v>
                </c:pt>
                <c:pt idx="446">
                  <c:v>32509</c:v>
                </c:pt>
                <c:pt idx="447">
                  <c:v>32478</c:v>
                </c:pt>
                <c:pt idx="448">
                  <c:v>32448</c:v>
                </c:pt>
                <c:pt idx="449">
                  <c:v>32417</c:v>
                </c:pt>
                <c:pt idx="450">
                  <c:v>32387</c:v>
                </c:pt>
                <c:pt idx="451">
                  <c:v>32356</c:v>
                </c:pt>
                <c:pt idx="452">
                  <c:v>32325</c:v>
                </c:pt>
                <c:pt idx="453">
                  <c:v>32295</c:v>
                </c:pt>
                <c:pt idx="454">
                  <c:v>32264</c:v>
                </c:pt>
                <c:pt idx="455">
                  <c:v>32234</c:v>
                </c:pt>
                <c:pt idx="456">
                  <c:v>32203</c:v>
                </c:pt>
                <c:pt idx="457">
                  <c:v>32174</c:v>
                </c:pt>
                <c:pt idx="458">
                  <c:v>32143</c:v>
                </c:pt>
                <c:pt idx="459">
                  <c:v>32112</c:v>
                </c:pt>
                <c:pt idx="460">
                  <c:v>32082</c:v>
                </c:pt>
                <c:pt idx="461">
                  <c:v>32051</c:v>
                </c:pt>
                <c:pt idx="462">
                  <c:v>32021</c:v>
                </c:pt>
                <c:pt idx="463">
                  <c:v>31990</c:v>
                </c:pt>
                <c:pt idx="464">
                  <c:v>31959</c:v>
                </c:pt>
              </c:numCache>
            </c:numRef>
          </c:cat>
          <c:val>
            <c:numRef>
              <c:f>'Chart 2.14 data'!$P$3:$P$467</c:f>
              <c:numCache>
                <c:formatCode>0.00</c:formatCode>
                <c:ptCount val="465"/>
                <c:pt idx="0">
                  <c:v>5.807307613798729</c:v>
                </c:pt>
                <c:pt idx="1">
                  <c:v>3.0992785286048097</c:v>
                </c:pt>
                <c:pt idx="2">
                  <c:v>3.0878618588115803</c:v>
                </c:pt>
                <c:pt idx="3">
                  <c:v>2.5504455597664677</c:v>
                </c:pt>
                <c:pt idx="4">
                  <c:v>2.738742435121555</c:v>
                </c:pt>
                <c:pt idx="5">
                  <c:v>3.1862239637038492</c:v>
                </c:pt>
                <c:pt idx="6">
                  <c:v>2.1867974657674205</c:v>
                </c:pt>
                <c:pt idx="7">
                  <c:v>1.7817145184280125</c:v>
                </c:pt>
                <c:pt idx="8">
                  <c:v>1.0460038590433651</c:v>
                </c:pt>
                <c:pt idx="9">
                  <c:v>0.75718817149288409</c:v>
                </c:pt>
                <c:pt idx="10">
                  <c:v>0.23445463812437062</c:v>
                </c:pt>
                <c:pt idx="11">
                  <c:v>0.70422535211267512</c:v>
                </c:pt>
                <c:pt idx="12">
                  <c:v>0.88300220750550107</c:v>
                </c:pt>
                <c:pt idx="13">
                  <c:v>#N/A</c:v>
                </c:pt>
                <c:pt idx="14">
                  <c:v>#N/A</c:v>
                </c:pt>
                <c:pt idx="15">
                  <c:v>0.73964497041421051</c:v>
                </c:pt>
                <c:pt idx="16">
                  <c:v>#N/A</c:v>
                </c:pt>
                <c:pt idx="17">
                  <c:v>#N/A</c:v>
                </c:pt>
                <c:pt idx="18">
                  <c:v>1.7830609212481363</c:v>
                </c:pt>
                <c:pt idx="19">
                  <c:v>#N/A</c:v>
                </c:pt>
                <c:pt idx="20">
                  <c:v>#N/A</c:v>
                </c:pt>
                <c:pt idx="21">
                  <c:v>3.0896759608138868</c:v>
                </c:pt>
                <c:pt idx="22">
                  <c:v>#N/A</c:v>
                </c:pt>
                <c:pt idx="23">
                  <c:v>#N/A</c:v>
                </c:pt>
                <c:pt idx="24">
                  <c:v>3.1107738998482404</c:v>
                </c:pt>
                <c:pt idx="25">
                  <c:v>#N/A</c:v>
                </c:pt>
                <c:pt idx="26">
                  <c:v>#N/A</c:v>
                </c:pt>
                <c:pt idx="27">
                  <c:v>3.6809815950920033</c:v>
                </c:pt>
                <c:pt idx="28">
                  <c:v>#N/A</c:v>
                </c:pt>
                <c:pt idx="29">
                  <c:v>#N/A</c:v>
                </c:pt>
                <c:pt idx="30">
                  <c:v>4.5843045843045882</c:v>
                </c:pt>
                <c:pt idx="31">
                  <c:v>#N/A</c:v>
                </c:pt>
                <c:pt idx="32">
                  <c:v>#N/A</c:v>
                </c:pt>
                <c:pt idx="33">
                  <c:v>5.7370517928286846</c:v>
                </c:pt>
                <c:pt idx="34">
                  <c:v>#N/A</c:v>
                </c:pt>
                <c:pt idx="35">
                  <c:v>#N/A</c:v>
                </c:pt>
                <c:pt idx="36">
                  <c:v>7.7677841373671397</c:v>
                </c:pt>
                <c:pt idx="37">
                  <c:v>#N/A</c:v>
                </c:pt>
                <c:pt idx="38">
                  <c:v>#N/A</c:v>
                </c:pt>
                <c:pt idx="39">
                  <c:v>9.7643097643097754</c:v>
                </c:pt>
                <c:pt idx="40">
                  <c:v>#N/A</c:v>
                </c:pt>
                <c:pt idx="41">
                  <c:v>#N/A</c:v>
                </c:pt>
                <c:pt idx="42">
                  <c:v>9.8122866894197802</c:v>
                </c:pt>
                <c:pt idx="43">
                  <c:v>#N/A</c:v>
                </c:pt>
                <c:pt idx="44">
                  <c:v>#N/A</c:v>
                </c:pt>
                <c:pt idx="45">
                  <c:v>8.0964685615848353</c:v>
                </c:pt>
                <c:pt idx="46">
                  <c:v>#N/A</c:v>
                </c:pt>
                <c:pt idx="47">
                  <c:v>#N/A</c:v>
                </c:pt>
                <c:pt idx="48">
                  <c:v>5.7958477508650574</c:v>
                </c:pt>
                <c:pt idx="49">
                  <c:v>#N/A</c:v>
                </c:pt>
                <c:pt idx="50">
                  <c:v>#N/A</c:v>
                </c:pt>
                <c:pt idx="51">
                  <c:v>3.125</c:v>
                </c:pt>
                <c:pt idx="52">
                  <c:v>#N/A</c:v>
                </c:pt>
                <c:pt idx="53">
                  <c:v>#N/A</c:v>
                </c:pt>
                <c:pt idx="54">
                  <c:v>2.2687609075043635</c:v>
                </c:pt>
                <c:pt idx="55">
                  <c:v>#N/A</c:v>
                </c:pt>
                <c:pt idx="56">
                  <c:v>#N/A</c:v>
                </c:pt>
                <c:pt idx="57">
                  <c:v>2.3809523809523725</c:v>
                </c:pt>
                <c:pt idx="58">
                  <c:v>#N/A</c:v>
                </c:pt>
                <c:pt idx="59">
                  <c:v>#N/A</c:v>
                </c:pt>
                <c:pt idx="60">
                  <c:v>1.1373578302712239</c:v>
                </c:pt>
                <c:pt idx="61">
                  <c:v>#N/A</c:v>
                </c:pt>
                <c:pt idx="62">
                  <c:v>#N/A</c:v>
                </c:pt>
                <c:pt idx="63">
                  <c:v>1.6769638128861564</c:v>
                </c:pt>
                <c:pt idx="64">
                  <c:v>#N/A</c:v>
                </c:pt>
                <c:pt idx="65">
                  <c:v>#N/A</c:v>
                </c:pt>
                <c:pt idx="66">
                  <c:v>2.2301516503122176</c:v>
                </c:pt>
                <c:pt idx="67">
                  <c:v>#N/A</c:v>
                </c:pt>
                <c:pt idx="68">
                  <c:v>#N/A</c:v>
                </c:pt>
                <c:pt idx="69">
                  <c:v>1.6129032258064724</c:v>
                </c:pt>
                <c:pt idx="70">
                  <c:v>#N/A</c:v>
                </c:pt>
                <c:pt idx="71">
                  <c:v>#N/A</c:v>
                </c:pt>
                <c:pt idx="72">
                  <c:v>3.0658250676284915</c:v>
                </c:pt>
                <c:pt idx="73">
                  <c:v>#N/A</c:v>
                </c:pt>
                <c:pt idx="74">
                  <c:v>#N/A</c:v>
                </c:pt>
                <c:pt idx="75">
                  <c:v>1.980198019801982</c:v>
                </c:pt>
                <c:pt idx="76">
                  <c:v>#N/A</c:v>
                </c:pt>
                <c:pt idx="77">
                  <c:v>#N/A</c:v>
                </c:pt>
                <c:pt idx="78">
                  <c:v>1.3562386980108476</c:v>
                </c:pt>
                <c:pt idx="79">
                  <c:v>#N/A</c:v>
                </c:pt>
                <c:pt idx="80">
                  <c:v>#N/A</c:v>
                </c:pt>
                <c:pt idx="81">
                  <c:v>1.1786038077969074</c:v>
                </c:pt>
                <c:pt idx="82">
                  <c:v>#N/A</c:v>
                </c:pt>
                <c:pt idx="83">
                  <c:v>#N/A</c:v>
                </c:pt>
                <c:pt idx="84">
                  <c:v>1.0938924339106704</c:v>
                </c:pt>
                <c:pt idx="85">
                  <c:v>#N/A</c:v>
                </c:pt>
                <c:pt idx="86">
                  <c:v>#N/A</c:v>
                </c:pt>
                <c:pt idx="87">
                  <c:v>2.1139705882352811</c:v>
                </c:pt>
                <c:pt idx="88">
                  <c:v>#N/A</c:v>
                </c:pt>
                <c:pt idx="89">
                  <c:v>#N/A</c:v>
                </c:pt>
                <c:pt idx="90">
                  <c:v>2.6926648096564421</c:v>
                </c:pt>
                <c:pt idx="91">
                  <c:v>#N/A</c:v>
                </c:pt>
                <c:pt idx="92">
                  <c:v>#N/A</c:v>
                </c:pt>
                <c:pt idx="93">
                  <c:v>2.7001862197392867</c:v>
                </c:pt>
                <c:pt idx="94">
                  <c:v>#N/A</c:v>
                </c:pt>
                <c:pt idx="95">
                  <c:v>#N/A</c:v>
                </c:pt>
                <c:pt idx="96">
                  <c:v>2.332089552238803</c:v>
                </c:pt>
                <c:pt idx="97">
                  <c:v>#N/A</c:v>
                </c:pt>
                <c:pt idx="98">
                  <c:v>#N/A</c:v>
                </c:pt>
                <c:pt idx="99">
                  <c:v>2.4482109227871973</c:v>
                </c:pt>
                <c:pt idx="100">
                  <c:v>#N/A</c:v>
                </c:pt>
                <c:pt idx="101">
                  <c:v>#N/A</c:v>
                </c:pt>
                <c:pt idx="102">
                  <c:v>2.2792022792022859</c:v>
                </c:pt>
                <c:pt idx="103">
                  <c:v>#N/A</c:v>
                </c:pt>
                <c:pt idx="104">
                  <c:v>#N/A</c:v>
                </c:pt>
                <c:pt idx="105">
                  <c:v>2.4809160305343525</c:v>
                </c:pt>
                <c:pt idx="106">
                  <c:v>#N/A</c:v>
                </c:pt>
                <c:pt idx="107">
                  <c:v>#N/A</c:v>
                </c:pt>
                <c:pt idx="108">
                  <c:v>2.9779058597502406</c:v>
                </c:pt>
                <c:pt idx="109">
                  <c:v>#N/A</c:v>
                </c:pt>
                <c:pt idx="110">
                  <c:v>#N/A</c:v>
                </c:pt>
                <c:pt idx="111">
                  <c:v>1.4326647564469885</c:v>
                </c:pt>
                <c:pt idx="112">
                  <c:v>#N/A</c:v>
                </c:pt>
                <c:pt idx="113">
                  <c:v>#N/A</c:v>
                </c:pt>
                <c:pt idx="114">
                  <c:v>0.95877277085330004</c:v>
                </c:pt>
                <c:pt idx="115">
                  <c:v>#N/A</c:v>
                </c:pt>
                <c:pt idx="116">
                  <c:v>#N/A</c:v>
                </c:pt>
                <c:pt idx="117">
                  <c:v>0.7692307692307665</c:v>
                </c:pt>
                <c:pt idx="118">
                  <c:v>#N/A</c:v>
                </c:pt>
                <c:pt idx="119">
                  <c:v>#N/A</c:v>
                </c:pt>
                <c:pt idx="120">
                  <c:v>1.2645914396887115</c:v>
                </c:pt>
                <c:pt idx="121">
                  <c:v>#N/A</c:v>
                </c:pt>
                <c:pt idx="122">
                  <c:v>#N/A</c:v>
                </c:pt>
                <c:pt idx="123">
                  <c:v>1.3552758954501476</c:v>
                </c:pt>
                <c:pt idx="124">
                  <c:v>#N/A</c:v>
                </c:pt>
                <c:pt idx="125">
                  <c:v>#N/A</c:v>
                </c:pt>
                <c:pt idx="126">
                  <c:v>0.481695568400764</c:v>
                </c:pt>
                <c:pt idx="127">
                  <c:v>#N/A</c:v>
                </c:pt>
                <c:pt idx="128">
                  <c:v>#N/A</c:v>
                </c:pt>
                <c:pt idx="129">
                  <c:v>-0.28763183125598557</c:v>
                </c:pt>
                <c:pt idx="130">
                  <c:v>#N/A</c:v>
                </c:pt>
                <c:pt idx="131">
                  <c:v>#N/A</c:v>
                </c:pt>
                <c:pt idx="132">
                  <c:v>-0.58027079303676343</c:v>
                </c:pt>
                <c:pt idx="133">
                  <c:v>#N/A</c:v>
                </c:pt>
                <c:pt idx="134">
                  <c:v>#N/A</c:v>
                </c:pt>
                <c:pt idx="135">
                  <c:v>9.6899224806201723E-2</c:v>
                </c:pt>
                <c:pt idx="136">
                  <c:v>#N/A</c:v>
                </c:pt>
                <c:pt idx="137">
                  <c:v>#N/A</c:v>
                </c:pt>
                <c:pt idx="138">
                  <c:v>1.2682926829268304</c:v>
                </c:pt>
                <c:pt idx="139">
                  <c:v>#N/A</c:v>
                </c:pt>
                <c:pt idx="140">
                  <c:v>#N/A</c:v>
                </c:pt>
                <c:pt idx="141">
                  <c:v>2.8599605522682259</c:v>
                </c:pt>
                <c:pt idx="142">
                  <c:v>#N/A</c:v>
                </c:pt>
                <c:pt idx="143">
                  <c:v>#N/A</c:v>
                </c:pt>
                <c:pt idx="144">
                  <c:v>2.2749752720079286</c:v>
                </c:pt>
                <c:pt idx="145">
                  <c:v>#N/A</c:v>
                </c:pt>
                <c:pt idx="146">
                  <c:v>#N/A</c:v>
                </c:pt>
                <c:pt idx="147">
                  <c:v>2.1782178217821802</c:v>
                </c:pt>
                <c:pt idx="148">
                  <c:v>#N/A</c:v>
                </c:pt>
                <c:pt idx="149">
                  <c:v>#N/A</c:v>
                </c:pt>
                <c:pt idx="150">
                  <c:v>1.4851485148514865</c:v>
                </c:pt>
                <c:pt idx="151">
                  <c:v>#N/A</c:v>
                </c:pt>
                <c:pt idx="152">
                  <c:v>#N/A</c:v>
                </c:pt>
                <c:pt idx="153">
                  <c:v>1.4000000000000012</c:v>
                </c:pt>
                <c:pt idx="154">
                  <c:v>#N/A</c:v>
                </c:pt>
                <c:pt idx="155">
                  <c:v>#N/A</c:v>
                </c:pt>
                <c:pt idx="156">
                  <c:v>1.7102615694164935</c:v>
                </c:pt>
                <c:pt idx="157">
                  <c:v>#N/A</c:v>
                </c:pt>
                <c:pt idx="158">
                  <c:v>#N/A</c:v>
                </c:pt>
                <c:pt idx="159">
                  <c:v>0.89910089910090196</c:v>
                </c:pt>
                <c:pt idx="160">
                  <c:v>#N/A</c:v>
                </c:pt>
                <c:pt idx="161">
                  <c:v>#N/A</c:v>
                </c:pt>
                <c:pt idx="162">
                  <c:v>0.49751243781095411</c:v>
                </c:pt>
                <c:pt idx="163">
                  <c:v>#N/A</c:v>
                </c:pt>
                <c:pt idx="164">
                  <c:v>#N/A</c:v>
                </c:pt>
                <c:pt idx="165">
                  <c:v>-0.29910269192422456</c:v>
                </c:pt>
                <c:pt idx="166">
                  <c:v>#N/A</c:v>
                </c:pt>
                <c:pt idx="167">
                  <c:v>#N/A</c:v>
                </c:pt>
                <c:pt idx="168">
                  <c:v>-0.10050251256280562</c:v>
                </c:pt>
                <c:pt idx="169">
                  <c:v>#N/A</c:v>
                </c:pt>
                <c:pt idx="170">
                  <c:v>#N/A</c:v>
                </c:pt>
                <c:pt idx="171">
                  <c:v>2.3517382413087873</c:v>
                </c:pt>
                <c:pt idx="172">
                  <c:v>#N/A</c:v>
                </c:pt>
                <c:pt idx="173">
                  <c:v>#N/A</c:v>
                </c:pt>
                <c:pt idx="174">
                  <c:v>3.3950617283950546</c:v>
                </c:pt>
                <c:pt idx="175">
                  <c:v>#N/A</c:v>
                </c:pt>
                <c:pt idx="176">
                  <c:v>#N/A</c:v>
                </c:pt>
                <c:pt idx="177">
                  <c:v>3.5087719298245501</c:v>
                </c:pt>
                <c:pt idx="178">
                  <c:v>#N/A</c:v>
                </c:pt>
                <c:pt idx="179">
                  <c:v>#N/A</c:v>
                </c:pt>
                <c:pt idx="180">
                  <c:v>3.8622129436325814</c:v>
                </c:pt>
                <c:pt idx="181">
                  <c:v>#N/A</c:v>
                </c:pt>
                <c:pt idx="182">
                  <c:v>#N/A</c:v>
                </c:pt>
                <c:pt idx="183">
                  <c:v>3.1645569620253111</c:v>
                </c:pt>
                <c:pt idx="184">
                  <c:v>#N/A</c:v>
                </c:pt>
                <c:pt idx="185">
                  <c:v>#N/A</c:v>
                </c:pt>
                <c:pt idx="186">
                  <c:v>2.748414376321362</c:v>
                </c:pt>
                <c:pt idx="187">
                  <c:v>#N/A</c:v>
                </c:pt>
                <c:pt idx="188">
                  <c:v>#N/A</c:v>
                </c:pt>
                <c:pt idx="189">
                  <c:v>3.1948881789137351</c:v>
                </c:pt>
                <c:pt idx="190">
                  <c:v>#N/A</c:v>
                </c:pt>
                <c:pt idx="191">
                  <c:v>#N/A</c:v>
                </c:pt>
                <c:pt idx="192">
                  <c:v>2.6795284030010746</c:v>
                </c:pt>
                <c:pt idx="193">
                  <c:v>#N/A</c:v>
                </c:pt>
                <c:pt idx="194">
                  <c:v>#N/A</c:v>
                </c:pt>
                <c:pt idx="195">
                  <c:v>2.4864864864864833</c:v>
                </c:pt>
                <c:pt idx="196">
                  <c:v>#N/A</c:v>
                </c:pt>
                <c:pt idx="197">
                  <c:v>#N/A</c:v>
                </c:pt>
                <c:pt idx="198">
                  <c:v>1.0683760683760646</c:v>
                </c:pt>
                <c:pt idx="199">
                  <c:v>#N/A</c:v>
                </c:pt>
                <c:pt idx="200">
                  <c:v>#N/A</c:v>
                </c:pt>
                <c:pt idx="201">
                  <c:v>1.18534482758621</c:v>
                </c:pt>
                <c:pt idx="202">
                  <c:v>#N/A</c:v>
                </c:pt>
                <c:pt idx="203">
                  <c:v>#N/A</c:v>
                </c:pt>
                <c:pt idx="204">
                  <c:v>1.6339869281045694</c:v>
                </c:pt>
                <c:pt idx="205">
                  <c:v>#N/A</c:v>
                </c:pt>
                <c:pt idx="206">
                  <c:v>#N/A</c:v>
                </c:pt>
                <c:pt idx="207">
                  <c:v>2.2099447513812098</c:v>
                </c:pt>
                <c:pt idx="208">
                  <c:v>#N/A</c:v>
                </c:pt>
                <c:pt idx="209">
                  <c:v>#N/A</c:v>
                </c:pt>
                <c:pt idx="210">
                  <c:v>4.231625835189301</c:v>
                </c:pt>
                <c:pt idx="211">
                  <c:v>#N/A</c:v>
                </c:pt>
                <c:pt idx="212">
                  <c:v>#N/A</c:v>
                </c:pt>
                <c:pt idx="213">
                  <c:v>3.8031319910514449</c:v>
                </c:pt>
                <c:pt idx="214">
                  <c:v>#N/A</c:v>
                </c:pt>
                <c:pt idx="215">
                  <c:v>#N/A</c:v>
                </c:pt>
                <c:pt idx="216">
                  <c:v>4.318181818181821</c:v>
                </c:pt>
                <c:pt idx="217">
                  <c:v>#N/A</c:v>
                </c:pt>
                <c:pt idx="218">
                  <c:v>#N/A</c:v>
                </c:pt>
                <c:pt idx="219">
                  <c:v>2.7241770715096481</c:v>
                </c:pt>
                <c:pt idx="220">
                  <c:v>#N/A</c:v>
                </c:pt>
                <c:pt idx="221">
                  <c:v>#N/A</c:v>
                </c:pt>
                <c:pt idx="222">
                  <c:v>1.2401352874858995</c:v>
                </c:pt>
                <c:pt idx="223">
                  <c:v>#N/A</c:v>
                </c:pt>
                <c:pt idx="224">
                  <c:v>#N/A</c:v>
                </c:pt>
                <c:pt idx="225">
                  <c:v>1.3605442176870763</c:v>
                </c:pt>
                <c:pt idx="226">
                  <c:v>#N/A</c:v>
                </c:pt>
                <c:pt idx="227">
                  <c:v>#N/A</c:v>
                </c:pt>
                <c:pt idx="228">
                  <c:v>1.616628175519641</c:v>
                </c:pt>
                <c:pt idx="229">
                  <c:v>#N/A</c:v>
                </c:pt>
                <c:pt idx="230">
                  <c:v>#N/A</c:v>
                </c:pt>
                <c:pt idx="231">
                  <c:v>2.5611175785797302</c:v>
                </c:pt>
                <c:pt idx="232">
                  <c:v>#N/A</c:v>
                </c:pt>
                <c:pt idx="233">
                  <c:v>#N/A</c:v>
                </c:pt>
                <c:pt idx="234">
                  <c:v>3.3799533799533821</c:v>
                </c:pt>
                <c:pt idx="235">
                  <c:v>#N/A</c:v>
                </c:pt>
                <c:pt idx="236">
                  <c:v>#N/A</c:v>
                </c:pt>
                <c:pt idx="237">
                  <c:v>4.3786982248520845</c:v>
                </c:pt>
                <c:pt idx="238">
                  <c:v>#N/A</c:v>
                </c:pt>
                <c:pt idx="239">
                  <c:v>#N/A</c:v>
                </c:pt>
                <c:pt idx="240">
                  <c:v>2.9726516052318575</c:v>
                </c:pt>
                <c:pt idx="241">
                  <c:v>#N/A</c:v>
                </c:pt>
                <c:pt idx="242">
                  <c:v>#N/A</c:v>
                </c:pt>
                <c:pt idx="243">
                  <c:v>2.5059665871121739</c:v>
                </c:pt>
                <c:pt idx="244">
                  <c:v>#N/A</c:v>
                </c:pt>
                <c:pt idx="245">
                  <c:v>#N/A</c:v>
                </c:pt>
                <c:pt idx="246">
                  <c:v>3.2490974729241895</c:v>
                </c:pt>
                <c:pt idx="247">
                  <c:v>#N/A</c:v>
                </c:pt>
                <c:pt idx="248">
                  <c:v>#N/A</c:v>
                </c:pt>
                <c:pt idx="249">
                  <c:v>1.5625</c:v>
                </c:pt>
                <c:pt idx="250">
                  <c:v>#N/A</c:v>
                </c:pt>
                <c:pt idx="251">
                  <c:v>#N/A</c:v>
                </c:pt>
                <c:pt idx="252">
                  <c:v>1.0817307692307487</c:v>
                </c:pt>
                <c:pt idx="253">
                  <c:v>#N/A</c:v>
                </c:pt>
                <c:pt idx="254">
                  <c:v>#N/A</c:v>
                </c:pt>
                <c:pt idx="255">
                  <c:v>1.8226002430133725</c:v>
                </c:pt>
                <c:pt idx="256">
                  <c:v>#N/A</c:v>
                </c:pt>
                <c:pt idx="257">
                  <c:v>#N/A</c:v>
                </c:pt>
                <c:pt idx="258">
                  <c:v>0.84951456310677909</c:v>
                </c:pt>
                <c:pt idx="259">
                  <c:v>#N/A</c:v>
                </c:pt>
                <c:pt idx="260">
                  <c:v>#N/A</c:v>
                </c:pt>
                <c:pt idx="261">
                  <c:v>1.2165450121654597</c:v>
                </c:pt>
                <c:pt idx="262">
                  <c:v>#N/A</c:v>
                </c:pt>
                <c:pt idx="263">
                  <c:v>#N/A</c:v>
                </c:pt>
                <c:pt idx="264">
                  <c:v>0.84848484848485395</c:v>
                </c:pt>
                <c:pt idx="265">
                  <c:v>#N/A</c:v>
                </c:pt>
                <c:pt idx="266">
                  <c:v>#N/A</c:v>
                </c:pt>
                <c:pt idx="267">
                  <c:v>1.4796547472256449</c:v>
                </c:pt>
                <c:pt idx="268">
                  <c:v>#N/A</c:v>
                </c:pt>
                <c:pt idx="269">
                  <c:v>#N/A</c:v>
                </c:pt>
                <c:pt idx="270">
                  <c:v>2.4875621890547261</c:v>
                </c:pt>
                <c:pt idx="271">
                  <c:v>#N/A</c:v>
                </c:pt>
                <c:pt idx="272">
                  <c:v>#N/A</c:v>
                </c:pt>
                <c:pt idx="273">
                  <c:v>2.4937655860349128</c:v>
                </c:pt>
                <c:pt idx="274">
                  <c:v>#N/A</c:v>
                </c:pt>
                <c:pt idx="275">
                  <c:v>#N/A</c:v>
                </c:pt>
                <c:pt idx="276">
                  <c:v>3.2540675844805911</c:v>
                </c:pt>
                <c:pt idx="277">
                  <c:v>#N/A</c:v>
                </c:pt>
                <c:pt idx="278">
                  <c:v>#N/A</c:v>
                </c:pt>
                <c:pt idx="279">
                  <c:v>2.2698612862547263</c:v>
                </c:pt>
                <c:pt idx="280">
                  <c:v>#N/A</c:v>
                </c:pt>
                <c:pt idx="281">
                  <c:v>#N/A</c:v>
                </c:pt>
                <c:pt idx="282">
                  <c:v>2.1601016518424387</c:v>
                </c:pt>
                <c:pt idx="283">
                  <c:v>#N/A</c:v>
                </c:pt>
                <c:pt idx="284">
                  <c:v>#N/A</c:v>
                </c:pt>
                <c:pt idx="285">
                  <c:v>2.1656050955414008</c:v>
                </c:pt>
                <c:pt idx="286">
                  <c:v>#N/A</c:v>
                </c:pt>
                <c:pt idx="287">
                  <c:v>#N/A</c:v>
                </c:pt>
                <c:pt idx="288">
                  <c:v>2.6992287917738</c:v>
                </c:pt>
                <c:pt idx="289">
                  <c:v>#N/A</c:v>
                </c:pt>
                <c:pt idx="290">
                  <c:v>#N/A</c:v>
                </c:pt>
                <c:pt idx="291">
                  <c:v>3.2552083333333259</c:v>
                </c:pt>
                <c:pt idx="292">
                  <c:v>#N/A</c:v>
                </c:pt>
                <c:pt idx="293">
                  <c:v>#N/A</c:v>
                </c:pt>
                <c:pt idx="294">
                  <c:v>2.7415143603133352</c:v>
                </c:pt>
                <c:pt idx="295">
                  <c:v>#N/A</c:v>
                </c:pt>
                <c:pt idx="296">
                  <c:v>#N/A</c:v>
                </c:pt>
                <c:pt idx="297">
                  <c:v>5.7951482479784433</c:v>
                </c:pt>
                <c:pt idx="298">
                  <c:v>#N/A</c:v>
                </c:pt>
                <c:pt idx="299">
                  <c:v>#N/A</c:v>
                </c:pt>
                <c:pt idx="300">
                  <c:v>5.5630936227951011</c:v>
                </c:pt>
                <c:pt idx="301">
                  <c:v>#N/A</c:v>
                </c:pt>
                <c:pt idx="302">
                  <c:v>#N/A</c:v>
                </c:pt>
                <c:pt idx="303">
                  <c:v>5.2054794520547842</c:v>
                </c:pt>
                <c:pt idx="304">
                  <c:v>#N/A</c:v>
                </c:pt>
                <c:pt idx="305">
                  <c:v>#N/A</c:v>
                </c:pt>
                <c:pt idx="306">
                  <c:v>5.5096418732782482</c:v>
                </c:pt>
                <c:pt idx="307">
                  <c:v>#N/A</c:v>
                </c:pt>
                <c:pt idx="308">
                  <c:v>#N/A</c:v>
                </c:pt>
                <c:pt idx="309">
                  <c:v>3.3426183844011303</c:v>
                </c:pt>
                <c:pt idx="310">
                  <c:v>#N/A</c:v>
                </c:pt>
                <c:pt idx="311">
                  <c:v>#N/A</c:v>
                </c:pt>
                <c:pt idx="312">
                  <c:v>3.3660589060308554</c:v>
                </c:pt>
                <c:pt idx="313">
                  <c:v>#N/A</c:v>
                </c:pt>
                <c:pt idx="314">
                  <c:v>#N/A</c:v>
                </c:pt>
                <c:pt idx="315">
                  <c:v>2.6722925457102864</c:v>
                </c:pt>
                <c:pt idx="316">
                  <c:v>#N/A</c:v>
                </c:pt>
                <c:pt idx="317">
                  <c:v>#N/A</c:v>
                </c:pt>
                <c:pt idx="318">
                  <c:v>2.5423728813559254</c:v>
                </c:pt>
                <c:pt idx="319">
                  <c:v>#N/A</c:v>
                </c:pt>
                <c:pt idx="320">
                  <c:v>#N/A</c:v>
                </c:pt>
                <c:pt idx="321">
                  <c:v>1.4124293785310771</c:v>
                </c:pt>
                <c:pt idx="322">
                  <c:v>#N/A</c:v>
                </c:pt>
                <c:pt idx="323">
                  <c:v>#N/A</c:v>
                </c:pt>
                <c:pt idx="324">
                  <c:v>0.99150141643060685</c:v>
                </c:pt>
                <c:pt idx="325">
                  <c:v>#N/A</c:v>
                </c:pt>
                <c:pt idx="326">
                  <c:v>#N/A</c:v>
                </c:pt>
                <c:pt idx="327">
                  <c:v>0.5657708628005631</c:v>
                </c:pt>
                <c:pt idx="328">
                  <c:v>#N/A</c:v>
                </c:pt>
                <c:pt idx="329">
                  <c:v>#N/A</c:v>
                </c:pt>
                <c:pt idx="330">
                  <c:v>0.56818181818181213</c:v>
                </c:pt>
                <c:pt idx="331">
                  <c:v>#N/A</c:v>
                </c:pt>
                <c:pt idx="332">
                  <c:v>#N/A</c:v>
                </c:pt>
                <c:pt idx="333">
                  <c:v>0.42553191489360653</c:v>
                </c:pt>
                <c:pt idx="334">
                  <c:v>#N/A</c:v>
                </c:pt>
                <c:pt idx="335">
                  <c:v>#N/A</c:v>
                </c:pt>
                <c:pt idx="336">
                  <c:v>0.28409090909089496</c:v>
                </c:pt>
                <c:pt idx="337">
                  <c:v>#N/A</c:v>
                </c:pt>
                <c:pt idx="338">
                  <c:v>#N/A</c:v>
                </c:pt>
                <c:pt idx="339">
                  <c:v>0.42613636363635354</c:v>
                </c:pt>
                <c:pt idx="340">
                  <c:v>#N/A</c:v>
                </c:pt>
                <c:pt idx="341">
                  <c:v>#N/A</c:v>
                </c:pt>
                <c:pt idx="342">
                  <c:v>0.42796005706136064</c:v>
                </c:pt>
                <c:pt idx="343">
                  <c:v>#N/A</c:v>
                </c:pt>
                <c:pt idx="344">
                  <c:v>#N/A</c:v>
                </c:pt>
                <c:pt idx="345">
                  <c:v>1.0028653295129031</c:v>
                </c:pt>
                <c:pt idx="346">
                  <c:v>#N/A</c:v>
                </c:pt>
                <c:pt idx="347">
                  <c:v>#N/A</c:v>
                </c:pt>
                <c:pt idx="348">
                  <c:v>2.0289855072463947</c:v>
                </c:pt>
                <c:pt idx="349">
                  <c:v>#N/A</c:v>
                </c:pt>
                <c:pt idx="350">
                  <c:v>#N/A</c:v>
                </c:pt>
                <c:pt idx="351">
                  <c:v>2.0289855072463947</c:v>
                </c:pt>
                <c:pt idx="352">
                  <c:v>#N/A</c:v>
                </c:pt>
                <c:pt idx="353">
                  <c:v>#N/A</c:v>
                </c:pt>
                <c:pt idx="354">
                  <c:v>2.186588921282806</c:v>
                </c:pt>
                <c:pt idx="355">
                  <c:v>#N/A</c:v>
                </c:pt>
                <c:pt idx="356">
                  <c:v>#N/A</c:v>
                </c:pt>
                <c:pt idx="357">
                  <c:v>3.4074074074073923</c:v>
                </c:pt>
                <c:pt idx="358">
                  <c:v>#N/A</c:v>
                </c:pt>
                <c:pt idx="359">
                  <c:v>#N/A</c:v>
                </c:pt>
                <c:pt idx="360">
                  <c:v>3.2934131736527039</c:v>
                </c:pt>
                <c:pt idx="361">
                  <c:v>#N/A</c:v>
                </c:pt>
                <c:pt idx="362">
                  <c:v>#N/A</c:v>
                </c:pt>
                <c:pt idx="363">
                  <c:v>4.229607250755274</c:v>
                </c:pt>
                <c:pt idx="364">
                  <c:v>#N/A</c:v>
                </c:pt>
                <c:pt idx="365">
                  <c:v>#N/A</c:v>
                </c:pt>
                <c:pt idx="366">
                  <c:v>3.9393939393939315</c:v>
                </c:pt>
                <c:pt idx="367">
                  <c:v>#N/A</c:v>
                </c:pt>
                <c:pt idx="368">
                  <c:v>#N/A</c:v>
                </c:pt>
                <c:pt idx="369">
                  <c:v>2.2727272727272707</c:v>
                </c:pt>
                <c:pt idx="370">
                  <c:v>#N/A</c:v>
                </c:pt>
                <c:pt idx="371">
                  <c:v>#N/A</c:v>
                </c:pt>
                <c:pt idx="372">
                  <c:v>2.1406727828745975</c:v>
                </c:pt>
                <c:pt idx="373">
                  <c:v>#N/A</c:v>
                </c:pt>
                <c:pt idx="374">
                  <c:v>#N/A</c:v>
                </c:pt>
                <c:pt idx="375">
                  <c:v>1.3782542113323304</c:v>
                </c:pt>
                <c:pt idx="376">
                  <c:v>#N/A</c:v>
                </c:pt>
                <c:pt idx="377">
                  <c:v>#N/A</c:v>
                </c:pt>
                <c:pt idx="378">
                  <c:v>1.538461538461533</c:v>
                </c:pt>
                <c:pt idx="379">
                  <c:v>#N/A</c:v>
                </c:pt>
                <c:pt idx="380">
                  <c:v>#N/A</c:v>
                </c:pt>
                <c:pt idx="381">
                  <c:v>2.4844720496894235</c:v>
                </c:pt>
                <c:pt idx="382">
                  <c:v>#N/A</c:v>
                </c:pt>
                <c:pt idx="383">
                  <c:v>#N/A</c:v>
                </c:pt>
                <c:pt idx="384">
                  <c:v>1.8691588785046731</c:v>
                </c:pt>
                <c:pt idx="385">
                  <c:v>#N/A</c:v>
                </c:pt>
                <c:pt idx="386">
                  <c:v>#N/A</c:v>
                </c:pt>
                <c:pt idx="387">
                  <c:v>2.8346456692913247</c:v>
                </c:pt>
                <c:pt idx="388">
                  <c:v>#N/A</c:v>
                </c:pt>
                <c:pt idx="389">
                  <c:v>#N/A</c:v>
                </c:pt>
                <c:pt idx="390">
                  <c:v>3.0110935023771823</c:v>
                </c:pt>
                <c:pt idx="391">
                  <c:v>#N/A</c:v>
                </c:pt>
                <c:pt idx="392">
                  <c:v>#N/A</c:v>
                </c:pt>
                <c:pt idx="393">
                  <c:v>2.2222222222222365</c:v>
                </c:pt>
                <c:pt idx="394">
                  <c:v>#N/A</c:v>
                </c:pt>
                <c:pt idx="395">
                  <c:v>#N/A</c:v>
                </c:pt>
                <c:pt idx="396">
                  <c:v>2.7200000000000113</c:v>
                </c:pt>
                <c:pt idx="397">
                  <c:v>#N/A</c:v>
                </c:pt>
                <c:pt idx="398">
                  <c:v>#N/A</c:v>
                </c:pt>
                <c:pt idx="399">
                  <c:v>1.6000000000000014</c:v>
                </c:pt>
                <c:pt idx="400">
                  <c:v>#N/A</c:v>
                </c:pt>
                <c:pt idx="401">
                  <c:v>#N/A</c:v>
                </c:pt>
                <c:pt idx="402">
                  <c:v>1.4469453376205754</c:v>
                </c:pt>
                <c:pt idx="403">
                  <c:v>#N/A</c:v>
                </c:pt>
                <c:pt idx="404">
                  <c:v>#N/A</c:v>
                </c:pt>
                <c:pt idx="405">
                  <c:v>2.1069692058346856</c:v>
                </c:pt>
                <c:pt idx="406">
                  <c:v>#N/A</c:v>
                </c:pt>
                <c:pt idx="407">
                  <c:v>#N/A</c:v>
                </c:pt>
                <c:pt idx="408">
                  <c:v>2.1241830065359402</c:v>
                </c:pt>
                <c:pt idx="409">
                  <c:v>#N/A</c:v>
                </c:pt>
                <c:pt idx="410">
                  <c:v>#N/A</c:v>
                </c:pt>
                <c:pt idx="411">
                  <c:v>1.6260162601626105</c:v>
                </c:pt>
                <c:pt idx="412">
                  <c:v>#N/A</c:v>
                </c:pt>
                <c:pt idx="413">
                  <c:v>#N/A</c:v>
                </c:pt>
                <c:pt idx="414">
                  <c:v>4.0133779264214242</c:v>
                </c:pt>
                <c:pt idx="415">
                  <c:v>#N/A</c:v>
                </c:pt>
                <c:pt idx="416">
                  <c:v>#N/A</c:v>
                </c:pt>
                <c:pt idx="417">
                  <c:v>4.0472175379426822</c:v>
                </c:pt>
                <c:pt idx="418">
                  <c:v>#N/A</c:v>
                </c:pt>
                <c:pt idx="419">
                  <c:v>#N/A</c:v>
                </c:pt>
                <c:pt idx="420">
                  <c:v>5.1546391752577359</c:v>
                </c:pt>
                <c:pt idx="421">
                  <c:v>#N/A</c:v>
                </c:pt>
                <c:pt idx="422">
                  <c:v>#N/A</c:v>
                </c:pt>
                <c:pt idx="423">
                  <c:v>6.7708333333333259</c:v>
                </c:pt>
                <c:pt idx="424">
                  <c:v>#N/A</c:v>
                </c:pt>
                <c:pt idx="425">
                  <c:v>#N/A</c:v>
                </c:pt>
                <c:pt idx="426">
                  <c:v>5.4673721340387837</c:v>
                </c:pt>
                <c:pt idx="427">
                  <c:v>#N/A</c:v>
                </c:pt>
                <c:pt idx="428">
                  <c:v>#N/A</c:v>
                </c:pt>
                <c:pt idx="429">
                  <c:v>6.2724014336917655</c:v>
                </c:pt>
                <c:pt idx="430">
                  <c:v>#N/A</c:v>
                </c:pt>
                <c:pt idx="431">
                  <c:v>#N/A</c:v>
                </c:pt>
                <c:pt idx="432">
                  <c:v>6.9852941176470562</c:v>
                </c:pt>
                <c:pt idx="433">
                  <c:v>#N/A</c:v>
                </c:pt>
                <c:pt idx="434">
                  <c:v>#N/A</c:v>
                </c:pt>
                <c:pt idx="435">
                  <c:v>#N/A</c:v>
                </c:pt>
                <c:pt idx="436">
                  <c:v>#N/A</c:v>
                </c:pt>
                <c:pt idx="437">
                  <c:v>#N/A</c:v>
                </c:pt>
                <c:pt idx="438">
                  <c:v>#N/A</c:v>
                </c:pt>
                <c:pt idx="439">
                  <c:v>#N/A</c:v>
                </c:pt>
                <c:pt idx="440">
                  <c:v>#N/A</c:v>
                </c:pt>
                <c:pt idx="441">
                  <c:v>#N/A</c:v>
                </c:pt>
                <c:pt idx="442">
                  <c:v>#N/A</c:v>
                </c:pt>
                <c:pt idx="443">
                  <c:v>#N/A</c:v>
                </c:pt>
                <c:pt idx="444">
                  <c:v>#N/A</c:v>
                </c:pt>
                <c:pt idx="445">
                  <c:v>#N/A</c:v>
                </c:pt>
                <c:pt idx="446">
                  <c:v>#N/A</c:v>
                </c:pt>
                <c:pt idx="447">
                  <c:v>#N/A</c:v>
                </c:pt>
                <c:pt idx="448">
                  <c:v>#N/A</c:v>
                </c:pt>
                <c:pt idx="449">
                  <c:v>#N/A</c:v>
                </c:pt>
                <c:pt idx="450">
                  <c:v>#N/A</c:v>
                </c:pt>
                <c:pt idx="451">
                  <c:v>#N/A</c:v>
                </c:pt>
                <c:pt idx="452">
                  <c:v>#N/A</c:v>
                </c:pt>
                <c:pt idx="453">
                  <c:v>#N/A</c:v>
                </c:pt>
                <c:pt idx="454">
                  <c:v>#N/A</c:v>
                </c:pt>
                <c:pt idx="455">
                  <c:v>#N/A</c:v>
                </c:pt>
                <c:pt idx="456">
                  <c:v>#N/A</c:v>
                </c:pt>
                <c:pt idx="457">
                  <c:v>#N/A</c:v>
                </c:pt>
                <c:pt idx="458">
                  <c:v>#N/A</c:v>
                </c:pt>
                <c:pt idx="459">
                  <c:v>#N/A</c:v>
                </c:pt>
                <c:pt idx="460">
                  <c:v>#N/A</c:v>
                </c:pt>
                <c:pt idx="461">
                  <c:v>#N/A</c:v>
                </c:pt>
                <c:pt idx="462">
                  <c:v>#N/A</c:v>
                </c:pt>
                <c:pt idx="463">
                  <c:v>#N/A</c:v>
                </c:pt>
                <c:pt idx="464">
                  <c:v>#N/A</c:v>
                </c:pt>
              </c:numCache>
            </c:numRef>
          </c:val>
          <c:smooth val="0"/>
          <c:extLst>
            <c:ext xmlns:c16="http://schemas.microsoft.com/office/drawing/2014/chart" uri="{C3380CC4-5D6E-409C-BE32-E72D297353CC}">
              <c16:uniqueId val="{00000002-7073-4E80-89C5-7D5C2C84AB48}"/>
            </c:ext>
          </c:extLst>
        </c:ser>
        <c:ser>
          <c:idx val="1"/>
          <c:order val="3"/>
          <c:tx>
            <c:strRef>
              <c:f>'Chart 2.14 data'!$Q$2</c:f>
              <c:strCache>
                <c:ptCount val="1"/>
                <c:pt idx="0">
                  <c:v>Services (Melbourne)</c:v>
                </c:pt>
              </c:strCache>
            </c:strRef>
          </c:tx>
          <c:spPr>
            <a:ln w="22225" cap="rnd">
              <a:solidFill>
                <a:schemeClr val="bg2">
                  <a:lumMod val="75000"/>
                </a:schemeClr>
              </a:solidFill>
              <a:round/>
            </a:ln>
            <a:effectLst/>
          </c:spPr>
          <c:marker>
            <c:symbol val="none"/>
          </c:marker>
          <c:cat>
            <c:numRef>
              <c:f>'Chart 2.14 data'!$O$3:$O$467</c:f>
              <c:numCache>
                <c:formatCode>mmm\-yyyy</c:formatCode>
                <c:ptCount val="465"/>
                <c:pt idx="0">
                  <c:v>46082</c:v>
                </c:pt>
                <c:pt idx="1">
                  <c:v>46054</c:v>
                </c:pt>
                <c:pt idx="2">
                  <c:v>46023</c:v>
                </c:pt>
                <c:pt idx="3">
                  <c:v>45992</c:v>
                </c:pt>
                <c:pt idx="4">
                  <c:v>45962</c:v>
                </c:pt>
                <c:pt idx="5">
                  <c:v>45931</c:v>
                </c:pt>
                <c:pt idx="6">
                  <c:v>45901</c:v>
                </c:pt>
                <c:pt idx="7">
                  <c:v>45870</c:v>
                </c:pt>
                <c:pt idx="8">
                  <c:v>45839</c:v>
                </c:pt>
                <c:pt idx="9">
                  <c:v>45809</c:v>
                </c:pt>
                <c:pt idx="10">
                  <c:v>45778</c:v>
                </c:pt>
                <c:pt idx="11">
                  <c:v>45748</c:v>
                </c:pt>
                <c:pt idx="12">
                  <c:v>45717</c:v>
                </c:pt>
                <c:pt idx="13">
                  <c:v>45689</c:v>
                </c:pt>
                <c:pt idx="14">
                  <c:v>45658</c:v>
                </c:pt>
                <c:pt idx="15">
                  <c:v>45627</c:v>
                </c:pt>
                <c:pt idx="16">
                  <c:v>45597</c:v>
                </c:pt>
                <c:pt idx="17">
                  <c:v>45566</c:v>
                </c:pt>
                <c:pt idx="18">
                  <c:v>45536</c:v>
                </c:pt>
                <c:pt idx="19">
                  <c:v>45505</c:v>
                </c:pt>
                <c:pt idx="20">
                  <c:v>45474</c:v>
                </c:pt>
                <c:pt idx="21">
                  <c:v>45444</c:v>
                </c:pt>
                <c:pt idx="22">
                  <c:v>45413</c:v>
                </c:pt>
                <c:pt idx="23">
                  <c:v>45383</c:v>
                </c:pt>
                <c:pt idx="24">
                  <c:v>45352</c:v>
                </c:pt>
                <c:pt idx="25">
                  <c:v>45323</c:v>
                </c:pt>
                <c:pt idx="26">
                  <c:v>45292</c:v>
                </c:pt>
                <c:pt idx="27">
                  <c:v>45261</c:v>
                </c:pt>
                <c:pt idx="28">
                  <c:v>45231</c:v>
                </c:pt>
                <c:pt idx="29">
                  <c:v>45200</c:v>
                </c:pt>
                <c:pt idx="30">
                  <c:v>45170</c:v>
                </c:pt>
                <c:pt idx="31">
                  <c:v>45139</c:v>
                </c:pt>
                <c:pt idx="32">
                  <c:v>45108</c:v>
                </c:pt>
                <c:pt idx="33">
                  <c:v>45078</c:v>
                </c:pt>
                <c:pt idx="34">
                  <c:v>45047</c:v>
                </c:pt>
                <c:pt idx="35">
                  <c:v>45017</c:v>
                </c:pt>
                <c:pt idx="36">
                  <c:v>44986</c:v>
                </c:pt>
                <c:pt idx="37">
                  <c:v>44958</c:v>
                </c:pt>
                <c:pt idx="38">
                  <c:v>44927</c:v>
                </c:pt>
                <c:pt idx="39">
                  <c:v>44896</c:v>
                </c:pt>
                <c:pt idx="40">
                  <c:v>44866</c:v>
                </c:pt>
                <c:pt idx="41">
                  <c:v>44835</c:v>
                </c:pt>
                <c:pt idx="42">
                  <c:v>44805</c:v>
                </c:pt>
                <c:pt idx="43">
                  <c:v>44774</c:v>
                </c:pt>
                <c:pt idx="44">
                  <c:v>44743</c:v>
                </c:pt>
                <c:pt idx="45">
                  <c:v>44713</c:v>
                </c:pt>
                <c:pt idx="46">
                  <c:v>44682</c:v>
                </c:pt>
                <c:pt idx="47">
                  <c:v>44652</c:v>
                </c:pt>
                <c:pt idx="48">
                  <c:v>44621</c:v>
                </c:pt>
                <c:pt idx="49">
                  <c:v>44593</c:v>
                </c:pt>
                <c:pt idx="50">
                  <c:v>44562</c:v>
                </c:pt>
                <c:pt idx="51">
                  <c:v>44531</c:v>
                </c:pt>
                <c:pt idx="52">
                  <c:v>44501</c:v>
                </c:pt>
                <c:pt idx="53">
                  <c:v>44470</c:v>
                </c:pt>
                <c:pt idx="54">
                  <c:v>44440</c:v>
                </c:pt>
                <c:pt idx="55">
                  <c:v>44409</c:v>
                </c:pt>
                <c:pt idx="56">
                  <c:v>44378</c:v>
                </c:pt>
                <c:pt idx="57">
                  <c:v>44348</c:v>
                </c:pt>
                <c:pt idx="58">
                  <c:v>44317</c:v>
                </c:pt>
                <c:pt idx="59">
                  <c:v>44287</c:v>
                </c:pt>
                <c:pt idx="60">
                  <c:v>44256</c:v>
                </c:pt>
                <c:pt idx="61">
                  <c:v>44228</c:v>
                </c:pt>
                <c:pt idx="62">
                  <c:v>44197</c:v>
                </c:pt>
                <c:pt idx="63">
                  <c:v>44166</c:v>
                </c:pt>
                <c:pt idx="64">
                  <c:v>44136</c:v>
                </c:pt>
                <c:pt idx="65">
                  <c:v>44105</c:v>
                </c:pt>
                <c:pt idx="66">
                  <c:v>44075</c:v>
                </c:pt>
                <c:pt idx="67">
                  <c:v>44044</c:v>
                </c:pt>
                <c:pt idx="68">
                  <c:v>44013</c:v>
                </c:pt>
                <c:pt idx="69">
                  <c:v>43983</c:v>
                </c:pt>
                <c:pt idx="70">
                  <c:v>43952</c:v>
                </c:pt>
                <c:pt idx="71">
                  <c:v>43922</c:v>
                </c:pt>
                <c:pt idx="72">
                  <c:v>43891</c:v>
                </c:pt>
                <c:pt idx="73">
                  <c:v>43862</c:v>
                </c:pt>
                <c:pt idx="74">
                  <c:v>43831</c:v>
                </c:pt>
                <c:pt idx="75">
                  <c:v>43800</c:v>
                </c:pt>
                <c:pt idx="76">
                  <c:v>43770</c:v>
                </c:pt>
                <c:pt idx="77">
                  <c:v>43739</c:v>
                </c:pt>
                <c:pt idx="78">
                  <c:v>43709</c:v>
                </c:pt>
                <c:pt idx="79">
                  <c:v>43678</c:v>
                </c:pt>
                <c:pt idx="80">
                  <c:v>43647</c:v>
                </c:pt>
                <c:pt idx="81">
                  <c:v>43617</c:v>
                </c:pt>
                <c:pt idx="82">
                  <c:v>43586</c:v>
                </c:pt>
                <c:pt idx="83">
                  <c:v>43556</c:v>
                </c:pt>
                <c:pt idx="84">
                  <c:v>43525</c:v>
                </c:pt>
                <c:pt idx="85">
                  <c:v>43497</c:v>
                </c:pt>
                <c:pt idx="86">
                  <c:v>43466</c:v>
                </c:pt>
                <c:pt idx="87">
                  <c:v>43435</c:v>
                </c:pt>
                <c:pt idx="88">
                  <c:v>43405</c:v>
                </c:pt>
                <c:pt idx="89">
                  <c:v>43374</c:v>
                </c:pt>
                <c:pt idx="90">
                  <c:v>43344</c:v>
                </c:pt>
                <c:pt idx="91">
                  <c:v>43313</c:v>
                </c:pt>
                <c:pt idx="92">
                  <c:v>43282</c:v>
                </c:pt>
                <c:pt idx="93">
                  <c:v>43252</c:v>
                </c:pt>
                <c:pt idx="94">
                  <c:v>43221</c:v>
                </c:pt>
                <c:pt idx="95">
                  <c:v>43191</c:v>
                </c:pt>
                <c:pt idx="96">
                  <c:v>43160</c:v>
                </c:pt>
                <c:pt idx="97">
                  <c:v>43132</c:v>
                </c:pt>
                <c:pt idx="98">
                  <c:v>43101</c:v>
                </c:pt>
                <c:pt idx="99">
                  <c:v>43070</c:v>
                </c:pt>
                <c:pt idx="100">
                  <c:v>43040</c:v>
                </c:pt>
                <c:pt idx="101">
                  <c:v>43009</c:v>
                </c:pt>
                <c:pt idx="102">
                  <c:v>42979</c:v>
                </c:pt>
                <c:pt idx="103">
                  <c:v>42948</c:v>
                </c:pt>
                <c:pt idx="104">
                  <c:v>42917</c:v>
                </c:pt>
                <c:pt idx="105">
                  <c:v>42887</c:v>
                </c:pt>
                <c:pt idx="106">
                  <c:v>42856</c:v>
                </c:pt>
                <c:pt idx="107">
                  <c:v>42826</c:v>
                </c:pt>
                <c:pt idx="108">
                  <c:v>42795</c:v>
                </c:pt>
                <c:pt idx="109">
                  <c:v>42767</c:v>
                </c:pt>
                <c:pt idx="110">
                  <c:v>42736</c:v>
                </c:pt>
                <c:pt idx="111">
                  <c:v>42705</c:v>
                </c:pt>
                <c:pt idx="112">
                  <c:v>42675</c:v>
                </c:pt>
                <c:pt idx="113">
                  <c:v>42644</c:v>
                </c:pt>
                <c:pt idx="114">
                  <c:v>42614</c:v>
                </c:pt>
                <c:pt idx="115">
                  <c:v>42583</c:v>
                </c:pt>
                <c:pt idx="116">
                  <c:v>42552</c:v>
                </c:pt>
                <c:pt idx="117">
                  <c:v>42522</c:v>
                </c:pt>
                <c:pt idx="118">
                  <c:v>42491</c:v>
                </c:pt>
                <c:pt idx="119">
                  <c:v>42461</c:v>
                </c:pt>
                <c:pt idx="120">
                  <c:v>42430</c:v>
                </c:pt>
                <c:pt idx="121">
                  <c:v>42401</c:v>
                </c:pt>
                <c:pt idx="122">
                  <c:v>42370</c:v>
                </c:pt>
                <c:pt idx="123">
                  <c:v>42339</c:v>
                </c:pt>
                <c:pt idx="124">
                  <c:v>42309</c:v>
                </c:pt>
                <c:pt idx="125">
                  <c:v>42278</c:v>
                </c:pt>
                <c:pt idx="126">
                  <c:v>42248</c:v>
                </c:pt>
                <c:pt idx="127">
                  <c:v>42217</c:v>
                </c:pt>
                <c:pt idx="128">
                  <c:v>42186</c:v>
                </c:pt>
                <c:pt idx="129">
                  <c:v>42156</c:v>
                </c:pt>
                <c:pt idx="130">
                  <c:v>42125</c:v>
                </c:pt>
                <c:pt idx="131">
                  <c:v>42095</c:v>
                </c:pt>
                <c:pt idx="132">
                  <c:v>42064</c:v>
                </c:pt>
                <c:pt idx="133">
                  <c:v>42036</c:v>
                </c:pt>
                <c:pt idx="134">
                  <c:v>42005</c:v>
                </c:pt>
                <c:pt idx="135">
                  <c:v>41974</c:v>
                </c:pt>
                <c:pt idx="136">
                  <c:v>41944</c:v>
                </c:pt>
                <c:pt idx="137">
                  <c:v>41913</c:v>
                </c:pt>
                <c:pt idx="138">
                  <c:v>41883</c:v>
                </c:pt>
                <c:pt idx="139">
                  <c:v>41852</c:v>
                </c:pt>
                <c:pt idx="140">
                  <c:v>41821</c:v>
                </c:pt>
                <c:pt idx="141">
                  <c:v>41791</c:v>
                </c:pt>
                <c:pt idx="142">
                  <c:v>41760</c:v>
                </c:pt>
                <c:pt idx="143">
                  <c:v>41730</c:v>
                </c:pt>
                <c:pt idx="144">
                  <c:v>41699</c:v>
                </c:pt>
                <c:pt idx="145">
                  <c:v>41671</c:v>
                </c:pt>
                <c:pt idx="146">
                  <c:v>41640</c:v>
                </c:pt>
                <c:pt idx="147">
                  <c:v>41609</c:v>
                </c:pt>
                <c:pt idx="148">
                  <c:v>41579</c:v>
                </c:pt>
                <c:pt idx="149">
                  <c:v>41548</c:v>
                </c:pt>
                <c:pt idx="150">
                  <c:v>41518</c:v>
                </c:pt>
                <c:pt idx="151">
                  <c:v>41487</c:v>
                </c:pt>
                <c:pt idx="152">
                  <c:v>41456</c:v>
                </c:pt>
                <c:pt idx="153">
                  <c:v>41426</c:v>
                </c:pt>
                <c:pt idx="154">
                  <c:v>41395</c:v>
                </c:pt>
                <c:pt idx="155">
                  <c:v>41365</c:v>
                </c:pt>
                <c:pt idx="156">
                  <c:v>41334</c:v>
                </c:pt>
                <c:pt idx="157">
                  <c:v>41306</c:v>
                </c:pt>
                <c:pt idx="158">
                  <c:v>41275</c:v>
                </c:pt>
                <c:pt idx="159">
                  <c:v>41244</c:v>
                </c:pt>
                <c:pt idx="160">
                  <c:v>41214</c:v>
                </c:pt>
                <c:pt idx="161">
                  <c:v>41183</c:v>
                </c:pt>
                <c:pt idx="162">
                  <c:v>41153</c:v>
                </c:pt>
                <c:pt idx="163">
                  <c:v>41122</c:v>
                </c:pt>
                <c:pt idx="164">
                  <c:v>41091</c:v>
                </c:pt>
                <c:pt idx="165">
                  <c:v>41061</c:v>
                </c:pt>
                <c:pt idx="166">
                  <c:v>41030</c:v>
                </c:pt>
                <c:pt idx="167">
                  <c:v>41000</c:v>
                </c:pt>
                <c:pt idx="168">
                  <c:v>40969</c:v>
                </c:pt>
                <c:pt idx="169">
                  <c:v>40940</c:v>
                </c:pt>
                <c:pt idx="170">
                  <c:v>40909</c:v>
                </c:pt>
                <c:pt idx="171">
                  <c:v>40878</c:v>
                </c:pt>
                <c:pt idx="172">
                  <c:v>40848</c:v>
                </c:pt>
                <c:pt idx="173">
                  <c:v>40817</c:v>
                </c:pt>
                <c:pt idx="174">
                  <c:v>40787</c:v>
                </c:pt>
                <c:pt idx="175">
                  <c:v>40756</c:v>
                </c:pt>
                <c:pt idx="176">
                  <c:v>40725</c:v>
                </c:pt>
                <c:pt idx="177">
                  <c:v>40695</c:v>
                </c:pt>
                <c:pt idx="178">
                  <c:v>40664</c:v>
                </c:pt>
                <c:pt idx="179">
                  <c:v>40634</c:v>
                </c:pt>
                <c:pt idx="180">
                  <c:v>40603</c:v>
                </c:pt>
                <c:pt idx="181">
                  <c:v>40575</c:v>
                </c:pt>
                <c:pt idx="182">
                  <c:v>40544</c:v>
                </c:pt>
                <c:pt idx="183">
                  <c:v>40513</c:v>
                </c:pt>
                <c:pt idx="184">
                  <c:v>40483</c:v>
                </c:pt>
                <c:pt idx="185">
                  <c:v>40452</c:v>
                </c:pt>
                <c:pt idx="186">
                  <c:v>40422</c:v>
                </c:pt>
                <c:pt idx="187">
                  <c:v>40391</c:v>
                </c:pt>
                <c:pt idx="188">
                  <c:v>40360</c:v>
                </c:pt>
                <c:pt idx="189">
                  <c:v>40330</c:v>
                </c:pt>
                <c:pt idx="190">
                  <c:v>40299</c:v>
                </c:pt>
                <c:pt idx="191">
                  <c:v>40269</c:v>
                </c:pt>
                <c:pt idx="192">
                  <c:v>40238</c:v>
                </c:pt>
                <c:pt idx="193">
                  <c:v>40210</c:v>
                </c:pt>
                <c:pt idx="194">
                  <c:v>40179</c:v>
                </c:pt>
                <c:pt idx="195">
                  <c:v>40148</c:v>
                </c:pt>
                <c:pt idx="196">
                  <c:v>40118</c:v>
                </c:pt>
                <c:pt idx="197">
                  <c:v>40087</c:v>
                </c:pt>
                <c:pt idx="198">
                  <c:v>40057</c:v>
                </c:pt>
                <c:pt idx="199">
                  <c:v>40026</c:v>
                </c:pt>
                <c:pt idx="200">
                  <c:v>39995</c:v>
                </c:pt>
                <c:pt idx="201">
                  <c:v>39965</c:v>
                </c:pt>
                <c:pt idx="202">
                  <c:v>39934</c:v>
                </c:pt>
                <c:pt idx="203">
                  <c:v>39904</c:v>
                </c:pt>
                <c:pt idx="204">
                  <c:v>39873</c:v>
                </c:pt>
                <c:pt idx="205">
                  <c:v>39845</c:v>
                </c:pt>
                <c:pt idx="206">
                  <c:v>39814</c:v>
                </c:pt>
                <c:pt idx="207">
                  <c:v>39783</c:v>
                </c:pt>
                <c:pt idx="208">
                  <c:v>39753</c:v>
                </c:pt>
                <c:pt idx="209">
                  <c:v>39722</c:v>
                </c:pt>
                <c:pt idx="210">
                  <c:v>39692</c:v>
                </c:pt>
                <c:pt idx="211">
                  <c:v>39661</c:v>
                </c:pt>
                <c:pt idx="212">
                  <c:v>39630</c:v>
                </c:pt>
                <c:pt idx="213">
                  <c:v>39600</c:v>
                </c:pt>
                <c:pt idx="214">
                  <c:v>39569</c:v>
                </c:pt>
                <c:pt idx="215">
                  <c:v>39539</c:v>
                </c:pt>
                <c:pt idx="216">
                  <c:v>39508</c:v>
                </c:pt>
                <c:pt idx="217">
                  <c:v>39479</c:v>
                </c:pt>
                <c:pt idx="218">
                  <c:v>39448</c:v>
                </c:pt>
                <c:pt idx="219">
                  <c:v>39417</c:v>
                </c:pt>
                <c:pt idx="220">
                  <c:v>39387</c:v>
                </c:pt>
                <c:pt idx="221">
                  <c:v>39356</c:v>
                </c:pt>
                <c:pt idx="222">
                  <c:v>39326</c:v>
                </c:pt>
                <c:pt idx="223">
                  <c:v>39295</c:v>
                </c:pt>
                <c:pt idx="224">
                  <c:v>39264</c:v>
                </c:pt>
                <c:pt idx="225">
                  <c:v>39234</c:v>
                </c:pt>
                <c:pt idx="226">
                  <c:v>39203</c:v>
                </c:pt>
                <c:pt idx="227">
                  <c:v>39173</c:v>
                </c:pt>
                <c:pt idx="228">
                  <c:v>39142</c:v>
                </c:pt>
                <c:pt idx="229">
                  <c:v>39114</c:v>
                </c:pt>
                <c:pt idx="230">
                  <c:v>39083</c:v>
                </c:pt>
                <c:pt idx="231">
                  <c:v>39052</c:v>
                </c:pt>
                <c:pt idx="232">
                  <c:v>39022</c:v>
                </c:pt>
                <c:pt idx="233">
                  <c:v>38991</c:v>
                </c:pt>
                <c:pt idx="234">
                  <c:v>38961</c:v>
                </c:pt>
                <c:pt idx="235">
                  <c:v>38930</c:v>
                </c:pt>
                <c:pt idx="236">
                  <c:v>38899</c:v>
                </c:pt>
                <c:pt idx="237">
                  <c:v>38869</c:v>
                </c:pt>
                <c:pt idx="238">
                  <c:v>38838</c:v>
                </c:pt>
                <c:pt idx="239">
                  <c:v>38808</c:v>
                </c:pt>
                <c:pt idx="240">
                  <c:v>38777</c:v>
                </c:pt>
                <c:pt idx="241">
                  <c:v>38749</c:v>
                </c:pt>
                <c:pt idx="242">
                  <c:v>38718</c:v>
                </c:pt>
                <c:pt idx="243">
                  <c:v>38687</c:v>
                </c:pt>
                <c:pt idx="244">
                  <c:v>38657</c:v>
                </c:pt>
                <c:pt idx="245">
                  <c:v>38626</c:v>
                </c:pt>
                <c:pt idx="246">
                  <c:v>38596</c:v>
                </c:pt>
                <c:pt idx="247">
                  <c:v>38565</c:v>
                </c:pt>
                <c:pt idx="248">
                  <c:v>38534</c:v>
                </c:pt>
                <c:pt idx="249">
                  <c:v>38504</c:v>
                </c:pt>
                <c:pt idx="250">
                  <c:v>38473</c:v>
                </c:pt>
                <c:pt idx="251">
                  <c:v>38443</c:v>
                </c:pt>
                <c:pt idx="252">
                  <c:v>38412</c:v>
                </c:pt>
                <c:pt idx="253">
                  <c:v>38384</c:v>
                </c:pt>
                <c:pt idx="254">
                  <c:v>38353</c:v>
                </c:pt>
                <c:pt idx="255">
                  <c:v>38322</c:v>
                </c:pt>
                <c:pt idx="256">
                  <c:v>38292</c:v>
                </c:pt>
                <c:pt idx="257">
                  <c:v>38261</c:v>
                </c:pt>
                <c:pt idx="258">
                  <c:v>38231</c:v>
                </c:pt>
                <c:pt idx="259">
                  <c:v>38200</c:v>
                </c:pt>
                <c:pt idx="260">
                  <c:v>38169</c:v>
                </c:pt>
                <c:pt idx="261">
                  <c:v>38139</c:v>
                </c:pt>
                <c:pt idx="262">
                  <c:v>38108</c:v>
                </c:pt>
                <c:pt idx="263">
                  <c:v>38078</c:v>
                </c:pt>
                <c:pt idx="264">
                  <c:v>38047</c:v>
                </c:pt>
                <c:pt idx="265">
                  <c:v>38018</c:v>
                </c:pt>
                <c:pt idx="266">
                  <c:v>37987</c:v>
                </c:pt>
                <c:pt idx="267">
                  <c:v>37956</c:v>
                </c:pt>
                <c:pt idx="268">
                  <c:v>37926</c:v>
                </c:pt>
                <c:pt idx="269">
                  <c:v>37895</c:v>
                </c:pt>
                <c:pt idx="270">
                  <c:v>37865</c:v>
                </c:pt>
                <c:pt idx="271">
                  <c:v>37834</c:v>
                </c:pt>
                <c:pt idx="272">
                  <c:v>37803</c:v>
                </c:pt>
                <c:pt idx="273">
                  <c:v>37773</c:v>
                </c:pt>
                <c:pt idx="274">
                  <c:v>37742</c:v>
                </c:pt>
                <c:pt idx="275">
                  <c:v>37712</c:v>
                </c:pt>
                <c:pt idx="276">
                  <c:v>37681</c:v>
                </c:pt>
                <c:pt idx="277">
                  <c:v>37653</c:v>
                </c:pt>
                <c:pt idx="278">
                  <c:v>37622</c:v>
                </c:pt>
                <c:pt idx="279">
                  <c:v>37591</c:v>
                </c:pt>
                <c:pt idx="280">
                  <c:v>37561</c:v>
                </c:pt>
                <c:pt idx="281">
                  <c:v>37530</c:v>
                </c:pt>
                <c:pt idx="282">
                  <c:v>37500</c:v>
                </c:pt>
                <c:pt idx="283">
                  <c:v>37469</c:v>
                </c:pt>
                <c:pt idx="284">
                  <c:v>37438</c:v>
                </c:pt>
                <c:pt idx="285">
                  <c:v>37408</c:v>
                </c:pt>
                <c:pt idx="286">
                  <c:v>37377</c:v>
                </c:pt>
                <c:pt idx="287">
                  <c:v>37347</c:v>
                </c:pt>
                <c:pt idx="288">
                  <c:v>37316</c:v>
                </c:pt>
                <c:pt idx="289">
                  <c:v>37288</c:v>
                </c:pt>
                <c:pt idx="290">
                  <c:v>37257</c:v>
                </c:pt>
                <c:pt idx="291">
                  <c:v>37226</c:v>
                </c:pt>
                <c:pt idx="292">
                  <c:v>37196</c:v>
                </c:pt>
                <c:pt idx="293">
                  <c:v>37165</c:v>
                </c:pt>
                <c:pt idx="294">
                  <c:v>37135</c:v>
                </c:pt>
                <c:pt idx="295">
                  <c:v>37104</c:v>
                </c:pt>
                <c:pt idx="296">
                  <c:v>37073</c:v>
                </c:pt>
                <c:pt idx="297">
                  <c:v>37043</c:v>
                </c:pt>
                <c:pt idx="298">
                  <c:v>37012</c:v>
                </c:pt>
                <c:pt idx="299">
                  <c:v>36982</c:v>
                </c:pt>
                <c:pt idx="300">
                  <c:v>36951</c:v>
                </c:pt>
                <c:pt idx="301">
                  <c:v>36923</c:v>
                </c:pt>
                <c:pt idx="302">
                  <c:v>36892</c:v>
                </c:pt>
                <c:pt idx="303">
                  <c:v>36861</c:v>
                </c:pt>
                <c:pt idx="304">
                  <c:v>36831</c:v>
                </c:pt>
                <c:pt idx="305">
                  <c:v>36800</c:v>
                </c:pt>
                <c:pt idx="306">
                  <c:v>36770</c:v>
                </c:pt>
                <c:pt idx="307">
                  <c:v>36739</c:v>
                </c:pt>
                <c:pt idx="308">
                  <c:v>36708</c:v>
                </c:pt>
                <c:pt idx="309">
                  <c:v>36678</c:v>
                </c:pt>
                <c:pt idx="310">
                  <c:v>36647</c:v>
                </c:pt>
                <c:pt idx="311">
                  <c:v>36617</c:v>
                </c:pt>
                <c:pt idx="312">
                  <c:v>36586</c:v>
                </c:pt>
                <c:pt idx="313">
                  <c:v>36557</c:v>
                </c:pt>
                <c:pt idx="314">
                  <c:v>36526</c:v>
                </c:pt>
                <c:pt idx="315">
                  <c:v>36495</c:v>
                </c:pt>
                <c:pt idx="316">
                  <c:v>36465</c:v>
                </c:pt>
                <c:pt idx="317">
                  <c:v>36434</c:v>
                </c:pt>
                <c:pt idx="318">
                  <c:v>36404</c:v>
                </c:pt>
                <c:pt idx="319">
                  <c:v>36373</c:v>
                </c:pt>
                <c:pt idx="320">
                  <c:v>36342</c:v>
                </c:pt>
                <c:pt idx="321">
                  <c:v>36312</c:v>
                </c:pt>
                <c:pt idx="322">
                  <c:v>36281</c:v>
                </c:pt>
                <c:pt idx="323">
                  <c:v>36251</c:v>
                </c:pt>
                <c:pt idx="324">
                  <c:v>36220</c:v>
                </c:pt>
                <c:pt idx="325">
                  <c:v>36192</c:v>
                </c:pt>
                <c:pt idx="326">
                  <c:v>36161</c:v>
                </c:pt>
                <c:pt idx="327">
                  <c:v>36130</c:v>
                </c:pt>
                <c:pt idx="328">
                  <c:v>36100</c:v>
                </c:pt>
                <c:pt idx="329">
                  <c:v>36069</c:v>
                </c:pt>
                <c:pt idx="330">
                  <c:v>36039</c:v>
                </c:pt>
                <c:pt idx="331">
                  <c:v>36008</c:v>
                </c:pt>
                <c:pt idx="332">
                  <c:v>35977</c:v>
                </c:pt>
                <c:pt idx="333">
                  <c:v>35947</c:v>
                </c:pt>
                <c:pt idx="334">
                  <c:v>35916</c:v>
                </c:pt>
                <c:pt idx="335">
                  <c:v>35886</c:v>
                </c:pt>
                <c:pt idx="336">
                  <c:v>35855</c:v>
                </c:pt>
                <c:pt idx="337">
                  <c:v>35827</c:v>
                </c:pt>
                <c:pt idx="338">
                  <c:v>35796</c:v>
                </c:pt>
                <c:pt idx="339">
                  <c:v>35765</c:v>
                </c:pt>
                <c:pt idx="340">
                  <c:v>35735</c:v>
                </c:pt>
                <c:pt idx="341">
                  <c:v>35704</c:v>
                </c:pt>
                <c:pt idx="342">
                  <c:v>35674</c:v>
                </c:pt>
                <c:pt idx="343">
                  <c:v>35643</c:v>
                </c:pt>
                <c:pt idx="344">
                  <c:v>35612</c:v>
                </c:pt>
                <c:pt idx="345">
                  <c:v>35582</c:v>
                </c:pt>
                <c:pt idx="346">
                  <c:v>35551</c:v>
                </c:pt>
                <c:pt idx="347">
                  <c:v>35521</c:v>
                </c:pt>
                <c:pt idx="348">
                  <c:v>35490</c:v>
                </c:pt>
                <c:pt idx="349">
                  <c:v>35462</c:v>
                </c:pt>
                <c:pt idx="350">
                  <c:v>35431</c:v>
                </c:pt>
                <c:pt idx="351">
                  <c:v>35400</c:v>
                </c:pt>
                <c:pt idx="352">
                  <c:v>35370</c:v>
                </c:pt>
                <c:pt idx="353">
                  <c:v>35339</c:v>
                </c:pt>
                <c:pt idx="354">
                  <c:v>35309</c:v>
                </c:pt>
                <c:pt idx="355">
                  <c:v>35278</c:v>
                </c:pt>
                <c:pt idx="356">
                  <c:v>35247</c:v>
                </c:pt>
                <c:pt idx="357">
                  <c:v>35217</c:v>
                </c:pt>
                <c:pt idx="358">
                  <c:v>35186</c:v>
                </c:pt>
                <c:pt idx="359">
                  <c:v>35156</c:v>
                </c:pt>
                <c:pt idx="360">
                  <c:v>35125</c:v>
                </c:pt>
                <c:pt idx="361">
                  <c:v>35096</c:v>
                </c:pt>
                <c:pt idx="362">
                  <c:v>35065</c:v>
                </c:pt>
                <c:pt idx="363">
                  <c:v>35034</c:v>
                </c:pt>
                <c:pt idx="364">
                  <c:v>35004</c:v>
                </c:pt>
                <c:pt idx="365">
                  <c:v>34973</c:v>
                </c:pt>
                <c:pt idx="366">
                  <c:v>34943</c:v>
                </c:pt>
                <c:pt idx="367">
                  <c:v>34912</c:v>
                </c:pt>
                <c:pt idx="368">
                  <c:v>34881</c:v>
                </c:pt>
                <c:pt idx="369">
                  <c:v>34851</c:v>
                </c:pt>
                <c:pt idx="370">
                  <c:v>34820</c:v>
                </c:pt>
                <c:pt idx="371">
                  <c:v>34790</c:v>
                </c:pt>
                <c:pt idx="372">
                  <c:v>34759</c:v>
                </c:pt>
                <c:pt idx="373">
                  <c:v>34731</c:v>
                </c:pt>
                <c:pt idx="374">
                  <c:v>34700</c:v>
                </c:pt>
                <c:pt idx="375">
                  <c:v>34669</c:v>
                </c:pt>
                <c:pt idx="376">
                  <c:v>34639</c:v>
                </c:pt>
                <c:pt idx="377">
                  <c:v>34608</c:v>
                </c:pt>
                <c:pt idx="378">
                  <c:v>34578</c:v>
                </c:pt>
                <c:pt idx="379">
                  <c:v>34547</c:v>
                </c:pt>
                <c:pt idx="380">
                  <c:v>34516</c:v>
                </c:pt>
                <c:pt idx="381">
                  <c:v>34486</c:v>
                </c:pt>
                <c:pt idx="382">
                  <c:v>34455</c:v>
                </c:pt>
                <c:pt idx="383">
                  <c:v>34425</c:v>
                </c:pt>
                <c:pt idx="384">
                  <c:v>34394</c:v>
                </c:pt>
                <c:pt idx="385">
                  <c:v>34366</c:v>
                </c:pt>
                <c:pt idx="386">
                  <c:v>34335</c:v>
                </c:pt>
                <c:pt idx="387">
                  <c:v>34304</c:v>
                </c:pt>
                <c:pt idx="388">
                  <c:v>34274</c:v>
                </c:pt>
                <c:pt idx="389">
                  <c:v>34243</c:v>
                </c:pt>
                <c:pt idx="390">
                  <c:v>34213</c:v>
                </c:pt>
                <c:pt idx="391">
                  <c:v>34182</c:v>
                </c:pt>
                <c:pt idx="392">
                  <c:v>34151</c:v>
                </c:pt>
                <c:pt idx="393">
                  <c:v>34121</c:v>
                </c:pt>
                <c:pt idx="394">
                  <c:v>34090</c:v>
                </c:pt>
                <c:pt idx="395">
                  <c:v>34060</c:v>
                </c:pt>
                <c:pt idx="396">
                  <c:v>34029</c:v>
                </c:pt>
                <c:pt idx="397">
                  <c:v>34001</c:v>
                </c:pt>
                <c:pt idx="398">
                  <c:v>33970</c:v>
                </c:pt>
                <c:pt idx="399">
                  <c:v>33939</c:v>
                </c:pt>
                <c:pt idx="400">
                  <c:v>33909</c:v>
                </c:pt>
                <c:pt idx="401">
                  <c:v>33878</c:v>
                </c:pt>
                <c:pt idx="402">
                  <c:v>33848</c:v>
                </c:pt>
                <c:pt idx="403">
                  <c:v>33817</c:v>
                </c:pt>
                <c:pt idx="404">
                  <c:v>33786</c:v>
                </c:pt>
                <c:pt idx="405">
                  <c:v>33756</c:v>
                </c:pt>
                <c:pt idx="406">
                  <c:v>33725</c:v>
                </c:pt>
                <c:pt idx="407">
                  <c:v>33695</c:v>
                </c:pt>
                <c:pt idx="408">
                  <c:v>33664</c:v>
                </c:pt>
                <c:pt idx="409">
                  <c:v>33635</c:v>
                </c:pt>
                <c:pt idx="410">
                  <c:v>33604</c:v>
                </c:pt>
                <c:pt idx="411">
                  <c:v>33573</c:v>
                </c:pt>
                <c:pt idx="412">
                  <c:v>33543</c:v>
                </c:pt>
                <c:pt idx="413">
                  <c:v>33512</c:v>
                </c:pt>
                <c:pt idx="414">
                  <c:v>33482</c:v>
                </c:pt>
                <c:pt idx="415">
                  <c:v>33451</c:v>
                </c:pt>
                <c:pt idx="416">
                  <c:v>33420</c:v>
                </c:pt>
                <c:pt idx="417">
                  <c:v>33390</c:v>
                </c:pt>
                <c:pt idx="418">
                  <c:v>33359</c:v>
                </c:pt>
                <c:pt idx="419">
                  <c:v>33329</c:v>
                </c:pt>
                <c:pt idx="420">
                  <c:v>33298</c:v>
                </c:pt>
                <c:pt idx="421">
                  <c:v>33270</c:v>
                </c:pt>
                <c:pt idx="422">
                  <c:v>33239</c:v>
                </c:pt>
                <c:pt idx="423">
                  <c:v>33208</c:v>
                </c:pt>
                <c:pt idx="424">
                  <c:v>33178</c:v>
                </c:pt>
                <c:pt idx="425">
                  <c:v>33147</c:v>
                </c:pt>
                <c:pt idx="426">
                  <c:v>33117</c:v>
                </c:pt>
                <c:pt idx="427">
                  <c:v>33086</c:v>
                </c:pt>
                <c:pt idx="428">
                  <c:v>33055</c:v>
                </c:pt>
                <c:pt idx="429">
                  <c:v>33025</c:v>
                </c:pt>
                <c:pt idx="430">
                  <c:v>32994</c:v>
                </c:pt>
                <c:pt idx="431">
                  <c:v>32964</c:v>
                </c:pt>
                <c:pt idx="432">
                  <c:v>32933</c:v>
                </c:pt>
                <c:pt idx="433">
                  <c:v>32905</c:v>
                </c:pt>
                <c:pt idx="434">
                  <c:v>32874</c:v>
                </c:pt>
                <c:pt idx="435">
                  <c:v>32843</c:v>
                </c:pt>
                <c:pt idx="436">
                  <c:v>32813</c:v>
                </c:pt>
                <c:pt idx="437">
                  <c:v>32782</c:v>
                </c:pt>
                <c:pt idx="438">
                  <c:v>32752</c:v>
                </c:pt>
                <c:pt idx="439">
                  <c:v>32721</c:v>
                </c:pt>
                <c:pt idx="440">
                  <c:v>32690</c:v>
                </c:pt>
                <c:pt idx="441">
                  <c:v>32660</c:v>
                </c:pt>
                <c:pt idx="442">
                  <c:v>32629</c:v>
                </c:pt>
                <c:pt idx="443">
                  <c:v>32599</c:v>
                </c:pt>
                <c:pt idx="444">
                  <c:v>32568</c:v>
                </c:pt>
                <c:pt idx="445">
                  <c:v>32540</c:v>
                </c:pt>
                <c:pt idx="446">
                  <c:v>32509</c:v>
                </c:pt>
                <c:pt idx="447">
                  <c:v>32478</c:v>
                </c:pt>
                <c:pt idx="448">
                  <c:v>32448</c:v>
                </c:pt>
                <c:pt idx="449">
                  <c:v>32417</c:v>
                </c:pt>
                <c:pt idx="450">
                  <c:v>32387</c:v>
                </c:pt>
                <c:pt idx="451">
                  <c:v>32356</c:v>
                </c:pt>
                <c:pt idx="452">
                  <c:v>32325</c:v>
                </c:pt>
                <c:pt idx="453">
                  <c:v>32295</c:v>
                </c:pt>
                <c:pt idx="454">
                  <c:v>32264</c:v>
                </c:pt>
                <c:pt idx="455">
                  <c:v>32234</c:v>
                </c:pt>
                <c:pt idx="456">
                  <c:v>32203</c:v>
                </c:pt>
                <c:pt idx="457">
                  <c:v>32174</c:v>
                </c:pt>
                <c:pt idx="458">
                  <c:v>32143</c:v>
                </c:pt>
                <c:pt idx="459">
                  <c:v>32112</c:v>
                </c:pt>
                <c:pt idx="460">
                  <c:v>32082</c:v>
                </c:pt>
                <c:pt idx="461">
                  <c:v>32051</c:v>
                </c:pt>
                <c:pt idx="462">
                  <c:v>32021</c:v>
                </c:pt>
                <c:pt idx="463">
                  <c:v>31990</c:v>
                </c:pt>
                <c:pt idx="464">
                  <c:v>31959</c:v>
                </c:pt>
              </c:numCache>
            </c:numRef>
          </c:cat>
          <c:val>
            <c:numRef>
              <c:f>'Chart 2.14 data'!$Q$3:$Q$467</c:f>
              <c:numCache>
                <c:formatCode>0.00</c:formatCode>
                <c:ptCount val="465"/>
                <c:pt idx="0">
                  <c:v>3.2823649337410776</c:v>
                </c:pt>
                <c:pt idx="1">
                  <c:v>3.5805626598465423</c:v>
                </c:pt>
                <c:pt idx="2">
                  <c:v>3.437723145975724</c:v>
                </c:pt>
                <c:pt idx="3">
                  <c:v>3.712745397212891</c:v>
                </c:pt>
                <c:pt idx="4">
                  <c:v>3.2108197398306837</c:v>
                </c:pt>
                <c:pt idx="5">
                  <c:v>3.4143817899637829</c:v>
                </c:pt>
                <c:pt idx="6">
                  <c:v>3.2311345101682543</c:v>
                </c:pt>
                <c:pt idx="7">
                  <c:v>3.3493322203672626</c:v>
                </c:pt>
                <c:pt idx="8">
                  <c:v>3.8771031455742566</c:v>
                </c:pt>
                <c:pt idx="9">
                  <c:v>2.8723626488406095</c:v>
                </c:pt>
                <c:pt idx="10">
                  <c:v>3.6336748706031541</c:v>
                </c:pt>
                <c:pt idx="11">
                  <c:v>4.1983122362869274</c:v>
                </c:pt>
                <c:pt idx="12">
                  <c:v>3.9285714285714368</c:v>
                </c:pt>
                <c:pt idx="13">
                  <c:v>#N/A</c:v>
                </c:pt>
                <c:pt idx="14">
                  <c:v>#N/A</c:v>
                </c:pt>
                <c:pt idx="15">
                  <c:v>4.4960116026105723</c:v>
                </c:pt>
                <c:pt idx="16">
                  <c:v>#N/A</c:v>
                </c:pt>
                <c:pt idx="17">
                  <c:v>#N/A</c:v>
                </c:pt>
                <c:pt idx="18">
                  <c:v>4.4655929721815424</c:v>
                </c:pt>
                <c:pt idx="19">
                  <c:v>#N/A</c:v>
                </c:pt>
                <c:pt idx="20">
                  <c:v>#N/A</c:v>
                </c:pt>
                <c:pt idx="21">
                  <c:v>4.2190969652109667</c:v>
                </c:pt>
                <c:pt idx="22">
                  <c:v>#N/A</c:v>
                </c:pt>
                <c:pt idx="23">
                  <c:v>#N/A</c:v>
                </c:pt>
                <c:pt idx="24">
                  <c:v>4.1666666666666519</c:v>
                </c:pt>
                <c:pt idx="25">
                  <c:v>#N/A</c:v>
                </c:pt>
                <c:pt idx="26">
                  <c:v>#N/A</c:v>
                </c:pt>
                <c:pt idx="27">
                  <c:v>4.1540785498489496</c:v>
                </c:pt>
                <c:pt idx="28">
                  <c:v>#N/A</c:v>
                </c:pt>
                <c:pt idx="29">
                  <c:v>#N/A</c:v>
                </c:pt>
                <c:pt idx="30">
                  <c:v>5.3199691595990695</c:v>
                </c:pt>
                <c:pt idx="31">
                  <c:v>#N/A</c:v>
                </c:pt>
                <c:pt idx="32">
                  <c:v>#N/A</c:v>
                </c:pt>
                <c:pt idx="33">
                  <c:v>5.6293979671618422</c:v>
                </c:pt>
                <c:pt idx="34">
                  <c:v>#N/A</c:v>
                </c:pt>
                <c:pt idx="35">
                  <c:v>#N/A</c:v>
                </c:pt>
                <c:pt idx="36">
                  <c:v>5.5773762765121804</c:v>
                </c:pt>
                <c:pt idx="37">
                  <c:v>#N/A</c:v>
                </c:pt>
                <c:pt idx="38">
                  <c:v>#N/A</c:v>
                </c:pt>
                <c:pt idx="39">
                  <c:v>5.498007968127494</c:v>
                </c:pt>
                <c:pt idx="40">
                  <c:v>#N/A</c:v>
                </c:pt>
                <c:pt idx="41">
                  <c:v>#N/A</c:v>
                </c:pt>
                <c:pt idx="42">
                  <c:v>4.2604501607717005</c:v>
                </c:pt>
                <c:pt idx="43">
                  <c:v>#N/A</c:v>
                </c:pt>
                <c:pt idx="44">
                  <c:v>#N/A</c:v>
                </c:pt>
                <c:pt idx="45">
                  <c:v>3.3953112368633853</c:v>
                </c:pt>
                <c:pt idx="46">
                  <c:v>#N/A</c:v>
                </c:pt>
                <c:pt idx="47">
                  <c:v>#N/A</c:v>
                </c:pt>
                <c:pt idx="48">
                  <c:v>2.9935275080906099</c:v>
                </c:pt>
                <c:pt idx="49">
                  <c:v>#N/A</c:v>
                </c:pt>
                <c:pt idx="50">
                  <c:v>#N/A</c:v>
                </c:pt>
                <c:pt idx="51">
                  <c:v>1.7842660178426728</c:v>
                </c:pt>
                <c:pt idx="52">
                  <c:v>#N/A</c:v>
                </c:pt>
                <c:pt idx="53">
                  <c:v>#N/A</c:v>
                </c:pt>
                <c:pt idx="54">
                  <c:v>3.5803497085761915</c:v>
                </c:pt>
                <c:pt idx="55">
                  <c:v>#N/A</c:v>
                </c:pt>
                <c:pt idx="56">
                  <c:v>#N/A</c:v>
                </c:pt>
                <c:pt idx="57">
                  <c:v>3.6881810561609329</c:v>
                </c:pt>
                <c:pt idx="58">
                  <c:v>#N/A</c:v>
                </c:pt>
                <c:pt idx="59">
                  <c:v>#N/A</c:v>
                </c:pt>
                <c:pt idx="60">
                  <c:v>0.6514657980456029</c:v>
                </c:pt>
                <c:pt idx="61">
                  <c:v>#N/A</c:v>
                </c:pt>
                <c:pt idx="62">
                  <c:v>#N/A</c:v>
                </c:pt>
                <c:pt idx="63">
                  <c:v>0.90016366612111209</c:v>
                </c:pt>
                <c:pt idx="64">
                  <c:v>#N/A</c:v>
                </c:pt>
                <c:pt idx="65">
                  <c:v>#N/A</c:v>
                </c:pt>
                <c:pt idx="66">
                  <c:v>-1.0708401976935789</c:v>
                </c:pt>
                <c:pt idx="67">
                  <c:v>#N/A</c:v>
                </c:pt>
                <c:pt idx="68">
                  <c:v>#N/A</c:v>
                </c:pt>
                <c:pt idx="69">
                  <c:v>-0.99585062240664657</c:v>
                </c:pt>
                <c:pt idx="70">
                  <c:v>#N/A</c:v>
                </c:pt>
                <c:pt idx="71">
                  <c:v>#N/A</c:v>
                </c:pt>
                <c:pt idx="72">
                  <c:v>2.1630615640598982</c:v>
                </c:pt>
                <c:pt idx="73">
                  <c:v>#N/A</c:v>
                </c:pt>
                <c:pt idx="74">
                  <c:v>#N/A</c:v>
                </c:pt>
                <c:pt idx="75">
                  <c:v>2.0885547201336729</c:v>
                </c:pt>
                <c:pt idx="76">
                  <c:v>#N/A</c:v>
                </c:pt>
                <c:pt idx="77">
                  <c:v>#N/A</c:v>
                </c:pt>
                <c:pt idx="78">
                  <c:v>2.0168067226890907</c:v>
                </c:pt>
                <c:pt idx="79">
                  <c:v>#N/A</c:v>
                </c:pt>
                <c:pt idx="80">
                  <c:v>#N/A</c:v>
                </c:pt>
                <c:pt idx="81">
                  <c:v>1.4309764309764272</c:v>
                </c:pt>
                <c:pt idx="82">
                  <c:v>#N/A</c:v>
                </c:pt>
                <c:pt idx="83">
                  <c:v>#N/A</c:v>
                </c:pt>
                <c:pt idx="84">
                  <c:v>1.4345991561181437</c:v>
                </c:pt>
                <c:pt idx="85">
                  <c:v>#N/A</c:v>
                </c:pt>
                <c:pt idx="86">
                  <c:v>#N/A</c:v>
                </c:pt>
                <c:pt idx="87">
                  <c:v>1.9591141396933631</c:v>
                </c:pt>
                <c:pt idx="88">
                  <c:v>#N/A</c:v>
                </c:pt>
                <c:pt idx="89">
                  <c:v>#N/A</c:v>
                </c:pt>
                <c:pt idx="90">
                  <c:v>1.7094017094017033</c:v>
                </c:pt>
                <c:pt idx="91">
                  <c:v>#N/A</c:v>
                </c:pt>
                <c:pt idx="92">
                  <c:v>#N/A</c:v>
                </c:pt>
                <c:pt idx="93">
                  <c:v>2.2375215146299476</c:v>
                </c:pt>
                <c:pt idx="94">
                  <c:v>#N/A</c:v>
                </c:pt>
                <c:pt idx="95">
                  <c:v>#N/A</c:v>
                </c:pt>
                <c:pt idx="96">
                  <c:v>2.067183462532296</c:v>
                </c:pt>
                <c:pt idx="97">
                  <c:v>#N/A</c:v>
                </c:pt>
                <c:pt idx="98">
                  <c:v>#N/A</c:v>
                </c:pt>
                <c:pt idx="99">
                  <c:v>1.9097222222222321</c:v>
                </c:pt>
                <c:pt idx="100">
                  <c:v>#N/A</c:v>
                </c:pt>
                <c:pt idx="101">
                  <c:v>#N/A</c:v>
                </c:pt>
                <c:pt idx="102">
                  <c:v>2.0942408376963373</c:v>
                </c:pt>
                <c:pt idx="103">
                  <c:v>#N/A</c:v>
                </c:pt>
                <c:pt idx="104">
                  <c:v>#N/A</c:v>
                </c:pt>
                <c:pt idx="105">
                  <c:v>1.8404907975460238</c:v>
                </c:pt>
                <c:pt idx="106">
                  <c:v>#N/A</c:v>
                </c:pt>
                <c:pt idx="107">
                  <c:v>#N/A</c:v>
                </c:pt>
                <c:pt idx="108">
                  <c:v>1.8421052631578894</c:v>
                </c:pt>
                <c:pt idx="109">
                  <c:v>#N/A</c:v>
                </c:pt>
                <c:pt idx="110">
                  <c:v>#N/A</c:v>
                </c:pt>
                <c:pt idx="111">
                  <c:v>1.6769638128861564</c:v>
                </c:pt>
                <c:pt idx="112">
                  <c:v>#N/A</c:v>
                </c:pt>
                <c:pt idx="113">
                  <c:v>#N/A</c:v>
                </c:pt>
                <c:pt idx="114">
                  <c:v>1.9572953736654686</c:v>
                </c:pt>
                <c:pt idx="115">
                  <c:v>#N/A</c:v>
                </c:pt>
                <c:pt idx="116">
                  <c:v>#N/A</c:v>
                </c:pt>
                <c:pt idx="117">
                  <c:v>2.3318385650224149</c:v>
                </c:pt>
                <c:pt idx="118">
                  <c:v>#N/A</c:v>
                </c:pt>
                <c:pt idx="119">
                  <c:v>#N/A</c:v>
                </c:pt>
                <c:pt idx="120">
                  <c:v>2.2421524663677195</c:v>
                </c:pt>
                <c:pt idx="121">
                  <c:v>#N/A</c:v>
                </c:pt>
                <c:pt idx="122">
                  <c:v>#N/A</c:v>
                </c:pt>
                <c:pt idx="123">
                  <c:v>2.5339366515837014</c:v>
                </c:pt>
                <c:pt idx="124">
                  <c:v>#N/A</c:v>
                </c:pt>
                <c:pt idx="125">
                  <c:v>#N/A</c:v>
                </c:pt>
                <c:pt idx="126">
                  <c:v>2.836230558096986</c:v>
                </c:pt>
                <c:pt idx="127">
                  <c:v>#N/A</c:v>
                </c:pt>
                <c:pt idx="128">
                  <c:v>#N/A</c:v>
                </c:pt>
                <c:pt idx="129">
                  <c:v>3.0499075785582308</c:v>
                </c:pt>
                <c:pt idx="130">
                  <c:v>#N/A</c:v>
                </c:pt>
                <c:pt idx="131">
                  <c:v>#N/A</c:v>
                </c:pt>
                <c:pt idx="132">
                  <c:v>3.240740740740744</c:v>
                </c:pt>
                <c:pt idx="133">
                  <c:v>#N/A</c:v>
                </c:pt>
                <c:pt idx="134">
                  <c:v>#N/A</c:v>
                </c:pt>
                <c:pt idx="135">
                  <c:v>3.1746031746031855</c:v>
                </c:pt>
                <c:pt idx="136">
                  <c:v>#N/A</c:v>
                </c:pt>
                <c:pt idx="137">
                  <c:v>#N/A</c:v>
                </c:pt>
                <c:pt idx="138">
                  <c:v>3.1132075471698162</c:v>
                </c:pt>
                <c:pt idx="139">
                  <c:v>#N/A</c:v>
                </c:pt>
                <c:pt idx="140">
                  <c:v>#N/A</c:v>
                </c:pt>
                <c:pt idx="141">
                  <c:v>3.7392138063279123</c:v>
                </c:pt>
                <c:pt idx="142">
                  <c:v>#N/A</c:v>
                </c:pt>
                <c:pt idx="143">
                  <c:v>#N/A</c:v>
                </c:pt>
                <c:pt idx="144">
                  <c:v>3.6468330134356908</c:v>
                </c:pt>
                <c:pt idx="145">
                  <c:v>#N/A</c:v>
                </c:pt>
                <c:pt idx="146">
                  <c:v>#N/A</c:v>
                </c:pt>
                <c:pt idx="147">
                  <c:v>3.5783365570599468</c:v>
                </c:pt>
                <c:pt idx="148">
                  <c:v>#N/A</c:v>
                </c:pt>
                <c:pt idx="149">
                  <c:v>#N/A</c:v>
                </c:pt>
                <c:pt idx="150">
                  <c:v>3.515625</c:v>
                </c:pt>
                <c:pt idx="151">
                  <c:v>#N/A</c:v>
                </c:pt>
                <c:pt idx="152">
                  <c:v>#N/A</c:v>
                </c:pt>
                <c:pt idx="153">
                  <c:v>3.2673267326732702</c:v>
                </c:pt>
                <c:pt idx="154">
                  <c:v>#N/A</c:v>
                </c:pt>
                <c:pt idx="155">
                  <c:v>#N/A</c:v>
                </c:pt>
                <c:pt idx="156">
                  <c:v>3.5785288270377746</c:v>
                </c:pt>
                <c:pt idx="157">
                  <c:v>#N/A</c:v>
                </c:pt>
                <c:pt idx="158">
                  <c:v>#N/A</c:v>
                </c:pt>
                <c:pt idx="159">
                  <c:v>3.8152610441767099</c:v>
                </c:pt>
                <c:pt idx="160">
                  <c:v>#N/A</c:v>
                </c:pt>
                <c:pt idx="161">
                  <c:v>#N/A</c:v>
                </c:pt>
                <c:pt idx="162">
                  <c:v>3.5389282103134523</c:v>
                </c:pt>
                <c:pt idx="163">
                  <c:v>#N/A</c:v>
                </c:pt>
                <c:pt idx="164">
                  <c:v>#N/A</c:v>
                </c:pt>
                <c:pt idx="165">
                  <c:v>3.377686796315249</c:v>
                </c:pt>
                <c:pt idx="166">
                  <c:v>#N/A</c:v>
                </c:pt>
                <c:pt idx="167">
                  <c:v>#N/A</c:v>
                </c:pt>
                <c:pt idx="168">
                  <c:v>3.4979423868312765</c:v>
                </c:pt>
                <c:pt idx="169">
                  <c:v>#N/A</c:v>
                </c:pt>
                <c:pt idx="170">
                  <c:v>#N/A</c:v>
                </c:pt>
                <c:pt idx="171">
                  <c:v>4.1841004184100417</c:v>
                </c:pt>
                <c:pt idx="172">
                  <c:v>#N/A</c:v>
                </c:pt>
                <c:pt idx="173">
                  <c:v>#N/A</c:v>
                </c:pt>
                <c:pt idx="174">
                  <c:v>4.1052631578947452</c:v>
                </c:pt>
                <c:pt idx="175">
                  <c:v>#N/A</c:v>
                </c:pt>
                <c:pt idx="176">
                  <c:v>#N/A</c:v>
                </c:pt>
                <c:pt idx="177">
                  <c:v>3.715498938428885</c:v>
                </c:pt>
                <c:pt idx="178">
                  <c:v>#N/A</c:v>
                </c:pt>
                <c:pt idx="179">
                  <c:v>#N/A</c:v>
                </c:pt>
                <c:pt idx="180">
                  <c:v>3.1847133757961776</c:v>
                </c:pt>
                <c:pt idx="181">
                  <c:v>#N/A</c:v>
                </c:pt>
                <c:pt idx="182">
                  <c:v>#N/A</c:v>
                </c:pt>
                <c:pt idx="183">
                  <c:v>3.0172413793103425</c:v>
                </c:pt>
                <c:pt idx="184">
                  <c:v>#N/A</c:v>
                </c:pt>
                <c:pt idx="185">
                  <c:v>#N/A</c:v>
                </c:pt>
                <c:pt idx="186">
                  <c:v>3.598691384950925</c:v>
                </c:pt>
                <c:pt idx="187">
                  <c:v>#N/A</c:v>
                </c:pt>
                <c:pt idx="188">
                  <c:v>#N/A</c:v>
                </c:pt>
                <c:pt idx="189">
                  <c:v>3.0634573304157531</c:v>
                </c:pt>
                <c:pt idx="190">
                  <c:v>#N/A</c:v>
                </c:pt>
                <c:pt idx="191">
                  <c:v>#N/A</c:v>
                </c:pt>
                <c:pt idx="192">
                  <c:v>2.9508196721311553</c:v>
                </c:pt>
                <c:pt idx="193">
                  <c:v>#N/A</c:v>
                </c:pt>
                <c:pt idx="194">
                  <c:v>#N/A</c:v>
                </c:pt>
                <c:pt idx="195">
                  <c:v>0.65075921908892553</c:v>
                </c:pt>
                <c:pt idx="196">
                  <c:v>#N/A</c:v>
                </c:pt>
                <c:pt idx="197">
                  <c:v>#N/A</c:v>
                </c:pt>
                <c:pt idx="198">
                  <c:v>-0.10893246187363426</c:v>
                </c:pt>
                <c:pt idx="199">
                  <c:v>#N/A</c:v>
                </c:pt>
                <c:pt idx="200">
                  <c:v>#N/A</c:v>
                </c:pt>
                <c:pt idx="201">
                  <c:v>1.218161683277974</c:v>
                </c:pt>
                <c:pt idx="202">
                  <c:v>#N/A</c:v>
                </c:pt>
                <c:pt idx="203">
                  <c:v>#N/A</c:v>
                </c:pt>
                <c:pt idx="204">
                  <c:v>2.5784753363228718</c:v>
                </c:pt>
                <c:pt idx="205">
                  <c:v>#N/A</c:v>
                </c:pt>
                <c:pt idx="206">
                  <c:v>#N/A</c:v>
                </c:pt>
                <c:pt idx="207">
                  <c:v>4.6538024971623182</c:v>
                </c:pt>
                <c:pt idx="208">
                  <c:v>#N/A</c:v>
                </c:pt>
                <c:pt idx="209">
                  <c:v>#N/A</c:v>
                </c:pt>
                <c:pt idx="210">
                  <c:v>5.5172413793103336</c:v>
                </c:pt>
                <c:pt idx="211">
                  <c:v>#N/A</c:v>
                </c:pt>
                <c:pt idx="212">
                  <c:v>#N/A</c:v>
                </c:pt>
                <c:pt idx="213">
                  <c:v>5.2447552447552503</c:v>
                </c:pt>
                <c:pt idx="214">
                  <c:v>#N/A</c:v>
                </c:pt>
                <c:pt idx="215">
                  <c:v>#N/A</c:v>
                </c:pt>
                <c:pt idx="216">
                  <c:v>4.572098475967179</c:v>
                </c:pt>
                <c:pt idx="217">
                  <c:v>#N/A</c:v>
                </c:pt>
                <c:pt idx="218">
                  <c:v>#N/A</c:v>
                </c:pt>
                <c:pt idx="219">
                  <c:v>4.0141676505312862</c:v>
                </c:pt>
                <c:pt idx="220">
                  <c:v>#N/A</c:v>
                </c:pt>
                <c:pt idx="221">
                  <c:v>#N/A</c:v>
                </c:pt>
                <c:pt idx="222">
                  <c:v>3.4482758620689724</c:v>
                </c:pt>
                <c:pt idx="223">
                  <c:v>#N/A</c:v>
                </c:pt>
                <c:pt idx="224">
                  <c:v>#N/A</c:v>
                </c:pt>
                <c:pt idx="225">
                  <c:v>3.0012004801920789</c:v>
                </c:pt>
                <c:pt idx="226">
                  <c:v>#N/A</c:v>
                </c:pt>
                <c:pt idx="227">
                  <c:v>#N/A</c:v>
                </c:pt>
                <c:pt idx="228">
                  <c:v>3.0193236714975757</c:v>
                </c:pt>
                <c:pt idx="229">
                  <c:v>#N/A</c:v>
                </c:pt>
                <c:pt idx="230">
                  <c:v>#N/A</c:v>
                </c:pt>
                <c:pt idx="231">
                  <c:v>3.4188034188034067</c:v>
                </c:pt>
                <c:pt idx="232">
                  <c:v>#N/A</c:v>
                </c:pt>
                <c:pt idx="233">
                  <c:v>#N/A</c:v>
                </c:pt>
                <c:pt idx="234">
                  <c:v>3.4440344403444012</c:v>
                </c:pt>
                <c:pt idx="235">
                  <c:v>#N/A</c:v>
                </c:pt>
                <c:pt idx="236">
                  <c:v>#N/A</c:v>
                </c:pt>
                <c:pt idx="237">
                  <c:v>3.0940594059405857</c:v>
                </c:pt>
                <c:pt idx="238">
                  <c:v>#N/A</c:v>
                </c:pt>
                <c:pt idx="239">
                  <c:v>#N/A</c:v>
                </c:pt>
                <c:pt idx="240">
                  <c:v>2.4752475247524774</c:v>
                </c:pt>
                <c:pt idx="241">
                  <c:v>#N/A</c:v>
                </c:pt>
                <c:pt idx="242">
                  <c:v>#N/A</c:v>
                </c:pt>
                <c:pt idx="243">
                  <c:v>2.8894472361809198</c:v>
                </c:pt>
                <c:pt idx="244">
                  <c:v>#N/A</c:v>
                </c:pt>
                <c:pt idx="245">
                  <c:v>#N/A</c:v>
                </c:pt>
                <c:pt idx="246">
                  <c:v>2.7812895069532217</c:v>
                </c:pt>
                <c:pt idx="247">
                  <c:v>#N/A</c:v>
                </c:pt>
                <c:pt idx="248">
                  <c:v>#N/A</c:v>
                </c:pt>
                <c:pt idx="249">
                  <c:v>3.0612244897959107</c:v>
                </c:pt>
                <c:pt idx="250">
                  <c:v>#N/A</c:v>
                </c:pt>
                <c:pt idx="251">
                  <c:v>#N/A</c:v>
                </c:pt>
                <c:pt idx="252">
                  <c:v>3.8560411311054033</c:v>
                </c:pt>
                <c:pt idx="253">
                  <c:v>#N/A</c:v>
                </c:pt>
                <c:pt idx="254">
                  <c:v>#N/A</c:v>
                </c:pt>
                <c:pt idx="255">
                  <c:v>3.2425421530480003</c:v>
                </c:pt>
                <c:pt idx="256">
                  <c:v>#N/A</c:v>
                </c:pt>
                <c:pt idx="257">
                  <c:v>#N/A</c:v>
                </c:pt>
                <c:pt idx="258">
                  <c:v>3.2637075718015662</c:v>
                </c:pt>
                <c:pt idx="259">
                  <c:v>#N/A</c:v>
                </c:pt>
                <c:pt idx="260">
                  <c:v>#N/A</c:v>
                </c:pt>
                <c:pt idx="261">
                  <c:v>3.8410596026490218</c:v>
                </c:pt>
                <c:pt idx="262">
                  <c:v>#N/A</c:v>
                </c:pt>
                <c:pt idx="263">
                  <c:v>#N/A</c:v>
                </c:pt>
                <c:pt idx="264">
                  <c:v>3.5952063914780341</c:v>
                </c:pt>
                <c:pt idx="265">
                  <c:v>#N/A</c:v>
                </c:pt>
                <c:pt idx="266">
                  <c:v>#N/A</c:v>
                </c:pt>
                <c:pt idx="267">
                  <c:v>3.6290322580645018</c:v>
                </c:pt>
                <c:pt idx="268">
                  <c:v>#N/A</c:v>
                </c:pt>
                <c:pt idx="269">
                  <c:v>#N/A</c:v>
                </c:pt>
                <c:pt idx="270">
                  <c:v>3.7940379403794022</c:v>
                </c:pt>
                <c:pt idx="271">
                  <c:v>#N/A</c:v>
                </c:pt>
                <c:pt idx="272">
                  <c:v>#N/A</c:v>
                </c:pt>
                <c:pt idx="273">
                  <c:v>3.8514442916093516</c:v>
                </c:pt>
                <c:pt idx="274">
                  <c:v>#N/A</c:v>
                </c:pt>
                <c:pt idx="275">
                  <c:v>#N/A</c:v>
                </c:pt>
                <c:pt idx="276">
                  <c:v>4.3055555555555403</c:v>
                </c:pt>
                <c:pt idx="277">
                  <c:v>#N/A</c:v>
                </c:pt>
                <c:pt idx="278">
                  <c:v>#N/A</c:v>
                </c:pt>
                <c:pt idx="279">
                  <c:v>4.788732394366213</c:v>
                </c:pt>
                <c:pt idx="280">
                  <c:v>#N/A</c:v>
                </c:pt>
                <c:pt idx="281">
                  <c:v>#N/A</c:v>
                </c:pt>
                <c:pt idx="282">
                  <c:v>4.9786628733997196</c:v>
                </c:pt>
                <c:pt idx="283">
                  <c:v>#N/A</c:v>
                </c:pt>
                <c:pt idx="284">
                  <c:v>#N/A</c:v>
                </c:pt>
                <c:pt idx="285">
                  <c:v>4.4540229885057681</c:v>
                </c:pt>
                <c:pt idx="286">
                  <c:v>#N/A</c:v>
                </c:pt>
                <c:pt idx="287">
                  <c:v>#N/A</c:v>
                </c:pt>
                <c:pt idx="288">
                  <c:v>3.4482758620689724</c:v>
                </c:pt>
                <c:pt idx="289">
                  <c:v>#N/A</c:v>
                </c:pt>
                <c:pt idx="290">
                  <c:v>#N/A</c:v>
                </c:pt>
                <c:pt idx="291">
                  <c:v>2.7496382054992941</c:v>
                </c:pt>
                <c:pt idx="292">
                  <c:v>#N/A</c:v>
                </c:pt>
                <c:pt idx="293">
                  <c:v>#N/A</c:v>
                </c:pt>
                <c:pt idx="294">
                  <c:v>2.0319303338171224</c:v>
                </c:pt>
                <c:pt idx="295">
                  <c:v>#N/A</c:v>
                </c:pt>
                <c:pt idx="296">
                  <c:v>#N/A</c:v>
                </c:pt>
                <c:pt idx="297">
                  <c:v>6.0975609756097615</c:v>
                </c:pt>
                <c:pt idx="298">
                  <c:v>#N/A</c:v>
                </c:pt>
                <c:pt idx="299">
                  <c:v>#N/A</c:v>
                </c:pt>
                <c:pt idx="300">
                  <c:v>6.9124423963133674</c:v>
                </c:pt>
                <c:pt idx="301">
                  <c:v>#N/A</c:v>
                </c:pt>
                <c:pt idx="302">
                  <c:v>#N/A</c:v>
                </c:pt>
                <c:pt idx="303">
                  <c:v>7.1317829457364201</c:v>
                </c:pt>
                <c:pt idx="304">
                  <c:v>#N/A</c:v>
                </c:pt>
                <c:pt idx="305">
                  <c:v>#N/A</c:v>
                </c:pt>
                <c:pt idx="306">
                  <c:v>7.6562500000000089</c:v>
                </c:pt>
                <c:pt idx="307">
                  <c:v>#N/A</c:v>
                </c:pt>
                <c:pt idx="308">
                  <c:v>#N/A</c:v>
                </c:pt>
                <c:pt idx="309">
                  <c:v>3.4700315457413256</c:v>
                </c:pt>
                <c:pt idx="310">
                  <c:v>#N/A</c:v>
                </c:pt>
                <c:pt idx="311">
                  <c:v>#N/A</c:v>
                </c:pt>
                <c:pt idx="312">
                  <c:v>2.6813880126182799</c:v>
                </c:pt>
                <c:pt idx="313">
                  <c:v>#N/A</c:v>
                </c:pt>
                <c:pt idx="314">
                  <c:v>#N/A</c:v>
                </c:pt>
                <c:pt idx="315">
                  <c:v>1.2558869701726705</c:v>
                </c:pt>
                <c:pt idx="316">
                  <c:v>#N/A</c:v>
                </c:pt>
                <c:pt idx="317">
                  <c:v>#N/A</c:v>
                </c:pt>
                <c:pt idx="318">
                  <c:v>0.94637223974762819</c:v>
                </c:pt>
                <c:pt idx="319">
                  <c:v>#N/A</c:v>
                </c:pt>
                <c:pt idx="320">
                  <c:v>#N/A</c:v>
                </c:pt>
                <c:pt idx="321">
                  <c:v>0.15797788309637184</c:v>
                </c:pt>
                <c:pt idx="322">
                  <c:v>#N/A</c:v>
                </c:pt>
                <c:pt idx="323">
                  <c:v>#N/A</c:v>
                </c:pt>
                <c:pt idx="324">
                  <c:v>1.1164274322168932</c:v>
                </c:pt>
                <c:pt idx="325">
                  <c:v>#N/A</c:v>
                </c:pt>
                <c:pt idx="326">
                  <c:v>#N/A</c:v>
                </c:pt>
                <c:pt idx="327">
                  <c:v>1.4331210191082855</c:v>
                </c:pt>
                <c:pt idx="328">
                  <c:v>#N/A</c:v>
                </c:pt>
                <c:pt idx="329">
                  <c:v>#N/A</c:v>
                </c:pt>
                <c:pt idx="330">
                  <c:v>0.95541401273886439</c:v>
                </c:pt>
                <c:pt idx="331">
                  <c:v>#N/A</c:v>
                </c:pt>
                <c:pt idx="332">
                  <c:v>#N/A</c:v>
                </c:pt>
                <c:pt idx="333">
                  <c:v>0.15822784810126667</c:v>
                </c:pt>
                <c:pt idx="334">
                  <c:v>#N/A</c:v>
                </c:pt>
                <c:pt idx="335">
                  <c:v>#N/A</c:v>
                </c:pt>
                <c:pt idx="336">
                  <c:v>-1.4150943396226356</c:v>
                </c:pt>
                <c:pt idx="337">
                  <c:v>#N/A</c:v>
                </c:pt>
                <c:pt idx="338">
                  <c:v>#N/A</c:v>
                </c:pt>
                <c:pt idx="339">
                  <c:v>-0.94637223974763929</c:v>
                </c:pt>
                <c:pt idx="340">
                  <c:v>#N/A</c:v>
                </c:pt>
                <c:pt idx="341">
                  <c:v>#N/A</c:v>
                </c:pt>
                <c:pt idx="342">
                  <c:v>-0.94637223974763929</c:v>
                </c:pt>
                <c:pt idx="343">
                  <c:v>#N/A</c:v>
                </c:pt>
                <c:pt idx="344">
                  <c:v>#N/A</c:v>
                </c:pt>
                <c:pt idx="345">
                  <c:v>0</c:v>
                </c:pt>
                <c:pt idx="346">
                  <c:v>#N/A</c:v>
                </c:pt>
                <c:pt idx="347">
                  <c:v>#N/A</c:v>
                </c:pt>
                <c:pt idx="348">
                  <c:v>0.63291139240506666</c:v>
                </c:pt>
                <c:pt idx="349">
                  <c:v>#N/A</c:v>
                </c:pt>
                <c:pt idx="350">
                  <c:v>#N/A</c:v>
                </c:pt>
                <c:pt idx="351">
                  <c:v>0</c:v>
                </c:pt>
                <c:pt idx="352">
                  <c:v>#N/A</c:v>
                </c:pt>
                <c:pt idx="353">
                  <c:v>#N/A</c:v>
                </c:pt>
                <c:pt idx="354">
                  <c:v>0.95541401273886439</c:v>
                </c:pt>
                <c:pt idx="355">
                  <c:v>#N/A</c:v>
                </c:pt>
                <c:pt idx="356">
                  <c:v>#N/A</c:v>
                </c:pt>
                <c:pt idx="357">
                  <c:v>1.1200000000000099</c:v>
                </c:pt>
                <c:pt idx="358">
                  <c:v>#N/A</c:v>
                </c:pt>
                <c:pt idx="359">
                  <c:v>#N/A</c:v>
                </c:pt>
                <c:pt idx="360">
                  <c:v>2.265372168284796</c:v>
                </c:pt>
                <c:pt idx="361">
                  <c:v>#N/A</c:v>
                </c:pt>
                <c:pt idx="362">
                  <c:v>#N/A</c:v>
                </c:pt>
                <c:pt idx="363">
                  <c:v>5.4908485856905109</c:v>
                </c:pt>
                <c:pt idx="364">
                  <c:v>#N/A</c:v>
                </c:pt>
                <c:pt idx="365">
                  <c:v>#N/A</c:v>
                </c:pt>
                <c:pt idx="366">
                  <c:v>6.0810810810810745</c:v>
                </c:pt>
                <c:pt idx="367">
                  <c:v>#N/A</c:v>
                </c:pt>
                <c:pt idx="368">
                  <c:v>#N/A</c:v>
                </c:pt>
                <c:pt idx="369">
                  <c:v>6.2925170068027336</c:v>
                </c:pt>
                <c:pt idx="370">
                  <c:v>#N/A</c:v>
                </c:pt>
                <c:pt idx="371">
                  <c:v>#N/A</c:v>
                </c:pt>
                <c:pt idx="372">
                  <c:v>5.4607508532423132</c:v>
                </c:pt>
                <c:pt idx="373">
                  <c:v>#N/A</c:v>
                </c:pt>
                <c:pt idx="374">
                  <c:v>#N/A</c:v>
                </c:pt>
                <c:pt idx="375">
                  <c:v>3.0874785591766818</c:v>
                </c:pt>
                <c:pt idx="376">
                  <c:v>#N/A</c:v>
                </c:pt>
                <c:pt idx="377">
                  <c:v>#N/A</c:v>
                </c:pt>
                <c:pt idx="378">
                  <c:v>1.7182130584192379</c:v>
                </c:pt>
                <c:pt idx="379">
                  <c:v>#N/A</c:v>
                </c:pt>
                <c:pt idx="380">
                  <c:v>#N/A</c:v>
                </c:pt>
                <c:pt idx="381">
                  <c:v>0.68493150684931781</c:v>
                </c:pt>
                <c:pt idx="382">
                  <c:v>#N/A</c:v>
                </c:pt>
                <c:pt idx="383">
                  <c:v>#N/A</c:v>
                </c:pt>
                <c:pt idx="384">
                  <c:v>1.0344827586207028</c:v>
                </c:pt>
                <c:pt idx="385">
                  <c:v>#N/A</c:v>
                </c:pt>
                <c:pt idx="386">
                  <c:v>#N/A</c:v>
                </c:pt>
                <c:pt idx="387">
                  <c:v>1.7452006980802848</c:v>
                </c:pt>
                <c:pt idx="388">
                  <c:v>#N/A</c:v>
                </c:pt>
                <c:pt idx="389">
                  <c:v>#N/A</c:v>
                </c:pt>
                <c:pt idx="390">
                  <c:v>1.3937282229965264</c:v>
                </c:pt>
                <c:pt idx="391">
                  <c:v>#N/A</c:v>
                </c:pt>
                <c:pt idx="392">
                  <c:v>#N/A</c:v>
                </c:pt>
                <c:pt idx="393">
                  <c:v>0.86355785837650689</c:v>
                </c:pt>
                <c:pt idx="394">
                  <c:v>#N/A</c:v>
                </c:pt>
                <c:pt idx="395">
                  <c:v>#N/A</c:v>
                </c:pt>
                <c:pt idx="396">
                  <c:v>-1.3605442176870652</c:v>
                </c:pt>
                <c:pt idx="397">
                  <c:v>#N/A</c:v>
                </c:pt>
                <c:pt idx="398">
                  <c:v>#N/A</c:v>
                </c:pt>
                <c:pt idx="399">
                  <c:v>-2.7164685908319219</c:v>
                </c:pt>
                <c:pt idx="400">
                  <c:v>#N/A</c:v>
                </c:pt>
                <c:pt idx="401">
                  <c:v>#N/A</c:v>
                </c:pt>
                <c:pt idx="402">
                  <c:v>-1.3745704467354014</c:v>
                </c:pt>
                <c:pt idx="403">
                  <c:v>#N/A</c:v>
                </c:pt>
                <c:pt idx="404">
                  <c:v>#N/A</c:v>
                </c:pt>
                <c:pt idx="405">
                  <c:v>-0.17241379310345417</c:v>
                </c:pt>
                <c:pt idx="406">
                  <c:v>#N/A</c:v>
                </c:pt>
                <c:pt idx="407">
                  <c:v>#N/A</c:v>
                </c:pt>
                <c:pt idx="408">
                  <c:v>1.730103806228378</c:v>
                </c:pt>
                <c:pt idx="409">
                  <c:v>#N/A</c:v>
                </c:pt>
                <c:pt idx="410">
                  <c:v>#N/A</c:v>
                </c:pt>
                <c:pt idx="411">
                  <c:v>1.7271157167530138</c:v>
                </c:pt>
                <c:pt idx="412">
                  <c:v>#N/A</c:v>
                </c:pt>
                <c:pt idx="413">
                  <c:v>#N/A</c:v>
                </c:pt>
                <c:pt idx="414">
                  <c:v>3.7433155080213831</c:v>
                </c:pt>
                <c:pt idx="415">
                  <c:v>#N/A</c:v>
                </c:pt>
                <c:pt idx="416">
                  <c:v>#N/A</c:v>
                </c:pt>
                <c:pt idx="417">
                  <c:v>4.1292639138240439</c:v>
                </c:pt>
                <c:pt idx="418">
                  <c:v>#N/A</c:v>
                </c:pt>
                <c:pt idx="419">
                  <c:v>#N/A</c:v>
                </c:pt>
                <c:pt idx="420">
                  <c:v>5.6672760511882858</c:v>
                </c:pt>
                <c:pt idx="421">
                  <c:v>#N/A</c:v>
                </c:pt>
                <c:pt idx="422">
                  <c:v>#N/A</c:v>
                </c:pt>
                <c:pt idx="423">
                  <c:v>8.6303939962476548</c:v>
                </c:pt>
                <c:pt idx="424">
                  <c:v>#N/A</c:v>
                </c:pt>
                <c:pt idx="425">
                  <c:v>#N/A</c:v>
                </c:pt>
                <c:pt idx="426">
                  <c:v>7.8846153846153788</c:v>
                </c:pt>
                <c:pt idx="427">
                  <c:v>#N/A</c:v>
                </c:pt>
                <c:pt idx="428">
                  <c:v>#N/A</c:v>
                </c:pt>
                <c:pt idx="429">
                  <c:v>10.515873015873023</c:v>
                </c:pt>
                <c:pt idx="430">
                  <c:v>#N/A</c:v>
                </c:pt>
                <c:pt idx="431">
                  <c:v>#N/A</c:v>
                </c:pt>
                <c:pt idx="432">
                  <c:v>11.632653061224495</c:v>
                </c:pt>
                <c:pt idx="433">
                  <c:v>#N/A</c:v>
                </c:pt>
                <c:pt idx="434">
                  <c:v>#N/A</c:v>
                </c:pt>
                <c:pt idx="435">
                  <c:v>#N/A</c:v>
                </c:pt>
                <c:pt idx="436">
                  <c:v>#N/A</c:v>
                </c:pt>
                <c:pt idx="437">
                  <c:v>#N/A</c:v>
                </c:pt>
                <c:pt idx="438">
                  <c:v>#N/A</c:v>
                </c:pt>
                <c:pt idx="439">
                  <c:v>#N/A</c:v>
                </c:pt>
                <c:pt idx="440">
                  <c:v>#N/A</c:v>
                </c:pt>
                <c:pt idx="441">
                  <c:v>#N/A</c:v>
                </c:pt>
                <c:pt idx="442">
                  <c:v>#N/A</c:v>
                </c:pt>
                <c:pt idx="443">
                  <c:v>#N/A</c:v>
                </c:pt>
                <c:pt idx="444">
                  <c:v>#N/A</c:v>
                </c:pt>
                <c:pt idx="445">
                  <c:v>#N/A</c:v>
                </c:pt>
                <c:pt idx="446">
                  <c:v>#N/A</c:v>
                </c:pt>
                <c:pt idx="447">
                  <c:v>#N/A</c:v>
                </c:pt>
                <c:pt idx="448">
                  <c:v>#N/A</c:v>
                </c:pt>
                <c:pt idx="449">
                  <c:v>#N/A</c:v>
                </c:pt>
                <c:pt idx="450">
                  <c:v>#N/A</c:v>
                </c:pt>
                <c:pt idx="451">
                  <c:v>#N/A</c:v>
                </c:pt>
                <c:pt idx="452">
                  <c:v>#N/A</c:v>
                </c:pt>
                <c:pt idx="453">
                  <c:v>#N/A</c:v>
                </c:pt>
                <c:pt idx="454">
                  <c:v>#N/A</c:v>
                </c:pt>
                <c:pt idx="455">
                  <c:v>#N/A</c:v>
                </c:pt>
                <c:pt idx="456">
                  <c:v>#N/A</c:v>
                </c:pt>
                <c:pt idx="457">
                  <c:v>#N/A</c:v>
                </c:pt>
                <c:pt idx="458">
                  <c:v>#N/A</c:v>
                </c:pt>
                <c:pt idx="459">
                  <c:v>#N/A</c:v>
                </c:pt>
                <c:pt idx="460">
                  <c:v>#N/A</c:v>
                </c:pt>
                <c:pt idx="461">
                  <c:v>#N/A</c:v>
                </c:pt>
                <c:pt idx="462">
                  <c:v>#N/A</c:v>
                </c:pt>
                <c:pt idx="463">
                  <c:v>#N/A</c:v>
                </c:pt>
                <c:pt idx="464">
                  <c:v>#N/A</c:v>
                </c:pt>
              </c:numCache>
            </c:numRef>
          </c:val>
          <c:smooth val="0"/>
          <c:extLst>
            <c:ext xmlns:c16="http://schemas.microsoft.com/office/drawing/2014/chart" uri="{C3380CC4-5D6E-409C-BE32-E72D297353CC}">
              <c16:uniqueId val="{00000003-7073-4E80-89C5-7D5C2C84AB48}"/>
            </c:ext>
          </c:extLst>
        </c:ser>
        <c:dLbls>
          <c:showLegendKey val="0"/>
          <c:showVal val="0"/>
          <c:showCatName val="0"/>
          <c:showSerName val="0"/>
          <c:showPercent val="0"/>
          <c:showBubbleSize val="0"/>
        </c:dLbls>
        <c:smooth val="0"/>
        <c:axId val="2106852656"/>
        <c:axId val="2106853016"/>
      </c:lineChart>
      <c:dateAx>
        <c:axId val="2106852656"/>
        <c:scaling>
          <c:orientation val="minMax"/>
          <c:min val="42370"/>
        </c:scaling>
        <c:delete val="0"/>
        <c:axPos val="b"/>
        <c:numFmt formatCode="yyyy" sourceLinked="0"/>
        <c:majorTickMark val="out"/>
        <c:minorTickMark val="none"/>
        <c:tickLblPos val="low"/>
        <c:spPr>
          <a:noFill/>
          <a:ln w="9525" cap="flat" cmpd="sng" algn="ctr">
            <a:solidFill>
              <a:srgbClr val="000000"/>
            </a:solidFill>
            <a:round/>
          </a:ln>
          <a:effectLst/>
        </c:spPr>
        <c:txPr>
          <a:bodyPr rot="0" spcFirstLastPara="1" vertOverflow="ellipsis" wrap="square" anchor="ctr" anchorCtr="1"/>
          <a:lstStyle/>
          <a:p>
            <a:pPr>
              <a:defRPr sz="1000" b="0" i="0" u="none" strike="noStrike" kern="1200" baseline="0">
                <a:solidFill>
                  <a:schemeClr val="tx1">
                    <a:lumMod val="65000"/>
                    <a:lumOff val="35000"/>
                  </a:schemeClr>
                </a:solidFill>
                <a:latin typeface="Calibri" panose="020F0502020204030204" pitchFamily="34" charset="0"/>
                <a:ea typeface="+mn-ea"/>
                <a:cs typeface="+mn-cs"/>
              </a:defRPr>
            </a:pPr>
            <a:endParaRPr lang="en-US"/>
          </a:p>
        </c:txPr>
        <c:crossAx val="2106853016"/>
        <c:crosses val="autoZero"/>
        <c:auto val="1"/>
        <c:lblOffset val="100"/>
        <c:baseTimeUnit val="months"/>
        <c:majorUnit val="2"/>
        <c:majorTimeUnit val="years"/>
        <c:minorUnit val="1"/>
        <c:minorTimeUnit val="years"/>
      </c:dateAx>
      <c:valAx>
        <c:axId val="2106853016"/>
        <c:scaling>
          <c:orientation val="minMax"/>
          <c:max val="10"/>
          <c:min val="-2"/>
        </c:scaling>
        <c:delete val="0"/>
        <c:axPos val="l"/>
        <c:majorGridlines>
          <c:spPr>
            <a:ln w="9525" cap="flat" cmpd="sng" algn="ctr">
              <a:solidFill>
                <a:srgbClr val="A6A6A6"/>
              </a:solidFill>
              <a:prstDash val="dash"/>
              <a:round/>
            </a:ln>
            <a:effectLst/>
          </c:spPr>
        </c:majorGridlines>
        <c:title>
          <c:tx>
            <c:rich>
              <a:bodyPr rot="-5400000" spcFirstLastPara="1" vertOverflow="ellipsis" vert="horz" wrap="square" anchor="ctr" anchorCtr="1"/>
              <a:lstStyle/>
              <a:p>
                <a:pPr>
                  <a:defRPr sz="1000" b="0" i="1" u="none" strike="noStrike" kern="1200" baseline="0">
                    <a:solidFill>
                      <a:schemeClr val="tx1">
                        <a:lumMod val="65000"/>
                        <a:lumOff val="35000"/>
                      </a:schemeClr>
                    </a:solidFill>
                    <a:latin typeface="Calibri"/>
                    <a:ea typeface="Calibri"/>
                    <a:cs typeface="Calibri"/>
                  </a:defRPr>
                </a:pPr>
                <a:r>
                  <a:rPr lang="en-AU"/>
                  <a:t>per cent</a:t>
                </a:r>
              </a:p>
            </c:rich>
          </c:tx>
          <c:overlay val="0"/>
          <c:spPr>
            <a:noFill/>
            <a:ln>
              <a:noFill/>
            </a:ln>
            <a:effectLst/>
          </c:spPr>
          <c:txPr>
            <a:bodyPr rot="-5400000" spcFirstLastPara="1" vertOverflow="ellipsis" vert="horz" wrap="square" anchor="ctr" anchorCtr="1"/>
            <a:lstStyle/>
            <a:p>
              <a:pPr>
                <a:defRPr sz="1000" b="0" i="1" u="none" strike="noStrike" kern="1200" baseline="0">
                  <a:solidFill>
                    <a:schemeClr val="tx1">
                      <a:lumMod val="65000"/>
                      <a:lumOff val="35000"/>
                    </a:schemeClr>
                  </a:solidFill>
                  <a:latin typeface="Calibri"/>
                  <a:ea typeface="Calibri"/>
                  <a:cs typeface="Calibri"/>
                </a:defRPr>
              </a:pPr>
              <a:endParaRPr lang="en-US"/>
            </a:p>
          </c:txPr>
        </c:title>
        <c:numFmt formatCode="###\ ###\ ##0" sourceLinked="0"/>
        <c:majorTickMark val="none"/>
        <c:minorTickMark val="none"/>
        <c:tickLblPos val="nextTo"/>
        <c:spPr>
          <a:noFill/>
          <a:ln w="9525">
            <a:solidFill>
              <a:schemeClr val="tx1"/>
            </a:solid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Calibri" panose="020F0502020204030204" pitchFamily="34" charset="0"/>
                <a:ea typeface="+mn-ea"/>
                <a:cs typeface="+mn-cs"/>
              </a:defRPr>
            </a:pPr>
            <a:endParaRPr lang="en-US"/>
          </a:p>
        </c:txPr>
        <c:crossAx val="2106852656"/>
        <c:crosses val="autoZero"/>
        <c:crossBetween val="midCat"/>
      </c:valAx>
      <c:spPr>
        <a:noFill/>
        <a:ln>
          <a:noFill/>
        </a:ln>
        <a:effectLst/>
        <a:extLst>
          <a:ext uri="{909E8E84-426E-40DD-AFC4-6F175D3DCCD1}">
            <a14:hiddenFill xmlns:a14="http://schemas.microsoft.com/office/drawing/2010/main">
              <a:noFill/>
            </a14:hiddenFill>
          </a:ext>
        </a:extLst>
      </c:spPr>
    </c:plotArea>
    <c:legend>
      <c:legendPos val="b"/>
      <c:layout>
        <c:manualLayout>
          <c:xMode val="edge"/>
          <c:yMode val="edge"/>
          <c:x val="0"/>
          <c:y val="0.87692820312354569"/>
          <c:w val="1"/>
          <c:h val="0.10415926732562684"/>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Calibri" panose="020F0502020204030204" pitchFamily="34" charset="0"/>
              <a:ea typeface="+mn-ea"/>
              <a:cs typeface="+mn-cs"/>
            </a:defRPr>
          </a:pPr>
          <a:endParaRPr lang="en-US"/>
        </a:p>
      </c:txPr>
    </c:legend>
    <c:plotVisOnly val="1"/>
    <c:dispBlanksAs val="span"/>
    <c:showDLblsOverMax val="0"/>
    <c:extLst>
      <c:ext xmlns:c16r3="http://schemas.microsoft.com/office/drawing/2017/03/chart" uri="{56B9EC1D-385E-4148-901F-78D8002777C0}">
        <c16r3:dataDisplayOptions16>
          <c16r3:dispNaAsBlank val="1"/>
        </c16r3:dataDisplayOptions16>
      </c:ext>
    </c:extLst>
  </c:chart>
  <c:spPr>
    <a:noFill/>
    <a:ln w="9525" cap="flat" cmpd="sng" algn="ctr">
      <a:noFill/>
      <a:round/>
    </a:ln>
    <a:effectLst/>
    <a:extLst>
      <a:ext uri="{909E8E84-426E-40DD-AFC4-6F175D3DCCD1}">
        <a14:hiddenFill xmlns:a14="http://schemas.microsoft.com/office/drawing/2010/main">
          <a:solidFill>
            <a:sysClr val="window" lastClr="FFFFFF"/>
          </a:solidFill>
        </a14:hiddenFill>
      </a:ext>
      <a:ext uri="{91240B29-F687-4F45-9708-019B960494DF}">
        <a14:hiddenLine xmlns:a14="http://schemas.microsoft.com/office/drawing/2010/main" w="9525" cap="flat" cmpd="sng" algn="ctr">
          <a:solidFill>
            <a:sysClr val="windowText" lastClr="000000">
              <a:lumMod val="15000"/>
              <a:lumOff val="85000"/>
            </a:sysClr>
          </a:solidFill>
          <a:round/>
        </a14:hiddenLine>
      </a:ext>
    </a:extLst>
  </c:spPr>
  <c:txPr>
    <a:bodyPr/>
    <a:lstStyle/>
    <a:p>
      <a:pPr>
        <a:defRPr sz="900">
          <a:latin typeface="Calibri" panose="020F0502020204030204" pitchFamily="34" charset="0"/>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520812908496731"/>
          <c:y val="4.8976300659094099E-2"/>
          <c:w val="0.84625837418300642"/>
          <c:h val="0.74588697237414103"/>
        </c:manualLayout>
      </c:layout>
      <c:barChart>
        <c:barDir val="col"/>
        <c:grouping val="stacked"/>
        <c:varyColors val="0"/>
        <c:ser>
          <c:idx val="0"/>
          <c:order val="0"/>
          <c:tx>
            <c:v>Population growth</c:v>
          </c:tx>
          <c:spPr>
            <a:solidFill>
              <a:schemeClr val="tx1">
                <a:lumMod val="95000"/>
                <a:lumOff val="5000"/>
              </a:schemeClr>
            </a:solidFill>
            <a:ln>
              <a:noFill/>
            </a:ln>
            <a:effectLst/>
          </c:spPr>
          <c:invertIfNegative val="0"/>
          <c:cat>
            <c:numRef>
              <c:f>'Chart 2.15 data'!$S$25:$S$107</c:f>
              <c:numCache>
                <c:formatCode>mmm"-"yyyy</c:formatCode>
                <c:ptCount val="83"/>
                <c:pt idx="0">
                  <c:v>45930</c:v>
                </c:pt>
                <c:pt idx="1">
                  <c:v>45838</c:v>
                </c:pt>
                <c:pt idx="2">
                  <c:v>45747</c:v>
                </c:pt>
                <c:pt idx="3">
                  <c:v>45657</c:v>
                </c:pt>
                <c:pt idx="4">
                  <c:v>45565</c:v>
                </c:pt>
                <c:pt idx="5">
                  <c:v>45473</c:v>
                </c:pt>
                <c:pt idx="6">
                  <c:v>45382</c:v>
                </c:pt>
                <c:pt idx="7">
                  <c:v>45291</c:v>
                </c:pt>
                <c:pt idx="8">
                  <c:v>45199</c:v>
                </c:pt>
                <c:pt idx="9">
                  <c:v>45107</c:v>
                </c:pt>
                <c:pt idx="10">
                  <c:v>45016</c:v>
                </c:pt>
                <c:pt idx="11">
                  <c:v>44926</c:v>
                </c:pt>
                <c:pt idx="12">
                  <c:v>44834</c:v>
                </c:pt>
                <c:pt idx="13">
                  <c:v>44742</c:v>
                </c:pt>
                <c:pt idx="14">
                  <c:v>44651</c:v>
                </c:pt>
                <c:pt idx="15">
                  <c:v>44561</c:v>
                </c:pt>
                <c:pt idx="16">
                  <c:v>44469</c:v>
                </c:pt>
                <c:pt idx="17">
                  <c:v>44377</c:v>
                </c:pt>
                <c:pt idx="18">
                  <c:v>44286</c:v>
                </c:pt>
                <c:pt idx="19">
                  <c:v>44196</c:v>
                </c:pt>
                <c:pt idx="20">
                  <c:v>44104</c:v>
                </c:pt>
                <c:pt idx="21">
                  <c:v>44012</c:v>
                </c:pt>
                <c:pt idx="22">
                  <c:v>43921</c:v>
                </c:pt>
                <c:pt idx="23">
                  <c:v>43830</c:v>
                </c:pt>
                <c:pt idx="24">
                  <c:v>43738</c:v>
                </c:pt>
                <c:pt idx="25">
                  <c:v>43646</c:v>
                </c:pt>
                <c:pt idx="26">
                  <c:v>43555</c:v>
                </c:pt>
                <c:pt idx="27">
                  <c:v>43465</c:v>
                </c:pt>
                <c:pt idx="28">
                  <c:v>43373</c:v>
                </c:pt>
                <c:pt idx="29">
                  <c:v>43281</c:v>
                </c:pt>
                <c:pt idx="30">
                  <c:v>43190</c:v>
                </c:pt>
                <c:pt idx="31">
                  <c:v>43100</c:v>
                </c:pt>
                <c:pt idx="32">
                  <c:v>43008</c:v>
                </c:pt>
                <c:pt idx="33">
                  <c:v>42916</c:v>
                </c:pt>
                <c:pt idx="34">
                  <c:v>42825</c:v>
                </c:pt>
                <c:pt idx="35">
                  <c:v>42735</c:v>
                </c:pt>
                <c:pt idx="36">
                  <c:v>42643</c:v>
                </c:pt>
                <c:pt idx="37">
                  <c:v>42551</c:v>
                </c:pt>
                <c:pt idx="38">
                  <c:v>42460</c:v>
                </c:pt>
                <c:pt idx="39">
                  <c:v>42369</c:v>
                </c:pt>
                <c:pt idx="40">
                  <c:v>42277</c:v>
                </c:pt>
                <c:pt idx="41">
                  <c:v>42185</c:v>
                </c:pt>
                <c:pt idx="42">
                  <c:v>42094</c:v>
                </c:pt>
                <c:pt idx="43">
                  <c:v>42004</c:v>
                </c:pt>
                <c:pt idx="44">
                  <c:v>41912</c:v>
                </c:pt>
                <c:pt idx="45">
                  <c:v>41820</c:v>
                </c:pt>
                <c:pt idx="46">
                  <c:v>41729</c:v>
                </c:pt>
                <c:pt idx="47">
                  <c:v>41639</c:v>
                </c:pt>
                <c:pt idx="48">
                  <c:v>41547</c:v>
                </c:pt>
                <c:pt idx="49">
                  <c:v>41455</c:v>
                </c:pt>
                <c:pt idx="50">
                  <c:v>41364</c:v>
                </c:pt>
                <c:pt idx="51">
                  <c:v>41274</c:v>
                </c:pt>
                <c:pt idx="52">
                  <c:v>41182</c:v>
                </c:pt>
                <c:pt idx="53">
                  <c:v>41090</c:v>
                </c:pt>
                <c:pt idx="54">
                  <c:v>40999</c:v>
                </c:pt>
                <c:pt idx="55">
                  <c:v>40908</c:v>
                </c:pt>
                <c:pt idx="56">
                  <c:v>40816</c:v>
                </c:pt>
                <c:pt idx="57">
                  <c:v>40724</c:v>
                </c:pt>
                <c:pt idx="58">
                  <c:v>40633</c:v>
                </c:pt>
                <c:pt idx="59">
                  <c:v>40543</c:v>
                </c:pt>
                <c:pt idx="60">
                  <c:v>40451</c:v>
                </c:pt>
                <c:pt idx="61">
                  <c:v>40359</c:v>
                </c:pt>
                <c:pt idx="62">
                  <c:v>40268</c:v>
                </c:pt>
                <c:pt idx="63">
                  <c:v>40178</c:v>
                </c:pt>
                <c:pt idx="64">
                  <c:v>40086</c:v>
                </c:pt>
                <c:pt idx="65">
                  <c:v>39994</c:v>
                </c:pt>
                <c:pt idx="66">
                  <c:v>39903</c:v>
                </c:pt>
                <c:pt idx="67">
                  <c:v>39813</c:v>
                </c:pt>
                <c:pt idx="68">
                  <c:v>39721</c:v>
                </c:pt>
                <c:pt idx="69">
                  <c:v>39629</c:v>
                </c:pt>
                <c:pt idx="70">
                  <c:v>39538</c:v>
                </c:pt>
                <c:pt idx="71">
                  <c:v>39447</c:v>
                </c:pt>
                <c:pt idx="72">
                  <c:v>39355</c:v>
                </c:pt>
                <c:pt idx="73">
                  <c:v>39263</c:v>
                </c:pt>
                <c:pt idx="74">
                  <c:v>39172</c:v>
                </c:pt>
                <c:pt idx="75">
                  <c:v>39082</c:v>
                </c:pt>
                <c:pt idx="76">
                  <c:v>38990</c:v>
                </c:pt>
                <c:pt idx="77">
                  <c:v>38898</c:v>
                </c:pt>
                <c:pt idx="78">
                  <c:v>38807</c:v>
                </c:pt>
                <c:pt idx="79">
                  <c:v>38717</c:v>
                </c:pt>
                <c:pt idx="80">
                  <c:v>38625</c:v>
                </c:pt>
                <c:pt idx="81">
                  <c:v>38533</c:v>
                </c:pt>
                <c:pt idx="82">
                  <c:v>38442</c:v>
                </c:pt>
              </c:numCache>
            </c:numRef>
          </c:cat>
          <c:val>
            <c:numRef>
              <c:f>'Chart 2.15 data'!$T$25:$T$107</c:f>
              <c:numCache>
                <c:formatCode>0</c:formatCode>
                <c:ptCount val="83"/>
                <c:pt idx="0">
                  <c:v>122010</c:v>
                </c:pt>
                <c:pt idx="1">
                  <c:v>122898</c:v>
                </c:pt>
                <c:pt idx="2">
                  <c:v>122036</c:v>
                </c:pt>
                <c:pt idx="3">
                  <c:v>124928</c:v>
                </c:pt>
                <c:pt idx="4">
                  <c:v>136673</c:v>
                </c:pt>
                <c:pt idx="5">
                  <c:v>153792</c:v>
                </c:pt>
                <c:pt idx="6">
                  <c:v>171283</c:v>
                </c:pt>
                <c:pt idx="7">
                  <c:v>180673</c:v>
                </c:pt>
                <c:pt idx="8">
                  <c:v>187976</c:v>
                </c:pt>
                <c:pt idx="9">
                  <c:v>181937</c:v>
                </c:pt>
                <c:pt idx="10">
                  <c:v>165671</c:v>
                </c:pt>
                <c:pt idx="11">
                  <c:v>145382</c:v>
                </c:pt>
                <c:pt idx="12">
                  <c:v>114574</c:v>
                </c:pt>
                <c:pt idx="13">
                  <c:v>67410</c:v>
                </c:pt>
                <c:pt idx="14">
                  <c:v>39728</c:v>
                </c:pt>
                <c:pt idx="15">
                  <c:v>-5256</c:v>
                </c:pt>
                <c:pt idx="16">
                  <c:v>-37949</c:v>
                </c:pt>
                <c:pt idx="17">
                  <c:v>-53394</c:v>
                </c:pt>
                <c:pt idx="18">
                  <c:v>-47368</c:v>
                </c:pt>
                <c:pt idx="19">
                  <c:v>-8764</c:v>
                </c:pt>
                <c:pt idx="20">
                  <c:v>37763</c:v>
                </c:pt>
                <c:pt idx="21">
                  <c:v>92083</c:v>
                </c:pt>
                <c:pt idx="22">
                  <c:v>112401</c:v>
                </c:pt>
                <c:pt idx="23">
                  <c:v>124967</c:v>
                </c:pt>
                <c:pt idx="24">
                  <c:v>127670</c:v>
                </c:pt>
                <c:pt idx="25">
                  <c:v>129143</c:v>
                </c:pt>
                <c:pt idx="26">
                  <c:v>134979</c:v>
                </c:pt>
                <c:pt idx="27">
                  <c:v>136309</c:v>
                </c:pt>
                <c:pt idx="28">
                  <c:v>136260</c:v>
                </c:pt>
                <c:pt idx="29">
                  <c:v>135198</c:v>
                </c:pt>
                <c:pt idx="30">
                  <c:v>134747</c:v>
                </c:pt>
                <c:pt idx="31">
                  <c:v>137096</c:v>
                </c:pt>
                <c:pt idx="32">
                  <c:v>142273</c:v>
                </c:pt>
                <c:pt idx="33">
                  <c:v>143989</c:v>
                </c:pt>
                <c:pt idx="34">
                  <c:v>145613</c:v>
                </c:pt>
                <c:pt idx="35">
                  <c:v>139520</c:v>
                </c:pt>
                <c:pt idx="36">
                  <c:v>136243</c:v>
                </c:pt>
                <c:pt idx="37">
                  <c:v>129979</c:v>
                </c:pt>
                <c:pt idx="38">
                  <c:v>123393</c:v>
                </c:pt>
                <c:pt idx="39">
                  <c:v>116356</c:v>
                </c:pt>
                <c:pt idx="40">
                  <c:v>112025</c:v>
                </c:pt>
                <c:pt idx="41">
                  <c:v>109916</c:v>
                </c:pt>
                <c:pt idx="42">
                  <c:v>108476</c:v>
                </c:pt>
                <c:pt idx="43">
                  <c:v>107991</c:v>
                </c:pt>
                <c:pt idx="44">
                  <c:v>106039</c:v>
                </c:pt>
                <c:pt idx="45">
                  <c:v>105864</c:v>
                </c:pt>
                <c:pt idx="46">
                  <c:v>108267</c:v>
                </c:pt>
                <c:pt idx="47">
                  <c:v>106721</c:v>
                </c:pt>
                <c:pt idx="48">
                  <c:v>107853</c:v>
                </c:pt>
                <c:pt idx="49">
                  <c:v>105408</c:v>
                </c:pt>
                <c:pt idx="50">
                  <c:v>103479</c:v>
                </c:pt>
                <c:pt idx="51">
                  <c:v>101764</c:v>
                </c:pt>
                <c:pt idx="52">
                  <c:v>99841</c:v>
                </c:pt>
                <c:pt idx="53">
                  <c:v>97441</c:v>
                </c:pt>
                <c:pt idx="54">
                  <c:v>94772</c:v>
                </c:pt>
                <c:pt idx="55">
                  <c:v>91538</c:v>
                </c:pt>
                <c:pt idx="56">
                  <c:v>86971</c:v>
                </c:pt>
                <c:pt idx="57">
                  <c:v>83337</c:v>
                </c:pt>
                <c:pt idx="58">
                  <c:v>81545</c:v>
                </c:pt>
                <c:pt idx="59">
                  <c:v>82513</c:v>
                </c:pt>
                <c:pt idx="60">
                  <c:v>85605</c:v>
                </c:pt>
                <c:pt idx="61">
                  <c:v>94657</c:v>
                </c:pt>
                <c:pt idx="62">
                  <c:v>102816</c:v>
                </c:pt>
                <c:pt idx="63">
                  <c:v>111092</c:v>
                </c:pt>
                <c:pt idx="64">
                  <c:v>117277</c:v>
                </c:pt>
                <c:pt idx="65">
                  <c:v>120333</c:v>
                </c:pt>
                <c:pt idx="66">
                  <c:v>119273</c:v>
                </c:pt>
                <c:pt idx="67">
                  <c:v>118212</c:v>
                </c:pt>
                <c:pt idx="68">
                  <c:v>112300</c:v>
                </c:pt>
                <c:pt idx="69">
                  <c:v>106956</c:v>
                </c:pt>
                <c:pt idx="70">
                  <c:v>102862</c:v>
                </c:pt>
                <c:pt idx="71">
                  <c:v>99309</c:v>
                </c:pt>
                <c:pt idx="72">
                  <c:v>98544</c:v>
                </c:pt>
                <c:pt idx="73">
                  <c:v>95715</c:v>
                </c:pt>
                <c:pt idx="74">
                  <c:v>87567</c:v>
                </c:pt>
                <c:pt idx="75">
                  <c:v>80723</c:v>
                </c:pt>
                <c:pt idx="76">
                  <c:v>75543</c:v>
                </c:pt>
                <c:pt idx="77">
                  <c:v>68437</c:v>
                </c:pt>
                <c:pt idx="78">
                  <c:v>66436</c:v>
                </c:pt>
                <c:pt idx="79">
                  <c:v>62781</c:v>
                </c:pt>
                <c:pt idx="80">
                  <c:v>59761</c:v>
                </c:pt>
                <c:pt idx="81">
                  <c:v>59130</c:v>
                </c:pt>
                <c:pt idx="82">
                  <c:v>57285</c:v>
                </c:pt>
              </c:numCache>
            </c:numRef>
          </c:val>
          <c:extLst>
            <c:ext xmlns:c16="http://schemas.microsoft.com/office/drawing/2014/chart" uri="{C3380CC4-5D6E-409C-BE32-E72D297353CC}">
              <c16:uniqueId val="{00000000-47FE-4965-BA7B-15C10A479A52}"/>
            </c:ext>
          </c:extLst>
        </c:ser>
        <c:dLbls>
          <c:showLegendKey val="0"/>
          <c:showVal val="0"/>
          <c:showCatName val="0"/>
          <c:showSerName val="0"/>
          <c:showPercent val="0"/>
          <c:showBubbleSize val="0"/>
        </c:dLbls>
        <c:gapWidth val="0"/>
        <c:overlap val="100"/>
        <c:axId val="1714719407"/>
        <c:axId val="1714719887"/>
      </c:barChart>
      <c:dateAx>
        <c:axId val="1714719407"/>
        <c:scaling>
          <c:orientation val="minMax"/>
          <c:max val="45992"/>
          <c:min val="42064"/>
        </c:scaling>
        <c:delete val="0"/>
        <c:axPos val="b"/>
        <c:numFmt formatCode="yyyy" sourceLinked="0"/>
        <c:majorTickMark val="out"/>
        <c:minorTickMark val="none"/>
        <c:tickLblPos val="low"/>
        <c:spPr>
          <a:noFill/>
          <a:ln w="3175" cap="flat" cmpd="sng" algn="ctr">
            <a:solidFill>
              <a:schemeClr val="bg1">
                <a:lumMod val="50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j-lt"/>
                <a:ea typeface="+mn-ea"/>
                <a:cs typeface="+mn-cs"/>
              </a:defRPr>
            </a:pPr>
            <a:endParaRPr lang="en-US"/>
          </a:p>
        </c:txPr>
        <c:crossAx val="1714719887"/>
        <c:crosses val="autoZero"/>
        <c:auto val="1"/>
        <c:lblOffset val="100"/>
        <c:baseTimeUnit val="months"/>
        <c:majorUnit val="24"/>
        <c:majorTimeUnit val="months"/>
      </c:dateAx>
      <c:valAx>
        <c:axId val="1714719887"/>
        <c:scaling>
          <c:orientation val="minMax"/>
          <c:max val="200000"/>
          <c:min val="-100000"/>
        </c:scaling>
        <c:delete val="0"/>
        <c:axPos val="l"/>
        <c:majorGridlines>
          <c:spPr>
            <a:ln w="9525" cap="flat" cmpd="sng" algn="ctr">
              <a:solidFill>
                <a:schemeClr val="tx1">
                  <a:lumMod val="15000"/>
                  <a:lumOff val="85000"/>
                </a:schemeClr>
              </a:solidFill>
              <a:prstDash val="dash"/>
              <a:round/>
            </a:ln>
            <a:effectLst/>
          </c:spPr>
        </c:majorGridlines>
        <c:title>
          <c:tx>
            <c:rich>
              <a:bodyPr rot="-5400000" spcFirstLastPara="1" vertOverflow="ellipsis" vert="horz" wrap="square" anchor="ctr" anchorCtr="1"/>
              <a:lstStyle/>
              <a:p>
                <a:pPr algn="ctr" rtl="0">
                  <a:defRPr lang="en-US" sz="900" b="0" i="1" u="none" strike="noStrike" kern="1200" baseline="0">
                    <a:solidFill>
                      <a:sysClr val="windowText" lastClr="000000">
                        <a:lumMod val="65000"/>
                        <a:lumOff val="35000"/>
                      </a:sysClr>
                    </a:solidFill>
                    <a:latin typeface="+mj-lt"/>
                    <a:ea typeface="+mn-ea"/>
                    <a:cs typeface="+mn-cs"/>
                  </a:defRPr>
                </a:pPr>
                <a:r>
                  <a:rPr lang="en-US" sz="900" b="0" i="1" u="none" strike="noStrike" kern="1200" baseline="0">
                    <a:solidFill>
                      <a:sysClr val="windowText" lastClr="000000">
                        <a:lumMod val="65000"/>
                        <a:lumOff val="35000"/>
                      </a:sysClr>
                    </a:solidFill>
                    <a:latin typeface="+mj-lt"/>
                    <a:ea typeface="+mn-ea"/>
                    <a:cs typeface="+mn-cs"/>
                  </a:rPr>
                  <a:t>persons (thousands)</a:t>
                </a:r>
              </a:p>
            </c:rich>
          </c:tx>
          <c:layout>
            <c:manualLayout>
              <c:xMode val="edge"/>
              <c:yMode val="edge"/>
              <c:x val="2.593954248366013E-3"/>
              <c:y val="0.23155763567522086"/>
            </c:manualLayout>
          </c:layout>
          <c:overlay val="0"/>
          <c:spPr>
            <a:noFill/>
            <a:ln>
              <a:noFill/>
            </a:ln>
            <a:effectLst/>
          </c:spPr>
          <c:txPr>
            <a:bodyPr rot="-5400000" spcFirstLastPara="1" vertOverflow="ellipsis" vert="horz" wrap="square" anchor="ctr" anchorCtr="1"/>
            <a:lstStyle/>
            <a:p>
              <a:pPr algn="ctr" rtl="0">
                <a:defRPr lang="en-US" sz="900" b="0" i="1" u="none" strike="noStrike" kern="1200" baseline="0">
                  <a:solidFill>
                    <a:sysClr val="windowText" lastClr="000000">
                      <a:lumMod val="65000"/>
                      <a:lumOff val="35000"/>
                    </a:sysClr>
                  </a:solidFill>
                  <a:latin typeface="+mj-lt"/>
                  <a:ea typeface="+mn-ea"/>
                  <a:cs typeface="+mn-cs"/>
                </a:defRPr>
              </a:pPr>
              <a:endParaRPr lang="en-US"/>
            </a:p>
          </c:txPr>
        </c:title>
        <c:numFmt formatCode="0" sourceLinked="1"/>
        <c:majorTickMark val="none"/>
        <c:minorTickMark val="none"/>
        <c:tickLblPos val="nextTo"/>
        <c:spPr>
          <a:noFill/>
          <a:ln>
            <a:solidFill>
              <a:schemeClr val="bg1">
                <a:lumMod val="50000"/>
              </a:schemeClr>
            </a:solid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j-lt"/>
                <a:ea typeface="+mn-ea"/>
                <a:cs typeface="+mn-cs"/>
              </a:defRPr>
            </a:pPr>
            <a:endParaRPr lang="en-US"/>
          </a:p>
        </c:txPr>
        <c:crossAx val="1714719407"/>
        <c:crosses val="autoZero"/>
        <c:crossBetween val="between"/>
        <c:majorUnit val="50000"/>
        <c:dispUnits>
          <c:builtInUnit val="thousands"/>
        </c:dispUnits>
      </c:valAx>
      <c:spPr>
        <a:noFill/>
        <a:ln>
          <a:noFill/>
        </a:ln>
        <a:effectLst/>
      </c:spPr>
    </c:plotArea>
    <c:legend>
      <c:legendPos val="b"/>
      <c:legendEntry>
        <c:idx val="0"/>
        <c:txPr>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mj-lt"/>
                <a:ea typeface="+mn-ea"/>
                <a:cs typeface="+mn-cs"/>
              </a:defRPr>
            </a:pPr>
            <a:endParaRPr lang="en-US"/>
          </a:p>
        </c:txPr>
      </c:legendEntry>
      <c:layout>
        <c:manualLayout>
          <c:xMode val="edge"/>
          <c:yMode val="edge"/>
          <c:x val="9.2683210784313713E-2"/>
          <c:y val="0.9159605945870144"/>
          <c:w val="0.81982128267973853"/>
          <c:h val="7.5134623474968451E-2"/>
        </c:manualLayout>
      </c:layout>
      <c:overlay val="0"/>
      <c:spPr>
        <a:noFill/>
        <a:ln>
          <a:noFill/>
        </a:ln>
        <a:effectLst/>
      </c:spPr>
      <c:txPr>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lang="en-US" sz="900" b="0" i="0" u="none" strike="noStrike" kern="1200" baseline="0">
          <a:solidFill>
            <a:schemeClr val="tx1">
              <a:lumMod val="65000"/>
              <a:lumOff val="35000"/>
            </a:schemeClr>
          </a:solidFill>
          <a:latin typeface="+mn-lt"/>
          <a:ea typeface="+mn-ea"/>
          <a:cs typeface="+mn-cs"/>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sz="900" b="1">
                <a:latin typeface="Calibri" panose="020F0502020204030204" pitchFamily="34" charset="0"/>
                <a:ea typeface="Calibri" panose="020F0502020204030204" pitchFamily="34" charset="0"/>
                <a:cs typeface="Calibri" panose="020F0502020204030204" pitchFamily="34" charset="0"/>
              </a:rPr>
              <a:t>Employment</a:t>
            </a:r>
            <a:r>
              <a:rPr lang="en-AU" sz="900" b="1" baseline="0">
                <a:latin typeface="Calibri" panose="020F0502020204030204" pitchFamily="34" charset="0"/>
                <a:ea typeface="Calibri" panose="020F0502020204030204" pitchFamily="34" charset="0"/>
                <a:cs typeface="Calibri" panose="020F0502020204030204" pitchFamily="34" charset="0"/>
              </a:rPr>
              <a:t> growth</a:t>
            </a:r>
            <a:endParaRPr lang="en-AU" sz="900" b="1">
              <a:latin typeface="Calibri" panose="020F0502020204030204" pitchFamily="34" charset="0"/>
              <a:ea typeface="Calibri" panose="020F0502020204030204" pitchFamily="34" charset="0"/>
              <a:cs typeface="Calibri" panose="020F0502020204030204" pitchFamily="34" charset="0"/>
            </a:endParaRPr>
          </a:p>
        </c:rich>
      </c:tx>
      <c:layout>
        <c:manualLayout>
          <c:xMode val="edge"/>
          <c:yMode val="edge"/>
          <c:x val="0.29518208661417322"/>
          <c:y val="5.6540735029555388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AU"/>
        </a:p>
      </c:txPr>
    </c:title>
    <c:autoTitleDeleted val="0"/>
    <c:plotArea>
      <c:layout>
        <c:manualLayout>
          <c:layoutTarget val="inner"/>
          <c:xMode val="edge"/>
          <c:yMode val="edge"/>
          <c:x val="0.1565499423024708"/>
          <c:y val="0.16303625030296628"/>
          <c:w val="0.78615810819983711"/>
          <c:h val="0.74019014041750497"/>
        </c:manualLayout>
      </c:layout>
      <c:barChart>
        <c:barDir val="col"/>
        <c:grouping val="clustered"/>
        <c:varyColors val="0"/>
        <c:ser>
          <c:idx val="0"/>
          <c:order val="0"/>
          <c:spPr>
            <a:solidFill>
              <a:schemeClr val="accent1"/>
            </a:solidFill>
            <a:ln>
              <a:noFill/>
            </a:ln>
            <a:effectLst/>
          </c:spPr>
          <c:invertIfNegative val="0"/>
          <c:dPt>
            <c:idx val="0"/>
            <c:invertIfNegative val="0"/>
            <c:bubble3D val="0"/>
            <c:spPr>
              <a:solidFill>
                <a:schemeClr val="bg2">
                  <a:lumMod val="25000"/>
                </a:schemeClr>
              </a:solidFill>
              <a:ln>
                <a:noFill/>
              </a:ln>
              <a:effectLst/>
            </c:spPr>
            <c:extLst>
              <c:ext xmlns:c16="http://schemas.microsoft.com/office/drawing/2014/chart" uri="{C3380CC4-5D6E-409C-BE32-E72D297353CC}">
                <c16:uniqueId val="{00000001-401B-4CAC-B23E-0F9EFE95F3CB}"/>
              </c:ext>
            </c:extLst>
          </c:dPt>
          <c:dPt>
            <c:idx val="1"/>
            <c:invertIfNegative val="0"/>
            <c:bubble3D val="0"/>
            <c:spPr>
              <a:solidFill>
                <a:schemeClr val="bg1">
                  <a:lumMod val="65000"/>
                </a:schemeClr>
              </a:solidFill>
              <a:ln>
                <a:solidFill>
                  <a:schemeClr val="bg1">
                    <a:lumMod val="65000"/>
                  </a:schemeClr>
                </a:solidFill>
              </a:ln>
              <a:effectLst/>
            </c:spPr>
            <c:extLst>
              <c:ext xmlns:c16="http://schemas.microsoft.com/office/drawing/2014/chart" uri="{C3380CC4-5D6E-409C-BE32-E72D297353CC}">
                <c16:uniqueId val="{00000003-401B-4CAC-B23E-0F9EFE95F3CB}"/>
              </c:ext>
            </c:extLst>
          </c:dPt>
          <c:cat>
            <c:strRef>
              <c:f>'Labour Force'!$C$5:$D$5</c:f>
              <c:strCache>
                <c:ptCount val="2"/>
                <c:pt idx="0">
                  <c:v>Victoria</c:v>
                </c:pt>
                <c:pt idx="1">
                  <c:v>Rest of Australia</c:v>
                </c:pt>
              </c:strCache>
            </c:strRef>
          </c:cat>
          <c:val>
            <c:numRef>
              <c:f>'Labour Force'!$C$9:$D$9</c:f>
              <c:numCache>
                <c:formatCode>0</c:formatCode>
                <c:ptCount val="2"/>
                <c:pt idx="0">
                  <c:v>8.5812397063214974</c:v>
                </c:pt>
                <c:pt idx="1">
                  <c:v>7.200388937730251</c:v>
                </c:pt>
              </c:numCache>
            </c:numRef>
          </c:val>
          <c:extLst>
            <c:ext xmlns:c16="http://schemas.microsoft.com/office/drawing/2014/chart" uri="{C3380CC4-5D6E-409C-BE32-E72D297353CC}">
              <c16:uniqueId val="{00000004-401B-4CAC-B23E-0F9EFE95F3CB}"/>
            </c:ext>
          </c:extLst>
        </c:ser>
        <c:dLbls>
          <c:showLegendKey val="0"/>
          <c:showVal val="0"/>
          <c:showCatName val="0"/>
          <c:showSerName val="0"/>
          <c:showPercent val="0"/>
          <c:showBubbleSize val="0"/>
        </c:dLbls>
        <c:gapWidth val="100"/>
        <c:overlap val="-27"/>
        <c:axId val="352937023"/>
        <c:axId val="352940863"/>
      </c:barChart>
      <c:catAx>
        <c:axId val="352937023"/>
        <c:scaling>
          <c:orientation val="minMax"/>
        </c:scaling>
        <c:delete val="0"/>
        <c:axPos val="b"/>
        <c:numFmt formatCode="General" sourceLinked="1"/>
        <c:majorTickMark val="none"/>
        <c:minorTickMark val="none"/>
        <c:tickLblPos val="nextTo"/>
        <c:spPr>
          <a:noFill/>
          <a:ln w="9525" cap="flat" cmpd="sng" algn="ctr">
            <a:gradFill>
              <a:gsLst>
                <a:gs pos="0">
                  <a:schemeClr val="accent1">
                    <a:lumMod val="5000"/>
                    <a:lumOff val="95000"/>
                  </a:schemeClr>
                </a:gs>
                <a:gs pos="0">
                  <a:schemeClr val="accent1">
                    <a:lumMod val="45000"/>
                    <a:lumOff val="55000"/>
                  </a:schemeClr>
                </a:gs>
                <a:gs pos="0">
                  <a:schemeClr val="accent1">
                    <a:lumMod val="45000"/>
                    <a:lumOff val="55000"/>
                  </a:schemeClr>
                </a:gs>
                <a:gs pos="0">
                  <a:schemeClr val="tx1"/>
                </a:gs>
              </a:gsLst>
              <a:lin ang="5400000" scaled="1"/>
            </a:gra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libri" panose="020F0502020204030204" pitchFamily="34" charset="0"/>
                <a:ea typeface="Calibri" panose="020F0502020204030204" pitchFamily="34" charset="0"/>
                <a:cs typeface="Calibri" panose="020F0502020204030204" pitchFamily="34" charset="0"/>
              </a:defRPr>
            </a:pPr>
            <a:endParaRPr lang="en-US"/>
          </a:p>
        </c:txPr>
        <c:crossAx val="352940863"/>
        <c:crosses val="autoZero"/>
        <c:auto val="1"/>
        <c:lblAlgn val="ctr"/>
        <c:lblOffset val="100"/>
        <c:noMultiLvlLbl val="0"/>
      </c:catAx>
      <c:valAx>
        <c:axId val="352940863"/>
        <c:scaling>
          <c:orientation val="minMax"/>
          <c:max val="10"/>
          <c:min val="0"/>
        </c:scaling>
        <c:delete val="0"/>
        <c:axPos val="l"/>
        <c:majorGridlines>
          <c:spPr>
            <a:ln w="9525" cap="flat" cmpd="sng" algn="ctr">
              <a:solidFill>
                <a:schemeClr val="tx1">
                  <a:lumMod val="15000"/>
                  <a:lumOff val="85000"/>
                </a:schemeClr>
              </a:solidFill>
              <a:prstDash val="dash"/>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sz="900" i="1">
                    <a:latin typeface="Calibri" panose="020F0502020204030204" pitchFamily="34" charset="0"/>
                    <a:ea typeface="Calibri" panose="020F0502020204030204" pitchFamily="34" charset="0"/>
                    <a:cs typeface="Calibri" panose="020F0502020204030204" pitchFamily="34" charset="0"/>
                  </a:rPr>
                  <a:t>per</a:t>
                </a:r>
                <a:r>
                  <a:rPr lang="en-AU" sz="900" i="1" baseline="0">
                    <a:latin typeface="Calibri" panose="020F0502020204030204" pitchFamily="34" charset="0"/>
                    <a:ea typeface="Calibri" panose="020F0502020204030204" pitchFamily="34" charset="0"/>
                    <a:cs typeface="Calibri" panose="020F0502020204030204" pitchFamily="34" charset="0"/>
                  </a:rPr>
                  <a:t> cent</a:t>
                </a:r>
                <a:endParaRPr lang="en-AU" sz="900" i="1">
                  <a:latin typeface="Calibri" panose="020F0502020204030204" pitchFamily="34" charset="0"/>
                  <a:ea typeface="Calibri" panose="020F0502020204030204" pitchFamily="34" charset="0"/>
                  <a:cs typeface="Calibri" panose="020F0502020204030204" pitchFamily="34" charset="0"/>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AU"/>
            </a:p>
          </c:txPr>
        </c:title>
        <c:numFmt formatCode="0" sourceLinked="1"/>
        <c:majorTickMark val="none"/>
        <c:minorTickMark val="none"/>
        <c:tickLblPos val="nextTo"/>
        <c:spPr>
          <a:noFill/>
          <a:ln>
            <a:gradFill>
              <a:gsLst>
                <a:gs pos="0">
                  <a:schemeClr val="accent1">
                    <a:lumMod val="5000"/>
                    <a:lumOff val="95000"/>
                  </a:schemeClr>
                </a:gs>
                <a:gs pos="0">
                  <a:schemeClr val="accent1">
                    <a:lumMod val="45000"/>
                    <a:lumOff val="55000"/>
                  </a:schemeClr>
                </a:gs>
                <a:gs pos="0">
                  <a:schemeClr val="accent1">
                    <a:lumMod val="45000"/>
                    <a:lumOff val="55000"/>
                  </a:schemeClr>
                </a:gs>
                <a:gs pos="0">
                  <a:schemeClr val="tx1"/>
                </a:gs>
              </a:gsLst>
              <a:lin ang="5400000" scaled="1"/>
            </a:gra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libri" panose="020F0502020204030204" pitchFamily="34" charset="0"/>
                <a:ea typeface="Calibri" panose="020F0502020204030204" pitchFamily="34" charset="0"/>
                <a:cs typeface="Calibri" panose="020F0502020204030204" pitchFamily="34" charset="0"/>
              </a:defRPr>
            </a:pPr>
            <a:endParaRPr lang="en-US"/>
          </a:p>
        </c:txPr>
        <c:crossAx val="352937023"/>
        <c:crosses val="autoZero"/>
        <c:crossBetween val="between"/>
        <c:majorUnit val="2"/>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395951207466728E-2"/>
          <c:y val="5.3116889484798938E-2"/>
          <c:w val="0.86521560623600824"/>
          <c:h val="0.76923807865223637"/>
        </c:manualLayout>
      </c:layout>
      <c:lineChart>
        <c:grouping val="standard"/>
        <c:varyColors val="0"/>
        <c:ser>
          <c:idx val="0"/>
          <c:order val="0"/>
          <c:tx>
            <c:strRef>
              <c:f>'Chart 2.12.1'!$V$3</c:f>
              <c:strCache>
                <c:ptCount val="1"/>
                <c:pt idx="0">
                  <c:v>Reference forecasts</c:v>
                </c:pt>
              </c:strCache>
            </c:strRef>
          </c:tx>
          <c:spPr>
            <a:ln w="22225" cap="rnd">
              <a:solidFill>
                <a:schemeClr val="bg1">
                  <a:lumMod val="50000"/>
                </a:schemeClr>
              </a:solidFill>
              <a:round/>
            </a:ln>
            <a:effectLst/>
          </c:spPr>
          <c:marker>
            <c:symbol val="none"/>
          </c:marker>
          <c:cat>
            <c:numRef>
              <c:f>'Chart 2.12.1'!$T$4:$T$31</c:f>
              <c:numCache>
                <c:formatCode>m/d/yyyy</c:formatCode>
                <c:ptCount val="28"/>
                <c:pt idx="0">
                  <c:v>36861</c:v>
                </c:pt>
                <c:pt idx="1">
                  <c:v>37226</c:v>
                </c:pt>
                <c:pt idx="2">
                  <c:v>37591</c:v>
                </c:pt>
                <c:pt idx="3">
                  <c:v>37956</c:v>
                </c:pt>
                <c:pt idx="4">
                  <c:v>38322</c:v>
                </c:pt>
                <c:pt idx="5">
                  <c:v>38687</c:v>
                </c:pt>
                <c:pt idx="6">
                  <c:v>39052</c:v>
                </c:pt>
                <c:pt idx="7">
                  <c:v>39417</c:v>
                </c:pt>
                <c:pt idx="8">
                  <c:v>39783</c:v>
                </c:pt>
                <c:pt idx="9">
                  <c:v>40148</c:v>
                </c:pt>
                <c:pt idx="10">
                  <c:v>40513</c:v>
                </c:pt>
                <c:pt idx="11">
                  <c:v>40878</c:v>
                </c:pt>
                <c:pt idx="12">
                  <c:v>41244</c:v>
                </c:pt>
                <c:pt idx="13">
                  <c:v>41609</c:v>
                </c:pt>
                <c:pt idx="14">
                  <c:v>41974</c:v>
                </c:pt>
                <c:pt idx="15">
                  <c:v>42339</c:v>
                </c:pt>
                <c:pt idx="16">
                  <c:v>42705</c:v>
                </c:pt>
                <c:pt idx="17">
                  <c:v>43070</c:v>
                </c:pt>
                <c:pt idx="18">
                  <c:v>43435</c:v>
                </c:pt>
                <c:pt idx="19">
                  <c:v>43800</c:v>
                </c:pt>
                <c:pt idx="20">
                  <c:v>44166</c:v>
                </c:pt>
                <c:pt idx="21">
                  <c:v>44531</c:v>
                </c:pt>
                <c:pt idx="22">
                  <c:v>44896</c:v>
                </c:pt>
                <c:pt idx="23">
                  <c:v>45261</c:v>
                </c:pt>
                <c:pt idx="24">
                  <c:v>45627</c:v>
                </c:pt>
                <c:pt idx="25">
                  <c:v>45992</c:v>
                </c:pt>
                <c:pt idx="26">
                  <c:v>46357</c:v>
                </c:pt>
                <c:pt idx="27">
                  <c:v>46722</c:v>
                </c:pt>
              </c:numCache>
            </c:numRef>
          </c:cat>
          <c:val>
            <c:numRef>
              <c:f>'Chart 2.12.1'!$V$4:$V$31</c:f>
              <c:numCache>
                <c:formatCode>General</c:formatCode>
                <c:ptCount val="28"/>
                <c:pt idx="0">
                  <c:v>4.798</c:v>
                </c:pt>
                <c:pt idx="1">
                  <c:v>2.48</c:v>
                </c:pt>
                <c:pt idx="2">
                  <c:v>2.8330000000000002</c:v>
                </c:pt>
                <c:pt idx="3">
                  <c:v>3.7989999999999999</c:v>
                </c:pt>
                <c:pt idx="4">
                  <c:v>5.2629999999999999</c:v>
                </c:pt>
                <c:pt idx="5">
                  <c:v>4.7130000000000001</c:v>
                </c:pt>
                <c:pt idx="6">
                  <c:v>5.2859999999999996</c:v>
                </c:pt>
                <c:pt idx="7">
                  <c:v>5.3639999999999999</c:v>
                </c:pt>
                <c:pt idx="8">
                  <c:v>2.93</c:v>
                </c:pt>
                <c:pt idx="9">
                  <c:v>-0.35799999999999998</c:v>
                </c:pt>
                <c:pt idx="10">
                  <c:v>5.2519999999999998</c:v>
                </c:pt>
                <c:pt idx="11">
                  <c:v>4.0999999999999996</c:v>
                </c:pt>
                <c:pt idx="12">
                  <c:v>3.387</c:v>
                </c:pt>
                <c:pt idx="13">
                  <c:v>3.38</c:v>
                </c:pt>
                <c:pt idx="14">
                  <c:v>3.5590000000000002</c:v>
                </c:pt>
                <c:pt idx="15">
                  <c:v>3.4470000000000001</c:v>
                </c:pt>
                <c:pt idx="16">
                  <c:v>3.2250000000000001</c:v>
                </c:pt>
                <c:pt idx="17">
                  <c:v>3.8420000000000001</c:v>
                </c:pt>
                <c:pt idx="18">
                  <c:v>3.6429999999999998</c:v>
                </c:pt>
                <c:pt idx="19">
                  <c:v>2.9569999999999999</c:v>
                </c:pt>
                <c:pt idx="20">
                  <c:v>-2.7069999999999999</c:v>
                </c:pt>
                <c:pt idx="21">
                  <c:v>6.6529999999999996</c:v>
                </c:pt>
                <c:pt idx="22">
                  <c:v>3.774</c:v>
                </c:pt>
                <c:pt idx="23">
                  <c:v>3.3279999999999998</c:v>
                </c:pt>
                <c:pt idx="24">
                  <c:v>3.4159999999999999</c:v>
                </c:pt>
                <c:pt idx="25">
                  <c:v>3.4409999999999998</c:v>
                </c:pt>
                <c:pt idx="26">
                  <c:v>3.056</c:v>
                </c:pt>
                <c:pt idx="27">
                  <c:v>3.2240000000000002</c:v>
                </c:pt>
              </c:numCache>
            </c:numRef>
          </c:val>
          <c:smooth val="0"/>
          <c:extLst>
            <c:ext xmlns:c16="http://schemas.microsoft.com/office/drawing/2014/chart" uri="{C3380CC4-5D6E-409C-BE32-E72D297353CC}">
              <c16:uniqueId val="{00000000-562C-45D9-90D4-AB93A7A2C051}"/>
            </c:ext>
          </c:extLst>
        </c:ser>
        <c:ser>
          <c:idx val="1"/>
          <c:order val="1"/>
          <c:tx>
            <c:strRef>
              <c:f>'Chart 2.12.1'!$W$3</c:f>
              <c:strCache>
                <c:ptCount val="1"/>
                <c:pt idx="0">
                  <c:v>Adverse scenario</c:v>
                </c:pt>
              </c:strCache>
            </c:strRef>
          </c:tx>
          <c:spPr>
            <a:ln w="22225" cap="rnd">
              <a:solidFill>
                <a:schemeClr val="tx1">
                  <a:lumMod val="65000"/>
                  <a:lumOff val="35000"/>
                </a:schemeClr>
              </a:solidFill>
              <a:prstDash val="sysDash"/>
              <a:round/>
            </a:ln>
            <a:effectLst/>
          </c:spPr>
          <c:marker>
            <c:symbol val="none"/>
          </c:marker>
          <c:cat>
            <c:numRef>
              <c:f>'Chart 2.12.1'!$T$4:$T$31</c:f>
              <c:numCache>
                <c:formatCode>m/d/yyyy</c:formatCode>
                <c:ptCount val="28"/>
                <c:pt idx="0">
                  <c:v>36861</c:v>
                </c:pt>
                <c:pt idx="1">
                  <c:v>37226</c:v>
                </c:pt>
                <c:pt idx="2">
                  <c:v>37591</c:v>
                </c:pt>
                <c:pt idx="3">
                  <c:v>37956</c:v>
                </c:pt>
                <c:pt idx="4">
                  <c:v>38322</c:v>
                </c:pt>
                <c:pt idx="5">
                  <c:v>38687</c:v>
                </c:pt>
                <c:pt idx="6">
                  <c:v>39052</c:v>
                </c:pt>
                <c:pt idx="7">
                  <c:v>39417</c:v>
                </c:pt>
                <c:pt idx="8">
                  <c:v>39783</c:v>
                </c:pt>
                <c:pt idx="9">
                  <c:v>40148</c:v>
                </c:pt>
                <c:pt idx="10">
                  <c:v>40513</c:v>
                </c:pt>
                <c:pt idx="11">
                  <c:v>40878</c:v>
                </c:pt>
                <c:pt idx="12">
                  <c:v>41244</c:v>
                </c:pt>
                <c:pt idx="13">
                  <c:v>41609</c:v>
                </c:pt>
                <c:pt idx="14">
                  <c:v>41974</c:v>
                </c:pt>
                <c:pt idx="15">
                  <c:v>42339</c:v>
                </c:pt>
                <c:pt idx="16">
                  <c:v>42705</c:v>
                </c:pt>
                <c:pt idx="17">
                  <c:v>43070</c:v>
                </c:pt>
                <c:pt idx="18">
                  <c:v>43435</c:v>
                </c:pt>
                <c:pt idx="19">
                  <c:v>43800</c:v>
                </c:pt>
                <c:pt idx="20">
                  <c:v>44166</c:v>
                </c:pt>
                <c:pt idx="21">
                  <c:v>44531</c:v>
                </c:pt>
                <c:pt idx="22">
                  <c:v>44896</c:v>
                </c:pt>
                <c:pt idx="23">
                  <c:v>45261</c:v>
                </c:pt>
                <c:pt idx="24">
                  <c:v>45627</c:v>
                </c:pt>
                <c:pt idx="25">
                  <c:v>45992</c:v>
                </c:pt>
                <c:pt idx="26">
                  <c:v>46357</c:v>
                </c:pt>
                <c:pt idx="27">
                  <c:v>46722</c:v>
                </c:pt>
              </c:numCache>
            </c:numRef>
          </c:cat>
          <c:val>
            <c:numRef>
              <c:f>'Chart 2.12.1'!$W$4:$W$31</c:f>
              <c:numCache>
                <c:formatCode>General</c:formatCode>
                <c:ptCount val="28"/>
                <c:pt idx="25">
                  <c:v>3.4409999999999998</c:v>
                </c:pt>
                <c:pt idx="26" formatCode="0.000">
                  <c:v>2.5470000000000002</c:v>
                </c:pt>
                <c:pt idx="27" formatCode="0.000">
                  <c:v>3.0270000000000001</c:v>
                </c:pt>
              </c:numCache>
            </c:numRef>
          </c:val>
          <c:smooth val="0"/>
          <c:extLst>
            <c:ext xmlns:c16="http://schemas.microsoft.com/office/drawing/2014/chart" uri="{C3380CC4-5D6E-409C-BE32-E72D297353CC}">
              <c16:uniqueId val="{00000001-562C-45D9-90D4-AB93A7A2C051}"/>
            </c:ext>
          </c:extLst>
        </c:ser>
        <c:ser>
          <c:idx val="2"/>
          <c:order val="2"/>
          <c:tx>
            <c:strRef>
              <c:f>'Chart 2.12.1'!$X$3</c:f>
              <c:strCache>
                <c:ptCount val="1"/>
                <c:pt idx="0">
                  <c:v>Severe scenario</c:v>
                </c:pt>
              </c:strCache>
            </c:strRef>
          </c:tx>
          <c:spPr>
            <a:ln w="22225" cap="rnd">
              <a:solidFill>
                <a:schemeClr val="tx1">
                  <a:lumMod val="95000"/>
                  <a:lumOff val="5000"/>
                </a:schemeClr>
              </a:solidFill>
              <a:prstDash val="sysDot"/>
              <a:round/>
            </a:ln>
            <a:effectLst/>
          </c:spPr>
          <c:marker>
            <c:symbol val="none"/>
          </c:marker>
          <c:cat>
            <c:numRef>
              <c:f>'Chart 2.12.1'!$T$4:$T$31</c:f>
              <c:numCache>
                <c:formatCode>m/d/yyyy</c:formatCode>
                <c:ptCount val="28"/>
                <c:pt idx="0">
                  <c:v>36861</c:v>
                </c:pt>
                <c:pt idx="1">
                  <c:v>37226</c:v>
                </c:pt>
                <c:pt idx="2">
                  <c:v>37591</c:v>
                </c:pt>
                <c:pt idx="3">
                  <c:v>37956</c:v>
                </c:pt>
                <c:pt idx="4">
                  <c:v>38322</c:v>
                </c:pt>
                <c:pt idx="5">
                  <c:v>38687</c:v>
                </c:pt>
                <c:pt idx="6">
                  <c:v>39052</c:v>
                </c:pt>
                <c:pt idx="7">
                  <c:v>39417</c:v>
                </c:pt>
                <c:pt idx="8">
                  <c:v>39783</c:v>
                </c:pt>
                <c:pt idx="9">
                  <c:v>40148</c:v>
                </c:pt>
                <c:pt idx="10">
                  <c:v>40513</c:v>
                </c:pt>
                <c:pt idx="11">
                  <c:v>40878</c:v>
                </c:pt>
                <c:pt idx="12">
                  <c:v>41244</c:v>
                </c:pt>
                <c:pt idx="13">
                  <c:v>41609</c:v>
                </c:pt>
                <c:pt idx="14">
                  <c:v>41974</c:v>
                </c:pt>
                <c:pt idx="15">
                  <c:v>42339</c:v>
                </c:pt>
                <c:pt idx="16">
                  <c:v>42705</c:v>
                </c:pt>
                <c:pt idx="17">
                  <c:v>43070</c:v>
                </c:pt>
                <c:pt idx="18">
                  <c:v>43435</c:v>
                </c:pt>
                <c:pt idx="19">
                  <c:v>43800</c:v>
                </c:pt>
                <c:pt idx="20">
                  <c:v>44166</c:v>
                </c:pt>
                <c:pt idx="21">
                  <c:v>44531</c:v>
                </c:pt>
                <c:pt idx="22">
                  <c:v>44896</c:v>
                </c:pt>
                <c:pt idx="23">
                  <c:v>45261</c:v>
                </c:pt>
                <c:pt idx="24">
                  <c:v>45627</c:v>
                </c:pt>
                <c:pt idx="25">
                  <c:v>45992</c:v>
                </c:pt>
                <c:pt idx="26">
                  <c:v>46357</c:v>
                </c:pt>
                <c:pt idx="27">
                  <c:v>46722</c:v>
                </c:pt>
              </c:numCache>
            </c:numRef>
          </c:cat>
          <c:val>
            <c:numRef>
              <c:f>'Chart 2.12.1'!$X$4:$X$31</c:f>
              <c:numCache>
                <c:formatCode>General</c:formatCode>
                <c:ptCount val="28"/>
                <c:pt idx="25">
                  <c:v>3.4409999999999998</c:v>
                </c:pt>
                <c:pt idx="26" formatCode="0.000">
                  <c:v>2.0299999999999998</c:v>
                </c:pt>
                <c:pt idx="27" formatCode="0.000">
                  <c:v>2.19</c:v>
                </c:pt>
              </c:numCache>
            </c:numRef>
          </c:val>
          <c:smooth val="0"/>
          <c:extLst>
            <c:ext xmlns:c16="http://schemas.microsoft.com/office/drawing/2014/chart" uri="{C3380CC4-5D6E-409C-BE32-E72D297353CC}">
              <c16:uniqueId val="{00000002-562C-45D9-90D4-AB93A7A2C051}"/>
            </c:ext>
          </c:extLst>
        </c:ser>
        <c:dLbls>
          <c:showLegendKey val="0"/>
          <c:showVal val="0"/>
          <c:showCatName val="0"/>
          <c:showSerName val="0"/>
          <c:showPercent val="0"/>
          <c:showBubbleSize val="0"/>
        </c:dLbls>
        <c:smooth val="0"/>
        <c:axId val="1714562800"/>
        <c:axId val="1714550800"/>
      </c:lineChart>
      <c:dateAx>
        <c:axId val="1714562800"/>
        <c:scaling>
          <c:orientation val="minMax"/>
          <c:min val="43466"/>
        </c:scaling>
        <c:delete val="0"/>
        <c:axPos val="b"/>
        <c:numFmt formatCode="yyyy" sourceLinked="0"/>
        <c:majorTickMark val="out"/>
        <c:minorTickMark val="none"/>
        <c:tickLblPos val="low"/>
        <c:spPr>
          <a:noFill/>
          <a:ln w="9525" cap="flat" cmpd="sng" algn="ctr">
            <a:solidFill>
              <a:schemeClr val="bg1">
                <a:lumMod val="50000"/>
              </a:schemeClr>
            </a:solidFill>
            <a:round/>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n-US"/>
          </a:p>
        </c:txPr>
        <c:crossAx val="1714550800"/>
        <c:crosses val="autoZero"/>
        <c:auto val="0"/>
        <c:lblOffset val="100"/>
        <c:baseTimeUnit val="years"/>
      </c:dateAx>
      <c:valAx>
        <c:axId val="1714550800"/>
        <c:scaling>
          <c:orientation val="minMax"/>
        </c:scaling>
        <c:delete val="0"/>
        <c:axPos val="l"/>
        <c:majorGridlines>
          <c:spPr>
            <a:ln w="9525" cap="flat" cmpd="sng" algn="ctr">
              <a:solidFill>
                <a:sysClr val="window" lastClr="FFFFFF">
                  <a:lumMod val="85000"/>
                </a:sysClr>
              </a:solidFill>
              <a:prstDash val="dash"/>
              <a:round/>
              <a:headEnd type="none" w="med" len="med"/>
              <a:tailEnd type="none" w="med" len="me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r>
                  <a:rPr lang="en-AU" i="1"/>
                  <a:t>per cent</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n-US"/>
            </a:p>
          </c:txPr>
        </c:title>
        <c:numFmt formatCode="#,##0" sourceLinked="0"/>
        <c:majorTickMark val="none"/>
        <c:minorTickMark val="none"/>
        <c:tickLblPos val="nextTo"/>
        <c:spPr>
          <a:noFill/>
          <a:ln>
            <a:solidFill>
              <a:schemeClr val="bg1">
                <a:lumMod val="50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n-US"/>
          </a:p>
        </c:txPr>
        <c:crossAx val="1714562800"/>
        <c:crosses val="autoZero"/>
        <c:crossBetween val="midCat"/>
      </c:valAx>
      <c:spPr>
        <a:noFill/>
        <a:ln>
          <a:noFill/>
        </a:ln>
        <a:effectLst/>
        <a:extLst>
          <a:ext uri="{909E8E84-426E-40DD-AFC4-6F175D3DCCD1}">
            <a14:hiddenFill xmlns:a14="http://schemas.microsoft.com/office/drawing/2010/main">
              <a:noFill/>
            </a14:hiddenFill>
          </a:ext>
        </a:ex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ysClr val="window" lastClr="FFFFFF"/>
    </a:solidFill>
    <a:ln w="9525" cap="flat" cmpd="sng" algn="ctr">
      <a:noFill/>
      <a:round/>
    </a:ln>
    <a:effectLst/>
    <a:extLst>
      <a:ext uri="{91240B29-F687-4F45-9708-019B960494DF}">
        <a14:hiddenLine xmlns:a14="http://schemas.microsoft.com/office/drawing/2010/main" w="9525" cap="flat" cmpd="sng" algn="ctr">
          <a:solidFill>
            <a:sysClr val="windowText" lastClr="000000">
              <a:lumMod val="15000"/>
              <a:lumOff val="85000"/>
            </a:sysClr>
          </a:solidFill>
          <a:round/>
        </a14:hiddenLine>
      </a:ext>
    </a:extLst>
  </c:spPr>
  <c:txPr>
    <a:bodyPr/>
    <a:lstStyle/>
    <a:p>
      <a:pPr>
        <a:defRPr sz="900">
          <a:latin typeface="+mj-lt"/>
        </a:defRPr>
      </a:pPr>
      <a:endParaRPr lang="en-US"/>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2917624249613126E-2"/>
          <c:y val="4.4753257209576423E-2"/>
          <c:w val="0.86622754704551452"/>
          <c:h val="0.7564397156841316"/>
        </c:manualLayout>
      </c:layout>
      <c:lineChart>
        <c:grouping val="standard"/>
        <c:varyColors val="0"/>
        <c:ser>
          <c:idx val="0"/>
          <c:order val="0"/>
          <c:tx>
            <c:strRef>
              <c:f>'Chart_3.1_data'!$B$1</c:f>
              <c:strCache>
                <c:ptCount val="1"/>
                <c:pt idx="0">
                  <c:v>Melbourne</c:v>
                </c:pt>
              </c:strCache>
            </c:strRef>
          </c:tx>
          <c:spPr>
            <a:ln w="22225" cap="rnd">
              <a:solidFill>
                <a:srgbClr val="414141"/>
              </a:solidFill>
              <a:round/>
            </a:ln>
            <a:effectLst/>
          </c:spPr>
          <c:marker>
            <c:symbol val="none"/>
          </c:marker>
          <c:cat>
            <c:numRef>
              <c:f>'Chart_3.1_data'!$A$2:$A$423</c:f>
              <c:numCache>
                <c:formatCode>mmm\-yyyy</c:formatCode>
                <c:ptCount val="422"/>
                <c:pt idx="0">
                  <c:v>46082</c:v>
                </c:pt>
                <c:pt idx="1">
                  <c:v>46054</c:v>
                </c:pt>
                <c:pt idx="2">
                  <c:v>46023</c:v>
                </c:pt>
                <c:pt idx="3">
                  <c:v>45992</c:v>
                </c:pt>
                <c:pt idx="4">
                  <c:v>45962</c:v>
                </c:pt>
                <c:pt idx="5">
                  <c:v>45931</c:v>
                </c:pt>
                <c:pt idx="6">
                  <c:v>45901</c:v>
                </c:pt>
                <c:pt idx="7">
                  <c:v>45870</c:v>
                </c:pt>
                <c:pt idx="8">
                  <c:v>45839</c:v>
                </c:pt>
                <c:pt idx="9">
                  <c:v>45809</c:v>
                </c:pt>
                <c:pt idx="10">
                  <c:v>45778</c:v>
                </c:pt>
                <c:pt idx="11">
                  <c:v>45748</c:v>
                </c:pt>
                <c:pt idx="12">
                  <c:v>45717</c:v>
                </c:pt>
                <c:pt idx="13">
                  <c:v>45689</c:v>
                </c:pt>
                <c:pt idx="14">
                  <c:v>45658</c:v>
                </c:pt>
                <c:pt idx="15">
                  <c:v>45627</c:v>
                </c:pt>
                <c:pt idx="16">
                  <c:v>45597</c:v>
                </c:pt>
                <c:pt idx="17">
                  <c:v>45566</c:v>
                </c:pt>
                <c:pt idx="18">
                  <c:v>45536</c:v>
                </c:pt>
                <c:pt idx="19">
                  <c:v>45505</c:v>
                </c:pt>
                <c:pt idx="20">
                  <c:v>45474</c:v>
                </c:pt>
                <c:pt idx="21">
                  <c:v>45444</c:v>
                </c:pt>
                <c:pt idx="22">
                  <c:v>45413</c:v>
                </c:pt>
                <c:pt idx="23">
                  <c:v>45383</c:v>
                </c:pt>
                <c:pt idx="24">
                  <c:v>45352</c:v>
                </c:pt>
                <c:pt idx="25">
                  <c:v>45323</c:v>
                </c:pt>
                <c:pt idx="26">
                  <c:v>45292</c:v>
                </c:pt>
                <c:pt idx="27">
                  <c:v>45261</c:v>
                </c:pt>
                <c:pt idx="28">
                  <c:v>45231</c:v>
                </c:pt>
                <c:pt idx="29">
                  <c:v>45200</c:v>
                </c:pt>
                <c:pt idx="30">
                  <c:v>45170</c:v>
                </c:pt>
                <c:pt idx="31">
                  <c:v>45139</c:v>
                </c:pt>
                <c:pt idx="32">
                  <c:v>45108</c:v>
                </c:pt>
                <c:pt idx="33">
                  <c:v>45078</c:v>
                </c:pt>
                <c:pt idx="34">
                  <c:v>45047</c:v>
                </c:pt>
                <c:pt idx="35">
                  <c:v>45017</c:v>
                </c:pt>
                <c:pt idx="36">
                  <c:v>44986</c:v>
                </c:pt>
                <c:pt idx="37">
                  <c:v>44958</c:v>
                </c:pt>
                <c:pt idx="38">
                  <c:v>44927</c:v>
                </c:pt>
                <c:pt idx="39">
                  <c:v>44896</c:v>
                </c:pt>
                <c:pt idx="40">
                  <c:v>44866</c:v>
                </c:pt>
                <c:pt idx="41">
                  <c:v>44835</c:v>
                </c:pt>
                <c:pt idx="42">
                  <c:v>44805</c:v>
                </c:pt>
                <c:pt idx="43">
                  <c:v>44774</c:v>
                </c:pt>
                <c:pt idx="44">
                  <c:v>44743</c:v>
                </c:pt>
                <c:pt idx="45">
                  <c:v>44713</c:v>
                </c:pt>
                <c:pt idx="46">
                  <c:v>44682</c:v>
                </c:pt>
                <c:pt idx="47">
                  <c:v>44652</c:v>
                </c:pt>
                <c:pt idx="48">
                  <c:v>44621</c:v>
                </c:pt>
                <c:pt idx="49">
                  <c:v>44593</c:v>
                </c:pt>
                <c:pt idx="50">
                  <c:v>44562</c:v>
                </c:pt>
                <c:pt idx="51">
                  <c:v>44531</c:v>
                </c:pt>
                <c:pt idx="52">
                  <c:v>44501</c:v>
                </c:pt>
                <c:pt idx="53">
                  <c:v>44470</c:v>
                </c:pt>
                <c:pt idx="54">
                  <c:v>44440</c:v>
                </c:pt>
                <c:pt idx="55">
                  <c:v>44409</c:v>
                </c:pt>
                <c:pt idx="56">
                  <c:v>44378</c:v>
                </c:pt>
                <c:pt idx="57">
                  <c:v>44348</c:v>
                </c:pt>
                <c:pt idx="58">
                  <c:v>44317</c:v>
                </c:pt>
                <c:pt idx="59">
                  <c:v>44287</c:v>
                </c:pt>
                <c:pt idx="60">
                  <c:v>44256</c:v>
                </c:pt>
                <c:pt idx="61">
                  <c:v>44228</c:v>
                </c:pt>
                <c:pt idx="62">
                  <c:v>44197</c:v>
                </c:pt>
                <c:pt idx="63">
                  <c:v>44166</c:v>
                </c:pt>
                <c:pt idx="64">
                  <c:v>44136</c:v>
                </c:pt>
                <c:pt idx="65">
                  <c:v>44105</c:v>
                </c:pt>
                <c:pt idx="66">
                  <c:v>44075</c:v>
                </c:pt>
                <c:pt idx="67">
                  <c:v>44044</c:v>
                </c:pt>
                <c:pt idx="68">
                  <c:v>44013</c:v>
                </c:pt>
                <c:pt idx="69">
                  <c:v>43983</c:v>
                </c:pt>
                <c:pt idx="70">
                  <c:v>43952</c:v>
                </c:pt>
                <c:pt idx="71">
                  <c:v>43922</c:v>
                </c:pt>
                <c:pt idx="72">
                  <c:v>43891</c:v>
                </c:pt>
                <c:pt idx="73">
                  <c:v>43862</c:v>
                </c:pt>
                <c:pt idx="74">
                  <c:v>43831</c:v>
                </c:pt>
                <c:pt idx="75">
                  <c:v>43800</c:v>
                </c:pt>
                <c:pt idx="76">
                  <c:v>43770</c:v>
                </c:pt>
                <c:pt idx="77">
                  <c:v>43739</c:v>
                </c:pt>
                <c:pt idx="78">
                  <c:v>43709</c:v>
                </c:pt>
                <c:pt idx="79">
                  <c:v>43678</c:v>
                </c:pt>
                <c:pt idx="80">
                  <c:v>43647</c:v>
                </c:pt>
                <c:pt idx="81">
                  <c:v>43617</c:v>
                </c:pt>
                <c:pt idx="82">
                  <c:v>43586</c:v>
                </c:pt>
                <c:pt idx="83">
                  <c:v>43556</c:v>
                </c:pt>
                <c:pt idx="84">
                  <c:v>43525</c:v>
                </c:pt>
                <c:pt idx="85">
                  <c:v>43497</c:v>
                </c:pt>
                <c:pt idx="86">
                  <c:v>43466</c:v>
                </c:pt>
                <c:pt idx="87">
                  <c:v>43435</c:v>
                </c:pt>
                <c:pt idx="88">
                  <c:v>43405</c:v>
                </c:pt>
                <c:pt idx="89">
                  <c:v>43374</c:v>
                </c:pt>
                <c:pt idx="90">
                  <c:v>43344</c:v>
                </c:pt>
                <c:pt idx="91">
                  <c:v>43313</c:v>
                </c:pt>
                <c:pt idx="92">
                  <c:v>43282</c:v>
                </c:pt>
                <c:pt idx="93">
                  <c:v>43252</c:v>
                </c:pt>
                <c:pt idx="94">
                  <c:v>43221</c:v>
                </c:pt>
                <c:pt idx="95">
                  <c:v>43191</c:v>
                </c:pt>
                <c:pt idx="96">
                  <c:v>43160</c:v>
                </c:pt>
                <c:pt idx="97">
                  <c:v>43132</c:v>
                </c:pt>
                <c:pt idx="98">
                  <c:v>43101</c:v>
                </c:pt>
                <c:pt idx="99">
                  <c:v>43070</c:v>
                </c:pt>
                <c:pt idx="100">
                  <c:v>43040</c:v>
                </c:pt>
                <c:pt idx="101">
                  <c:v>43009</c:v>
                </c:pt>
                <c:pt idx="102">
                  <c:v>42979</c:v>
                </c:pt>
                <c:pt idx="103">
                  <c:v>42948</c:v>
                </c:pt>
                <c:pt idx="104">
                  <c:v>42917</c:v>
                </c:pt>
                <c:pt idx="105">
                  <c:v>42887</c:v>
                </c:pt>
                <c:pt idx="106">
                  <c:v>42856</c:v>
                </c:pt>
                <c:pt idx="107">
                  <c:v>42826</c:v>
                </c:pt>
                <c:pt idx="108">
                  <c:v>42795</c:v>
                </c:pt>
                <c:pt idx="109">
                  <c:v>42767</c:v>
                </c:pt>
                <c:pt idx="110">
                  <c:v>42736</c:v>
                </c:pt>
                <c:pt idx="111">
                  <c:v>42705</c:v>
                </c:pt>
                <c:pt idx="112">
                  <c:v>42675</c:v>
                </c:pt>
                <c:pt idx="113">
                  <c:v>42644</c:v>
                </c:pt>
                <c:pt idx="114">
                  <c:v>42614</c:v>
                </c:pt>
                <c:pt idx="115">
                  <c:v>42583</c:v>
                </c:pt>
                <c:pt idx="116">
                  <c:v>42552</c:v>
                </c:pt>
                <c:pt idx="117">
                  <c:v>42522</c:v>
                </c:pt>
                <c:pt idx="118">
                  <c:v>42491</c:v>
                </c:pt>
                <c:pt idx="119">
                  <c:v>42461</c:v>
                </c:pt>
                <c:pt idx="120">
                  <c:v>42430</c:v>
                </c:pt>
                <c:pt idx="121">
                  <c:v>42401</c:v>
                </c:pt>
                <c:pt idx="122">
                  <c:v>42370</c:v>
                </c:pt>
                <c:pt idx="123">
                  <c:v>42339</c:v>
                </c:pt>
                <c:pt idx="124">
                  <c:v>42309</c:v>
                </c:pt>
                <c:pt idx="125">
                  <c:v>42278</c:v>
                </c:pt>
                <c:pt idx="126">
                  <c:v>42248</c:v>
                </c:pt>
                <c:pt idx="127">
                  <c:v>42217</c:v>
                </c:pt>
                <c:pt idx="128">
                  <c:v>42186</c:v>
                </c:pt>
                <c:pt idx="129">
                  <c:v>42156</c:v>
                </c:pt>
                <c:pt idx="130">
                  <c:v>42125</c:v>
                </c:pt>
                <c:pt idx="131">
                  <c:v>42095</c:v>
                </c:pt>
                <c:pt idx="132">
                  <c:v>42064</c:v>
                </c:pt>
                <c:pt idx="133">
                  <c:v>42036</c:v>
                </c:pt>
                <c:pt idx="134">
                  <c:v>42005</c:v>
                </c:pt>
                <c:pt idx="135">
                  <c:v>41974</c:v>
                </c:pt>
                <c:pt idx="136">
                  <c:v>41944</c:v>
                </c:pt>
                <c:pt idx="137">
                  <c:v>41913</c:v>
                </c:pt>
                <c:pt idx="138">
                  <c:v>41883</c:v>
                </c:pt>
                <c:pt idx="139">
                  <c:v>41852</c:v>
                </c:pt>
                <c:pt idx="140">
                  <c:v>41821</c:v>
                </c:pt>
                <c:pt idx="141">
                  <c:v>41791</c:v>
                </c:pt>
                <c:pt idx="142">
                  <c:v>41760</c:v>
                </c:pt>
                <c:pt idx="143">
                  <c:v>41730</c:v>
                </c:pt>
                <c:pt idx="144">
                  <c:v>41699</c:v>
                </c:pt>
                <c:pt idx="145">
                  <c:v>41671</c:v>
                </c:pt>
                <c:pt idx="146">
                  <c:v>41640</c:v>
                </c:pt>
                <c:pt idx="147">
                  <c:v>41609</c:v>
                </c:pt>
                <c:pt idx="148">
                  <c:v>41579</c:v>
                </c:pt>
                <c:pt idx="149">
                  <c:v>41548</c:v>
                </c:pt>
                <c:pt idx="150">
                  <c:v>41518</c:v>
                </c:pt>
                <c:pt idx="151">
                  <c:v>41487</c:v>
                </c:pt>
                <c:pt idx="152">
                  <c:v>41456</c:v>
                </c:pt>
                <c:pt idx="153">
                  <c:v>41426</c:v>
                </c:pt>
                <c:pt idx="154">
                  <c:v>41395</c:v>
                </c:pt>
                <c:pt idx="155">
                  <c:v>41365</c:v>
                </c:pt>
                <c:pt idx="156">
                  <c:v>41334</c:v>
                </c:pt>
                <c:pt idx="157">
                  <c:v>41306</c:v>
                </c:pt>
                <c:pt idx="158">
                  <c:v>41275</c:v>
                </c:pt>
                <c:pt idx="159">
                  <c:v>41244</c:v>
                </c:pt>
                <c:pt idx="160">
                  <c:v>41214</c:v>
                </c:pt>
                <c:pt idx="161">
                  <c:v>41183</c:v>
                </c:pt>
                <c:pt idx="162">
                  <c:v>41153</c:v>
                </c:pt>
                <c:pt idx="163">
                  <c:v>41122</c:v>
                </c:pt>
                <c:pt idx="164">
                  <c:v>41091</c:v>
                </c:pt>
                <c:pt idx="165">
                  <c:v>41061</c:v>
                </c:pt>
                <c:pt idx="166">
                  <c:v>41030</c:v>
                </c:pt>
                <c:pt idx="167">
                  <c:v>41000</c:v>
                </c:pt>
                <c:pt idx="168">
                  <c:v>40969</c:v>
                </c:pt>
                <c:pt idx="169">
                  <c:v>40940</c:v>
                </c:pt>
                <c:pt idx="170">
                  <c:v>40909</c:v>
                </c:pt>
                <c:pt idx="171">
                  <c:v>40878</c:v>
                </c:pt>
                <c:pt idx="172">
                  <c:v>40848</c:v>
                </c:pt>
                <c:pt idx="173">
                  <c:v>40817</c:v>
                </c:pt>
                <c:pt idx="174">
                  <c:v>40787</c:v>
                </c:pt>
                <c:pt idx="175">
                  <c:v>40756</c:v>
                </c:pt>
                <c:pt idx="176">
                  <c:v>40725</c:v>
                </c:pt>
                <c:pt idx="177">
                  <c:v>40695</c:v>
                </c:pt>
                <c:pt idx="178">
                  <c:v>40664</c:v>
                </c:pt>
                <c:pt idx="179">
                  <c:v>40634</c:v>
                </c:pt>
                <c:pt idx="180">
                  <c:v>40603</c:v>
                </c:pt>
                <c:pt idx="181">
                  <c:v>40575</c:v>
                </c:pt>
                <c:pt idx="182">
                  <c:v>40544</c:v>
                </c:pt>
                <c:pt idx="183">
                  <c:v>40513</c:v>
                </c:pt>
                <c:pt idx="184">
                  <c:v>40483</c:v>
                </c:pt>
                <c:pt idx="185">
                  <c:v>40452</c:v>
                </c:pt>
                <c:pt idx="186">
                  <c:v>40422</c:v>
                </c:pt>
                <c:pt idx="187">
                  <c:v>40391</c:v>
                </c:pt>
                <c:pt idx="188">
                  <c:v>40360</c:v>
                </c:pt>
                <c:pt idx="189">
                  <c:v>40330</c:v>
                </c:pt>
                <c:pt idx="190">
                  <c:v>40299</c:v>
                </c:pt>
                <c:pt idx="191">
                  <c:v>40269</c:v>
                </c:pt>
                <c:pt idx="192">
                  <c:v>40238</c:v>
                </c:pt>
                <c:pt idx="193">
                  <c:v>40210</c:v>
                </c:pt>
                <c:pt idx="194">
                  <c:v>40179</c:v>
                </c:pt>
                <c:pt idx="195">
                  <c:v>40148</c:v>
                </c:pt>
                <c:pt idx="196">
                  <c:v>40118</c:v>
                </c:pt>
                <c:pt idx="197">
                  <c:v>40087</c:v>
                </c:pt>
                <c:pt idx="198">
                  <c:v>40057</c:v>
                </c:pt>
                <c:pt idx="199">
                  <c:v>40026</c:v>
                </c:pt>
                <c:pt idx="200">
                  <c:v>39995</c:v>
                </c:pt>
                <c:pt idx="201">
                  <c:v>39965</c:v>
                </c:pt>
                <c:pt idx="202">
                  <c:v>39934</c:v>
                </c:pt>
                <c:pt idx="203">
                  <c:v>39904</c:v>
                </c:pt>
                <c:pt idx="204">
                  <c:v>39873</c:v>
                </c:pt>
                <c:pt idx="205">
                  <c:v>39845</c:v>
                </c:pt>
                <c:pt idx="206">
                  <c:v>39814</c:v>
                </c:pt>
                <c:pt idx="207">
                  <c:v>39783</c:v>
                </c:pt>
                <c:pt idx="208">
                  <c:v>39753</c:v>
                </c:pt>
                <c:pt idx="209">
                  <c:v>39722</c:v>
                </c:pt>
                <c:pt idx="210">
                  <c:v>39692</c:v>
                </c:pt>
                <c:pt idx="211">
                  <c:v>39661</c:v>
                </c:pt>
                <c:pt idx="212">
                  <c:v>39630</c:v>
                </c:pt>
                <c:pt idx="213">
                  <c:v>39600</c:v>
                </c:pt>
                <c:pt idx="214">
                  <c:v>39569</c:v>
                </c:pt>
                <c:pt idx="215">
                  <c:v>39539</c:v>
                </c:pt>
                <c:pt idx="216">
                  <c:v>39508</c:v>
                </c:pt>
                <c:pt idx="217">
                  <c:v>39479</c:v>
                </c:pt>
                <c:pt idx="218">
                  <c:v>39448</c:v>
                </c:pt>
                <c:pt idx="219">
                  <c:v>39417</c:v>
                </c:pt>
                <c:pt idx="220">
                  <c:v>39387</c:v>
                </c:pt>
                <c:pt idx="221">
                  <c:v>39356</c:v>
                </c:pt>
                <c:pt idx="222">
                  <c:v>39326</c:v>
                </c:pt>
                <c:pt idx="223">
                  <c:v>39295</c:v>
                </c:pt>
                <c:pt idx="224">
                  <c:v>39264</c:v>
                </c:pt>
                <c:pt idx="225">
                  <c:v>39234</c:v>
                </c:pt>
                <c:pt idx="226">
                  <c:v>39203</c:v>
                </c:pt>
                <c:pt idx="227">
                  <c:v>39173</c:v>
                </c:pt>
                <c:pt idx="228">
                  <c:v>39142</c:v>
                </c:pt>
                <c:pt idx="229">
                  <c:v>39114</c:v>
                </c:pt>
                <c:pt idx="230">
                  <c:v>39083</c:v>
                </c:pt>
                <c:pt idx="231">
                  <c:v>39052</c:v>
                </c:pt>
                <c:pt idx="232">
                  <c:v>39022</c:v>
                </c:pt>
                <c:pt idx="233">
                  <c:v>38991</c:v>
                </c:pt>
                <c:pt idx="234">
                  <c:v>38961</c:v>
                </c:pt>
                <c:pt idx="235">
                  <c:v>38930</c:v>
                </c:pt>
                <c:pt idx="236">
                  <c:v>38899</c:v>
                </c:pt>
                <c:pt idx="237">
                  <c:v>38869</c:v>
                </c:pt>
                <c:pt idx="238">
                  <c:v>38838</c:v>
                </c:pt>
                <c:pt idx="239">
                  <c:v>38808</c:v>
                </c:pt>
                <c:pt idx="240">
                  <c:v>38777</c:v>
                </c:pt>
                <c:pt idx="241">
                  <c:v>38749</c:v>
                </c:pt>
                <c:pt idx="242">
                  <c:v>38718</c:v>
                </c:pt>
                <c:pt idx="243">
                  <c:v>38687</c:v>
                </c:pt>
                <c:pt idx="244">
                  <c:v>38657</c:v>
                </c:pt>
                <c:pt idx="245">
                  <c:v>38626</c:v>
                </c:pt>
                <c:pt idx="246">
                  <c:v>38596</c:v>
                </c:pt>
                <c:pt idx="247">
                  <c:v>38565</c:v>
                </c:pt>
                <c:pt idx="248">
                  <c:v>38534</c:v>
                </c:pt>
                <c:pt idx="249">
                  <c:v>38504</c:v>
                </c:pt>
                <c:pt idx="250">
                  <c:v>38473</c:v>
                </c:pt>
                <c:pt idx="251">
                  <c:v>38443</c:v>
                </c:pt>
                <c:pt idx="252">
                  <c:v>38412</c:v>
                </c:pt>
                <c:pt idx="253">
                  <c:v>38384</c:v>
                </c:pt>
                <c:pt idx="254">
                  <c:v>38353</c:v>
                </c:pt>
                <c:pt idx="255">
                  <c:v>38322</c:v>
                </c:pt>
                <c:pt idx="256">
                  <c:v>38292</c:v>
                </c:pt>
                <c:pt idx="257">
                  <c:v>38261</c:v>
                </c:pt>
                <c:pt idx="258">
                  <c:v>38231</c:v>
                </c:pt>
                <c:pt idx="259">
                  <c:v>38200</c:v>
                </c:pt>
                <c:pt idx="260">
                  <c:v>38169</c:v>
                </c:pt>
                <c:pt idx="261">
                  <c:v>38139</c:v>
                </c:pt>
                <c:pt idx="262">
                  <c:v>38108</c:v>
                </c:pt>
                <c:pt idx="263">
                  <c:v>38078</c:v>
                </c:pt>
                <c:pt idx="264">
                  <c:v>38047</c:v>
                </c:pt>
                <c:pt idx="265">
                  <c:v>38018</c:v>
                </c:pt>
                <c:pt idx="266">
                  <c:v>37987</c:v>
                </c:pt>
                <c:pt idx="267">
                  <c:v>37956</c:v>
                </c:pt>
                <c:pt idx="268">
                  <c:v>37926</c:v>
                </c:pt>
                <c:pt idx="269">
                  <c:v>37895</c:v>
                </c:pt>
                <c:pt idx="270">
                  <c:v>37865</c:v>
                </c:pt>
                <c:pt idx="271">
                  <c:v>37834</c:v>
                </c:pt>
                <c:pt idx="272">
                  <c:v>37803</c:v>
                </c:pt>
                <c:pt idx="273">
                  <c:v>37773</c:v>
                </c:pt>
                <c:pt idx="274">
                  <c:v>37742</c:v>
                </c:pt>
                <c:pt idx="275">
                  <c:v>37712</c:v>
                </c:pt>
                <c:pt idx="276">
                  <c:v>37681</c:v>
                </c:pt>
                <c:pt idx="277">
                  <c:v>37653</c:v>
                </c:pt>
                <c:pt idx="278">
                  <c:v>37622</c:v>
                </c:pt>
                <c:pt idx="279">
                  <c:v>37591</c:v>
                </c:pt>
                <c:pt idx="280">
                  <c:v>37561</c:v>
                </c:pt>
                <c:pt idx="281">
                  <c:v>37530</c:v>
                </c:pt>
                <c:pt idx="282">
                  <c:v>37500</c:v>
                </c:pt>
                <c:pt idx="283">
                  <c:v>37469</c:v>
                </c:pt>
                <c:pt idx="284">
                  <c:v>37438</c:v>
                </c:pt>
                <c:pt idx="285">
                  <c:v>37408</c:v>
                </c:pt>
                <c:pt idx="286">
                  <c:v>37377</c:v>
                </c:pt>
                <c:pt idx="287">
                  <c:v>37347</c:v>
                </c:pt>
                <c:pt idx="288">
                  <c:v>37316</c:v>
                </c:pt>
                <c:pt idx="289">
                  <c:v>37288</c:v>
                </c:pt>
                <c:pt idx="290">
                  <c:v>37257</c:v>
                </c:pt>
                <c:pt idx="291">
                  <c:v>37226</c:v>
                </c:pt>
                <c:pt idx="292">
                  <c:v>37196</c:v>
                </c:pt>
                <c:pt idx="293">
                  <c:v>37165</c:v>
                </c:pt>
                <c:pt idx="294">
                  <c:v>37135</c:v>
                </c:pt>
                <c:pt idx="295">
                  <c:v>37104</c:v>
                </c:pt>
                <c:pt idx="296">
                  <c:v>37073</c:v>
                </c:pt>
                <c:pt idx="297">
                  <c:v>37043</c:v>
                </c:pt>
                <c:pt idx="298">
                  <c:v>37012</c:v>
                </c:pt>
                <c:pt idx="299">
                  <c:v>36982</c:v>
                </c:pt>
                <c:pt idx="300">
                  <c:v>36951</c:v>
                </c:pt>
                <c:pt idx="301">
                  <c:v>36923</c:v>
                </c:pt>
                <c:pt idx="302">
                  <c:v>36892</c:v>
                </c:pt>
                <c:pt idx="303">
                  <c:v>36861</c:v>
                </c:pt>
                <c:pt idx="304">
                  <c:v>36831</c:v>
                </c:pt>
                <c:pt idx="305">
                  <c:v>36800</c:v>
                </c:pt>
                <c:pt idx="306">
                  <c:v>36770</c:v>
                </c:pt>
                <c:pt idx="307">
                  <c:v>36739</c:v>
                </c:pt>
                <c:pt idx="308">
                  <c:v>36708</c:v>
                </c:pt>
                <c:pt idx="309">
                  <c:v>36678</c:v>
                </c:pt>
                <c:pt idx="310">
                  <c:v>36647</c:v>
                </c:pt>
                <c:pt idx="311">
                  <c:v>36617</c:v>
                </c:pt>
                <c:pt idx="312">
                  <c:v>36586</c:v>
                </c:pt>
                <c:pt idx="313">
                  <c:v>36557</c:v>
                </c:pt>
                <c:pt idx="314">
                  <c:v>36526</c:v>
                </c:pt>
                <c:pt idx="315">
                  <c:v>36495</c:v>
                </c:pt>
                <c:pt idx="316">
                  <c:v>36465</c:v>
                </c:pt>
                <c:pt idx="317">
                  <c:v>36434</c:v>
                </c:pt>
                <c:pt idx="318">
                  <c:v>36404</c:v>
                </c:pt>
                <c:pt idx="319">
                  <c:v>36373</c:v>
                </c:pt>
                <c:pt idx="320">
                  <c:v>36342</c:v>
                </c:pt>
                <c:pt idx="321">
                  <c:v>36312</c:v>
                </c:pt>
                <c:pt idx="322">
                  <c:v>36281</c:v>
                </c:pt>
                <c:pt idx="323">
                  <c:v>36251</c:v>
                </c:pt>
                <c:pt idx="324">
                  <c:v>36220</c:v>
                </c:pt>
                <c:pt idx="325">
                  <c:v>36192</c:v>
                </c:pt>
                <c:pt idx="326">
                  <c:v>36161</c:v>
                </c:pt>
                <c:pt idx="327">
                  <c:v>36130</c:v>
                </c:pt>
                <c:pt idx="328">
                  <c:v>36100</c:v>
                </c:pt>
                <c:pt idx="329">
                  <c:v>36069</c:v>
                </c:pt>
                <c:pt idx="330">
                  <c:v>36039</c:v>
                </c:pt>
                <c:pt idx="331">
                  <c:v>36008</c:v>
                </c:pt>
                <c:pt idx="332">
                  <c:v>35977</c:v>
                </c:pt>
                <c:pt idx="333">
                  <c:v>35947</c:v>
                </c:pt>
                <c:pt idx="334">
                  <c:v>35916</c:v>
                </c:pt>
                <c:pt idx="335">
                  <c:v>35886</c:v>
                </c:pt>
                <c:pt idx="336">
                  <c:v>35855</c:v>
                </c:pt>
                <c:pt idx="337">
                  <c:v>35827</c:v>
                </c:pt>
                <c:pt idx="338">
                  <c:v>35796</c:v>
                </c:pt>
                <c:pt idx="339">
                  <c:v>35765</c:v>
                </c:pt>
                <c:pt idx="340">
                  <c:v>35735</c:v>
                </c:pt>
                <c:pt idx="341">
                  <c:v>35704</c:v>
                </c:pt>
                <c:pt idx="342">
                  <c:v>35674</c:v>
                </c:pt>
                <c:pt idx="343">
                  <c:v>35643</c:v>
                </c:pt>
                <c:pt idx="344">
                  <c:v>35612</c:v>
                </c:pt>
                <c:pt idx="345">
                  <c:v>35582</c:v>
                </c:pt>
                <c:pt idx="346">
                  <c:v>35551</c:v>
                </c:pt>
                <c:pt idx="347">
                  <c:v>35521</c:v>
                </c:pt>
                <c:pt idx="348">
                  <c:v>35490</c:v>
                </c:pt>
                <c:pt idx="349">
                  <c:v>35462</c:v>
                </c:pt>
                <c:pt idx="350">
                  <c:v>35431</c:v>
                </c:pt>
                <c:pt idx="351">
                  <c:v>35400</c:v>
                </c:pt>
                <c:pt idx="352">
                  <c:v>35370</c:v>
                </c:pt>
                <c:pt idx="353">
                  <c:v>35339</c:v>
                </c:pt>
                <c:pt idx="354">
                  <c:v>35309</c:v>
                </c:pt>
                <c:pt idx="355">
                  <c:v>35278</c:v>
                </c:pt>
                <c:pt idx="356">
                  <c:v>35247</c:v>
                </c:pt>
                <c:pt idx="357">
                  <c:v>35217</c:v>
                </c:pt>
                <c:pt idx="358">
                  <c:v>35186</c:v>
                </c:pt>
                <c:pt idx="359">
                  <c:v>35156</c:v>
                </c:pt>
                <c:pt idx="360">
                  <c:v>35125</c:v>
                </c:pt>
                <c:pt idx="361">
                  <c:v>35096</c:v>
                </c:pt>
                <c:pt idx="362">
                  <c:v>35065</c:v>
                </c:pt>
                <c:pt idx="363">
                  <c:v>35034</c:v>
                </c:pt>
                <c:pt idx="364">
                  <c:v>35004</c:v>
                </c:pt>
                <c:pt idx="365">
                  <c:v>34973</c:v>
                </c:pt>
                <c:pt idx="366">
                  <c:v>34943</c:v>
                </c:pt>
                <c:pt idx="367">
                  <c:v>34912</c:v>
                </c:pt>
                <c:pt idx="368">
                  <c:v>34881</c:v>
                </c:pt>
                <c:pt idx="369">
                  <c:v>34851</c:v>
                </c:pt>
                <c:pt idx="370">
                  <c:v>34820</c:v>
                </c:pt>
                <c:pt idx="371">
                  <c:v>34790</c:v>
                </c:pt>
                <c:pt idx="372">
                  <c:v>34759</c:v>
                </c:pt>
                <c:pt idx="373">
                  <c:v>34731</c:v>
                </c:pt>
                <c:pt idx="374">
                  <c:v>34700</c:v>
                </c:pt>
                <c:pt idx="375">
                  <c:v>34669</c:v>
                </c:pt>
                <c:pt idx="376">
                  <c:v>34639</c:v>
                </c:pt>
                <c:pt idx="377">
                  <c:v>34608</c:v>
                </c:pt>
                <c:pt idx="378">
                  <c:v>34578</c:v>
                </c:pt>
                <c:pt idx="379">
                  <c:v>34547</c:v>
                </c:pt>
                <c:pt idx="380">
                  <c:v>34516</c:v>
                </c:pt>
                <c:pt idx="381">
                  <c:v>34486</c:v>
                </c:pt>
                <c:pt idx="382">
                  <c:v>34455</c:v>
                </c:pt>
                <c:pt idx="383">
                  <c:v>34425</c:v>
                </c:pt>
                <c:pt idx="384">
                  <c:v>34394</c:v>
                </c:pt>
                <c:pt idx="385">
                  <c:v>34366</c:v>
                </c:pt>
                <c:pt idx="386">
                  <c:v>34335</c:v>
                </c:pt>
                <c:pt idx="387">
                  <c:v>34304</c:v>
                </c:pt>
                <c:pt idx="388">
                  <c:v>34274</c:v>
                </c:pt>
                <c:pt idx="389">
                  <c:v>34243</c:v>
                </c:pt>
                <c:pt idx="390">
                  <c:v>34213</c:v>
                </c:pt>
                <c:pt idx="391">
                  <c:v>34182</c:v>
                </c:pt>
                <c:pt idx="392">
                  <c:v>34151</c:v>
                </c:pt>
                <c:pt idx="393">
                  <c:v>34121</c:v>
                </c:pt>
                <c:pt idx="394">
                  <c:v>34090</c:v>
                </c:pt>
                <c:pt idx="395">
                  <c:v>34060</c:v>
                </c:pt>
                <c:pt idx="396">
                  <c:v>34029</c:v>
                </c:pt>
                <c:pt idx="397">
                  <c:v>34001</c:v>
                </c:pt>
                <c:pt idx="398">
                  <c:v>33970</c:v>
                </c:pt>
                <c:pt idx="399">
                  <c:v>33939</c:v>
                </c:pt>
                <c:pt idx="400">
                  <c:v>33909</c:v>
                </c:pt>
                <c:pt idx="401">
                  <c:v>33878</c:v>
                </c:pt>
                <c:pt idx="402">
                  <c:v>33848</c:v>
                </c:pt>
                <c:pt idx="403">
                  <c:v>33817</c:v>
                </c:pt>
                <c:pt idx="404">
                  <c:v>33786</c:v>
                </c:pt>
                <c:pt idx="405">
                  <c:v>33756</c:v>
                </c:pt>
                <c:pt idx="406">
                  <c:v>33725</c:v>
                </c:pt>
                <c:pt idx="407">
                  <c:v>33695</c:v>
                </c:pt>
                <c:pt idx="408">
                  <c:v>33664</c:v>
                </c:pt>
                <c:pt idx="409">
                  <c:v>33635</c:v>
                </c:pt>
                <c:pt idx="410">
                  <c:v>33604</c:v>
                </c:pt>
                <c:pt idx="411">
                  <c:v>33573</c:v>
                </c:pt>
                <c:pt idx="412">
                  <c:v>33543</c:v>
                </c:pt>
                <c:pt idx="413">
                  <c:v>33512</c:v>
                </c:pt>
                <c:pt idx="414">
                  <c:v>33482</c:v>
                </c:pt>
                <c:pt idx="415">
                  <c:v>33451</c:v>
                </c:pt>
                <c:pt idx="416">
                  <c:v>33420</c:v>
                </c:pt>
                <c:pt idx="417">
                  <c:v>33390</c:v>
                </c:pt>
                <c:pt idx="418">
                  <c:v>33359</c:v>
                </c:pt>
                <c:pt idx="419">
                  <c:v>33329</c:v>
                </c:pt>
                <c:pt idx="420">
                  <c:v>33298</c:v>
                </c:pt>
                <c:pt idx="421">
                  <c:v>33270</c:v>
                </c:pt>
              </c:numCache>
            </c:numRef>
          </c:cat>
          <c:val>
            <c:numRef>
              <c:f>'Chart_3.1_data'!$B$2:$B$423</c:f>
              <c:numCache>
                <c:formatCode>0.0</c:formatCode>
                <c:ptCount val="422"/>
                <c:pt idx="0">
                  <c:v>4.6312353361215974</c:v>
                </c:pt>
                <c:pt idx="1">
                  <c:v>3.323139653414886</c:v>
                </c:pt>
                <c:pt idx="2">
                  <c:v>3.2569974554707448</c:v>
                </c:pt>
                <c:pt idx="3">
                  <c:v>3.0934150076569633</c:v>
                </c:pt>
                <c:pt idx="4">
                  <c:v>2.9526748971193228</c:v>
                </c:pt>
                <c:pt idx="5">
                  <c:v>3.2841061654446113</c:v>
                </c:pt>
                <c:pt idx="6">
                  <c:v>2.6694045174537884</c:v>
                </c:pt>
                <c:pt idx="7">
                  <c:v>2.4917627677100596</c:v>
                </c:pt>
                <c:pt idx="8">
                  <c:v>2.3253421133861529</c:v>
                </c:pt>
                <c:pt idx="9">
                  <c:v>1.7250284061563814</c:v>
                </c:pt>
                <c:pt idx="10">
                  <c:v>1.782198735882301</c:v>
                </c:pt>
                <c:pt idx="11">
                  <c:v>2.3002797637550421</c:v>
                </c:pt>
                <c:pt idx="12">
                  <c:v>2.3151527792262039</c:v>
                </c:pt>
                <c:pt idx="13">
                  <c:v>#N/A</c:v>
                </c:pt>
                <c:pt idx="14">
                  <c:v>#N/A</c:v>
                </c:pt>
                <c:pt idx="15">
                  <c:v>2.4752475247524774</c:v>
                </c:pt>
                <c:pt idx="16">
                  <c:v>#N/A</c:v>
                </c:pt>
                <c:pt idx="17">
                  <c:v>#N/A</c:v>
                </c:pt>
                <c:pt idx="18">
                  <c:v>2.9676735559088563</c:v>
                </c:pt>
                <c:pt idx="19">
                  <c:v>#N/A</c:v>
                </c:pt>
                <c:pt idx="20">
                  <c:v>#N/A</c:v>
                </c:pt>
                <c:pt idx="21">
                  <c:v>3.6182091475198686</c:v>
                </c:pt>
                <c:pt idx="22">
                  <c:v>#N/A</c:v>
                </c:pt>
                <c:pt idx="23">
                  <c:v>#N/A</c:v>
                </c:pt>
                <c:pt idx="24">
                  <c:v>3.6088600756347899</c:v>
                </c:pt>
                <c:pt idx="25">
                  <c:v>#N/A</c:v>
                </c:pt>
                <c:pt idx="26">
                  <c:v>#N/A</c:v>
                </c:pt>
                <c:pt idx="27">
                  <c:v>3.8617219122634383</c:v>
                </c:pt>
                <c:pt idx="28">
                  <c:v>#N/A</c:v>
                </c:pt>
                <c:pt idx="29">
                  <c:v>#N/A</c:v>
                </c:pt>
                <c:pt idx="30">
                  <c:v>4.8449827758639818</c:v>
                </c:pt>
                <c:pt idx="31">
                  <c:v>#N/A</c:v>
                </c:pt>
                <c:pt idx="32">
                  <c:v>#N/A</c:v>
                </c:pt>
                <c:pt idx="33">
                  <c:v>5.6488203266787718</c:v>
                </c:pt>
                <c:pt idx="34">
                  <c:v>#N/A</c:v>
                </c:pt>
                <c:pt idx="35">
                  <c:v>#N/A</c:v>
                </c:pt>
                <c:pt idx="36">
                  <c:v>6.8213296398891954</c:v>
                </c:pt>
                <c:pt idx="37">
                  <c:v>#N/A</c:v>
                </c:pt>
                <c:pt idx="38">
                  <c:v>#N/A</c:v>
                </c:pt>
                <c:pt idx="39">
                  <c:v>7.9220779220779081</c:v>
                </c:pt>
                <c:pt idx="40">
                  <c:v>#N/A</c:v>
                </c:pt>
                <c:pt idx="41">
                  <c:v>#N/A</c:v>
                </c:pt>
                <c:pt idx="42">
                  <c:v>7.4507462686567161</c:v>
                </c:pt>
                <c:pt idx="43">
                  <c:v>#N/A</c:v>
                </c:pt>
                <c:pt idx="44">
                  <c:v>#N/A</c:v>
                </c:pt>
                <c:pt idx="45">
                  <c:v>6.1273624653906289</c:v>
                </c:pt>
                <c:pt idx="46">
                  <c:v>#N/A</c:v>
                </c:pt>
                <c:pt idx="47">
                  <c:v>#N/A</c:v>
                </c:pt>
                <c:pt idx="48">
                  <c:v>4.574532287266142</c:v>
                </c:pt>
                <c:pt idx="49">
                  <c:v>#N/A</c:v>
                </c:pt>
                <c:pt idx="50">
                  <c:v>#N/A</c:v>
                </c:pt>
                <c:pt idx="51">
                  <c:v>2.5423728813559476</c:v>
                </c:pt>
                <c:pt idx="52">
                  <c:v>#N/A</c:v>
                </c:pt>
                <c:pt idx="53">
                  <c:v>#N/A</c:v>
                </c:pt>
                <c:pt idx="54">
                  <c:v>2.8617047408499019</c:v>
                </c:pt>
                <c:pt idx="55">
                  <c:v>#N/A</c:v>
                </c:pt>
                <c:pt idx="56">
                  <c:v>#N/A</c:v>
                </c:pt>
                <c:pt idx="57">
                  <c:v>2.9495600446151959</c:v>
                </c:pt>
                <c:pt idx="58">
                  <c:v>#N/A</c:v>
                </c:pt>
                <c:pt idx="59">
                  <c:v>#N/A</c:v>
                </c:pt>
                <c:pt idx="60">
                  <c:v>0.85209981740717033</c:v>
                </c:pt>
                <c:pt idx="61">
                  <c:v>#N/A</c:v>
                </c:pt>
                <c:pt idx="62">
                  <c:v>#N/A</c:v>
                </c:pt>
                <c:pt idx="63">
                  <c:v>1.2751348700343224</c:v>
                </c:pt>
                <c:pt idx="64">
                  <c:v>#N/A</c:v>
                </c:pt>
                <c:pt idx="65">
                  <c:v>#N/A</c:v>
                </c:pt>
                <c:pt idx="66">
                  <c:v>0.70500927643786238</c:v>
                </c:pt>
                <c:pt idx="67">
                  <c:v>#N/A</c:v>
                </c:pt>
                <c:pt idx="68">
                  <c:v>#N/A</c:v>
                </c:pt>
                <c:pt idx="69">
                  <c:v>0.38566807663598102</c:v>
                </c:pt>
                <c:pt idx="70">
                  <c:v>#N/A</c:v>
                </c:pt>
                <c:pt idx="71">
                  <c:v>#N/A</c:v>
                </c:pt>
                <c:pt idx="72">
                  <c:v>2.6618345413646605</c:v>
                </c:pt>
                <c:pt idx="73">
                  <c:v>#N/A</c:v>
                </c:pt>
                <c:pt idx="74">
                  <c:v>#N/A</c:v>
                </c:pt>
                <c:pt idx="75">
                  <c:v>2.0137585991244489</c:v>
                </c:pt>
                <c:pt idx="76">
                  <c:v>#N/A</c:v>
                </c:pt>
                <c:pt idx="77">
                  <c:v>#N/A</c:v>
                </c:pt>
                <c:pt idx="78">
                  <c:v>1.6597510373443924</c:v>
                </c:pt>
                <c:pt idx="79">
                  <c:v>#N/A</c:v>
                </c:pt>
                <c:pt idx="80">
                  <c:v>#N/A</c:v>
                </c:pt>
                <c:pt idx="81">
                  <c:v>1.310814217292644</c:v>
                </c:pt>
                <c:pt idx="82">
                  <c:v>#N/A</c:v>
                </c:pt>
                <c:pt idx="83">
                  <c:v>#N/A</c:v>
                </c:pt>
                <c:pt idx="84">
                  <c:v>1.2270714737507848</c:v>
                </c:pt>
                <c:pt idx="85">
                  <c:v>#N/A</c:v>
                </c:pt>
                <c:pt idx="86">
                  <c:v>#N/A</c:v>
                </c:pt>
                <c:pt idx="87">
                  <c:v>2.0681731137495163</c:v>
                </c:pt>
                <c:pt idx="88">
                  <c:v>#N/A</c:v>
                </c:pt>
                <c:pt idx="89">
                  <c:v>#N/A</c:v>
                </c:pt>
                <c:pt idx="90">
                  <c:v>2.2367913613575041</c:v>
                </c:pt>
                <c:pt idx="91">
                  <c:v>#N/A</c:v>
                </c:pt>
                <c:pt idx="92">
                  <c:v>#N/A</c:v>
                </c:pt>
                <c:pt idx="93">
                  <c:v>2.4402840542285364</c:v>
                </c:pt>
                <c:pt idx="94">
                  <c:v>#N/A</c:v>
                </c:pt>
                <c:pt idx="95">
                  <c:v>#N/A</c:v>
                </c:pt>
                <c:pt idx="96">
                  <c:v>2.2374547335747508</c:v>
                </c:pt>
                <c:pt idx="97">
                  <c:v>#N/A</c:v>
                </c:pt>
                <c:pt idx="98">
                  <c:v>#N/A</c:v>
                </c:pt>
                <c:pt idx="99">
                  <c:v>2.1784503000261024</c:v>
                </c:pt>
                <c:pt idx="100">
                  <c:v>#N/A</c:v>
                </c:pt>
                <c:pt idx="101">
                  <c:v>#N/A</c:v>
                </c:pt>
                <c:pt idx="102">
                  <c:v>2.1804807566005557</c:v>
                </c:pt>
                <c:pt idx="103">
                  <c:v>#N/A</c:v>
                </c:pt>
                <c:pt idx="104">
                  <c:v>#N/A</c:v>
                </c:pt>
                <c:pt idx="105">
                  <c:v>2.2172363732347877</c:v>
                </c:pt>
                <c:pt idx="106">
                  <c:v>#N/A</c:v>
                </c:pt>
                <c:pt idx="107">
                  <c:v>#N/A</c:v>
                </c:pt>
                <c:pt idx="108">
                  <c:v>2.4920466595970359</c:v>
                </c:pt>
                <c:pt idx="109">
                  <c:v>#N/A</c:v>
                </c:pt>
                <c:pt idx="110">
                  <c:v>#N/A</c:v>
                </c:pt>
                <c:pt idx="111">
                  <c:v>1.5364238410596087</c:v>
                </c:pt>
                <c:pt idx="112">
                  <c:v>#N/A</c:v>
                </c:pt>
                <c:pt idx="113">
                  <c:v>#N/A</c:v>
                </c:pt>
                <c:pt idx="114">
                  <c:v>1.4255262456701168</c:v>
                </c:pt>
                <c:pt idx="115">
                  <c:v>#N/A</c:v>
                </c:pt>
                <c:pt idx="116">
                  <c:v>#N/A</c:v>
                </c:pt>
                <c:pt idx="117">
                  <c:v>1.4052462526766618</c:v>
                </c:pt>
                <c:pt idx="118">
                  <c:v>#N/A</c:v>
                </c:pt>
                <c:pt idx="119">
                  <c:v>#N/A</c:v>
                </c:pt>
                <c:pt idx="120">
                  <c:v>1.6574585635359185</c:v>
                </c:pt>
                <c:pt idx="121">
                  <c:v>#N/A</c:v>
                </c:pt>
                <c:pt idx="122">
                  <c:v>#N/A</c:v>
                </c:pt>
                <c:pt idx="123">
                  <c:v>1.8343674130024246</c:v>
                </c:pt>
                <c:pt idx="124">
                  <c:v>#N/A</c:v>
                </c:pt>
                <c:pt idx="125">
                  <c:v>#N/A</c:v>
                </c:pt>
                <c:pt idx="126">
                  <c:v>1.4598540145985384</c:v>
                </c:pt>
                <c:pt idx="127">
                  <c:v>#N/A</c:v>
                </c:pt>
                <c:pt idx="128">
                  <c:v>#N/A</c:v>
                </c:pt>
                <c:pt idx="129">
                  <c:v>1.1232913790770072</c:v>
                </c:pt>
                <c:pt idx="130">
                  <c:v>#N/A</c:v>
                </c:pt>
                <c:pt idx="131">
                  <c:v>#N/A</c:v>
                </c:pt>
                <c:pt idx="132">
                  <c:v>1.0347174948944771</c:v>
                </c:pt>
                <c:pt idx="133">
                  <c:v>#N/A</c:v>
                </c:pt>
                <c:pt idx="134">
                  <c:v>#N/A</c:v>
                </c:pt>
                <c:pt idx="135">
                  <c:v>1.4504652435686882</c:v>
                </c:pt>
                <c:pt idx="136">
                  <c:v>#N/A</c:v>
                </c:pt>
                <c:pt idx="137">
                  <c:v>#N/A</c:v>
                </c:pt>
                <c:pt idx="138">
                  <c:v>2.0273065784029765</c:v>
                </c:pt>
                <c:pt idx="139">
                  <c:v>#N/A</c:v>
                </c:pt>
                <c:pt idx="140">
                  <c:v>#N/A</c:v>
                </c:pt>
                <c:pt idx="141">
                  <c:v>3.2848755940732444</c:v>
                </c:pt>
                <c:pt idx="142">
                  <c:v>#N/A</c:v>
                </c:pt>
                <c:pt idx="143">
                  <c:v>#N/A</c:v>
                </c:pt>
                <c:pt idx="144">
                  <c:v>2.8279434411311755</c:v>
                </c:pt>
                <c:pt idx="145">
                  <c:v>#N/A</c:v>
                </c:pt>
                <c:pt idx="146">
                  <c:v>#N/A</c:v>
                </c:pt>
                <c:pt idx="147">
                  <c:v>2.7270171492830952</c:v>
                </c:pt>
                <c:pt idx="148">
                  <c:v>#N/A</c:v>
                </c:pt>
                <c:pt idx="149">
                  <c:v>#N/A</c:v>
                </c:pt>
                <c:pt idx="150">
                  <c:v>2.371876323591704</c:v>
                </c:pt>
                <c:pt idx="151">
                  <c:v>#N/A</c:v>
                </c:pt>
                <c:pt idx="152">
                  <c:v>#N/A</c:v>
                </c:pt>
                <c:pt idx="153">
                  <c:v>2.1854020854163769</c:v>
                </c:pt>
                <c:pt idx="154">
                  <c:v>#N/A</c:v>
                </c:pt>
                <c:pt idx="155">
                  <c:v>#N/A</c:v>
                </c:pt>
                <c:pt idx="156">
                  <c:v>2.511481056257181</c:v>
                </c:pt>
                <c:pt idx="157">
                  <c:v>#N/A</c:v>
                </c:pt>
                <c:pt idx="158">
                  <c:v>#N/A</c:v>
                </c:pt>
                <c:pt idx="159">
                  <c:v>2.1099468924931752</c:v>
                </c:pt>
                <c:pt idx="160">
                  <c:v>#N/A</c:v>
                </c:pt>
                <c:pt idx="161">
                  <c:v>#N/A</c:v>
                </c:pt>
                <c:pt idx="162">
                  <c:v>1.7380063200229667</c:v>
                </c:pt>
                <c:pt idx="163">
                  <c:v>#N/A</c:v>
                </c:pt>
                <c:pt idx="164">
                  <c:v>#N/A</c:v>
                </c:pt>
                <c:pt idx="165">
                  <c:v>1.1851423616129564</c:v>
                </c:pt>
                <c:pt idx="166">
                  <c:v>#N/A</c:v>
                </c:pt>
                <c:pt idx="167">
                  <c:v>#N/A</c:v>
                </c:pt>
                <c:pt idx="168">
                  <c:v>1.396973224679865</c:v>
                </c:pt>
                <c:pt idx="169">
                  <c:v>#N/A</c:v>
                </c:pt>
                <c:pt idx="170">
                  <c:v>#N/A</c:v>
                </c:pt>
                <c:pt idx="171">
                  <c:v>3.1384159881569174</c:v>
                </c:pt>
                <c:pt idx="172">
                  <c:v>#N/A</c:v>
                </c:pt>
                <c:pt idx="173">
                  <c:v>#N/A</c:v>
                </c:pt>
                <c:pt idx="174">
                  <c:v>3.6628945801072232</c:v>
                </c:pt>
                <c:pt idx="175">
                  <c:v>#N/A</c:v>
                </c:pt>
                <c:pt idx="176">
                  <c:v>#N/A</c:v>
                </c:pt>
                <c:pt idx="177">
                  <c:v>3.5933522982482202</c:v>
                </c:pt>
                <c:pt idx="178">
                  <c:v>#N/A</c:v>
                </c:pt>
                <c:pt idx="179">
                  <c:v>#N/A</c:v>
                </c:pt>
                <c:pt idx="180">
                  <c:v>3.5407563658279351</c:v>
                </c:pt>
                <c:pt idx="181">
                  <c:v>#N/A</c:v>
                </c:pt>
                <c:pt idx="182">
                  <c:v>#N/A</c:v>
                </c:pt>
                <c:pt idx="183">
                  <c:v>3.0511060259343914</c:v>
                </c:pt>
                <c:pt idx="184">
                  <c:v>#N/A</c:v>
                </c:pt>
                <c:pt idx="185">
                  <c:v>#N/A</c:v>
                </c:pt>
                <c:pt idx="186">
                  <c:v>3.0693677102516803</c:v>
                </c:pt>
                <c:pt idx="187">
                  <c:v>#N/A</c:v>
                </c:pt>
                <c:pt idx="188">
                  <c:v>#N/A</c:v>
                </c:pt>
                <c:pt idx="189">
                  <c:v>3.0868961259453709</c:v>
                </c:pt>
                <c:pt idx="190">
                  <c:v>#N/A</c:v>
                </c:pt>
                <c:pt idx="191">
                  <c:v>#N/A</c:v>
                </c:pt>
                <c:pt idx="192">
                  <c:v>2.8035935563816672</c:v>
                </c:pt>
                <c:pt idx="193">
                  <c:v>#N/A</c:v>
                </c:pt>
                <c:pt idx="194">
                  <c:v>#N/A</c:v>
                </c:pt>
                <c:pt idx="195">
                  <c:v>1.7699115044247815</c:v>
                </c:pt>
                <c:pt idx="196">
                  <c:v>#N/A</c:v>
                </c:pt>
                <c:pt idx="197">
                  <c:v>#N/A</c:v>
                </c:pt>
                <c:pt idx="198">
                  <c:v>0.61766522544779434</c:v>
                </c:pt>
                <c:pt idx="199">
                  <c:v>#N/A</c:v>
                </c:pt>
                <c:pt idx="200">
                  <c:v>#N/A</c:v>
                </c:pt>
                <c:pt idx="201">
                  <c:v>1.2185596000624965</c:v>
                </c:pt>
                <c:pt idx="202">
                  <c:v>#N/A</c:v>
                </c:pt>
                <c:pt idx="203">
                  <c:v>#N/A</c:v>
                </c:pt>
                <c:pt idx="204">
                  <c:v>2.0550110654442122</c:v>
                </c:pt>
                <c:pt idx="205">
                  <c:v>#N/A</c:v>
                </c:pt>
                <c:pt idx="206">
                  <c:v>#N/A</c:v>
                </c:pt>
                <c:pt idx="207">
                  <c:v>3.1715521383949952</c:v>
                </c:pt>
                <c:pt idx="208">
                  <c:v>#N/A</c:v>
                </c:pt>
                <c:pt idx="209">
                  <c:v>#N/A</c:v>
                </c:pt>
                <c:pt idx="210">
                  <c:v>4.7557424781624169</c:v>
                </c:pt>
                <c:pt idx="211">
                  <c:v>#N/A</c:v>
                </c:pt>
                <c:pt idx="212">
                  <c:v>#N/A</c:v>
                </c:pt>
                <c:pt idx="213">
                  <c:v>4.4038492904909576</c:v>
                </c:pt>
                <c:pt idx="214">
                  <c:v>#N/A</c:v>
                </c:pt>
                <c:pt idx="215">
                  <c:v>#N/A</c:v>
                </c:pt>
                <c:pt idx="216">
                  <c:v>4.3549983503794243</c:v>
                </c:pt>
                <c:pt idx="217">
                  <c:v>#N/A</c:v>
                </c:pt>
                <c:pt idx="218">
                  <c:v>#N/A</c:v>
                </c:pt>
                <c:pt idx="219">
                  <c:v>3.2412766661154224</c:v>
                </c:pt>
                <c:pt idx="220">
                  <c:v>#N/A</c:v>
                </c:pt>
                <c:pt idx="221">
                  <c:v>#N/A</c:v>
                </c:pt>
                <c:pt idx="222">
                  <c:v>2.097440132122208</c:v>
                </c:pt>
                <c:pt idx="223">
                  <c:v>#N/A</c:v>
                </c:pt>
                <c:pt idx="224">
                  <c:v>#N/A</c:v>
                </c:pt>
                <c:pt idx="225">
                  <c:v>1.9793745841650168</c:v>
                </c:pt>
                <c:pt idx="226">
                  <c:v>#N/A</c:v>
                </c:pt>
                <c:pt idx="227">
                  <c:v>#N/A</c:v>
                </c:pt>
                <c:pt idx="228">
                  <c:v>2.2432113341204207</c:v>
                </c:pt>
                <c:pt idx="229">
                  <c:v>#N/A</c:v>
                </c:pt>
                <c:pt idx="230">
                  <c:v>#N/A</c:v>
                </c:pt>
                <c:pt idx="231">
                  <c:v>2.8926322953887862</c:v>
                </c:pt>
                <c:pt idx="232">
                  <c:v>#N/A</c:v>
                </c:pt>
                <c:pt idx="233">
                  <c:v>#N/A</c:v>
                </c:pt>
                <c:pt idx="234">
                  <c:v>3.4512215957628545</c:v>
                </c:pt>
                <c:pt idx="235">
                  <c:v>#N/A</c:v>
                </c:pt>
                <c:pt idx="236">
                  <c:v>#N/A</c:v>
                </c:pt>
                <c:pt idx="237">
                  <c:v>3.8700760193503658</c:v>
                </c:pt>
                <c:pt idx="238">
                  <c:v>#N/A</c:v>
                </c:pt>
                <c:pt idx="239">
                  <c:v>#N/A</c:v>
                </c:pt>
                <c:pt idx="240">
                  <c:v>2.8269164065209962</c:v>
                </c:pt>
                <c:pt idx="241">
                  <c:v>#N/A</c:v>
                </c:pt>
                <c:pt idx="242">
                  <c:v>#N/A</c:v>
                </c:pt>
                <c:pt idx="243">
                  <c:v>2.6550218340611442</c:v>
                </c:pt>
                <c:pt idx="244">
                  <c:v>#N/A</c:v>
                </c:pt>
                <c:pt idx="245">
                  <c:v>#N/A</c:v>
                </c:pt>
                <c:pt idx="246">
                  <c:v>2.9913777934189811</c:v>
                </c:pt>
                <c:pt idx="247">
                  <c:v>#N/A</c:v>
                </c:pt>
                <c:pt idx="248">
                  <c:v>#N/A</c:v>
                </c:pt>
                <c:pt idx="249">
                  <c:v>2.117148906139743</c:v>
                </c:pt>
                <c:pt idx="250">
                  <c:v>#N/A</c:v>
                </c:pt>
                <c:pt idx="251">
                  <c:v>#N/A</c:v>
                </c:pt>
                <c:pt idx="252">
                  <c:v>1.9628647214854134</c:v>
                </c:pt>
                <c:pt idx="253">
                  <c:v>#N/A</c:v>
                </c:pt>
                <c:pt idx="254">
                  <c:v>#N/A</c:v>
                </c:pt>
                <c:pt idx="255">
                  <c:v>2.2686673812075897</c:v>
                </c:pt>
                <c:pt idx="256">
                  <c:v>#N/A</c:v>
                </c:pt>
                <c:pt idx="257">
                  <c:v>#N/A</c:v>
                </c:pt>
                <c:pt idx="258">
                  <c:v>1.7000715819613488</c:v>
                </c:pt>
                <c:pt idx="259">
                  <c:v>#N/A</c:v>
                </c:pt>
                <c:pt idx="260">
                  <c:v>#N/A</c:v>
                </c:pt>
                <c:pt idx="261">
                  <c:v>2.1077283372365363</c:v>
                </c:pt>
                <c:pt idx="262">
                  <c:v>#N/A</c:v>
                </c:pt>
                <c:pt idx="263">
                  <c:v>#N/A</c:v>
                </c:pt>
                <c:pt idx="264">
                  <c:v>1.8368449486763749</c:v>
                </c:pt>
                <c:pt idx="265">
                  <c:v>#N/A</c:v>
                </c:pt>
                <c:pt idx="266">
                  <c:v>#N/A</c:v>
                </c:pt>
                <c:pt idx="267">
                  <c:v>2.2279035792549307</c:v>
                </c:pt>
                <c:pt idx="268">
                  <c:v>#N/A</c:v>
                </c:pt>
                <c:pt idx="269">
                  <c:v>#N/A</c:v>
                </c:pt>
                <c:pt idx="270">
                  <c:v>2.8908120051555963</c:v>
                </c:pt>
                <c:pt idx="271">
                  <c:v>#N/A</c:v>
                </c:pt>
                <c:pt idx="272">
                  <c:v>#N/A</c:v>
                </c:pt>
                <c:pt idx="273">
                  <c:v>2.9488130563798176</c:v>
                </c:pt>
                <c:pt idx="274">
                  <c:v>#N/A</c:v>
                </c:pt>
                <c:pt idx="275">
                  <c:v>#N/A</c:v>
                </c:pt>
                <c:pt idx="276">
                  <c:v>3.6007462686567182</c:v>
                </c:pt>
                <c:pt idx="277">
                  <c:v>#N/A</c:v>
                </c:pt>
                <c:pt idx="278">
                  <c:v>#N/A</c:v>
                </c:pt>
                <c:pt idx="279">
                  <c:v>3.1261770244821019</c:v>
                </c:pt>
                <c:pt idx="280">
                  <c:v>#N/A</c:v>
                </c:pt>
                <c:pt idx="281">
                  <c:v>#N/A</c:v>
                </c:pt>
                <c:pt idx="282">
                  <c:v>3.1528964862298281</c:v>
                </c:pt>
                <c:pt idx="283">
                  <c:v>#N/A</c:v>
                </c:pt>
                <c:pt idx="284">
                  <c:v>#N/A</c:v>
                </c:pt>
                <c:pt idx="285">
                  <c:v>2.9007633587786241</c:v>
                </c:pt>
                <c:pt idx="286">
                  <c:v>#N/A</c:v>
                </c:pt>
                <c:pt idx="287">
                  <c:v>#N/A</c:v>
                </c:pt>
                <c:pt idx="288">
                  <c:v>2.9383522181678501</c:v>
                </c:pt>
                <c:pt idx="289">
                  <c:v>#N/A</c:v>
                </c:pt>
                <c:pt idx="290">
                  <c:v>#N/A</c:v>
                </c:pt>
                <c:pt idx="291">
                  <c:v>3.0467688725014597</c:v>
                </c:pt>
                <c:pt idx="292">
                  <c:v>#N/A</c:v>
                </c:pt>
                <c:pt idx="293">
                  <c:v>#N/A</c:v>
                </c:pt>
                <c:pt idx="294">
                  <c:v>2.5116822429906538</c:v>
                </c:pt>
                <c:pt idx="295">
                  <c:v>#N/A</c:v>
                </c:pt>
                <c:pt idx="296">
                  <c:v>#N/A</c:v>
                </c:pt>
                <c:pt idx="297">
                  <c:v>5.901374292643502</c:v>
                </c:pt>
                <c:pt idx="298">
                  <c:v>#N/A</c:v>
                </c:pt>
                <c:pt idx="299">
                  <c:v>#N/A</c:v>
                </c:pt>
                <c:pt idx="300">
                  <c:v>5.9409969481180047</c:v>
                </c:pt>
                <c:pt idx="301">
                  <c:v>#N/A</c:v>
                </c:pt>
                <c:pt idx="302">
                  <c:v>#N/A</c:v>
                </c:pt>
                <c:pt idx="303">
                  <c:v>5.9198355601233432</c:v>
                </c:pt>
                <c:pt idx="304">
                  <c:v>#N/A</c:v>
                </c:pt>
                <c:pt idx="305">
                  <c:v>#N/A</c:v>
                </c:pt>
                <c:pt idx="306">
                  <c:v>6.2474141497724345</c:v>
                </c:pt>
                <c:pt idx="307">
                  <c:v>#N/A</c:v>
                </c:pt>
                <c:pt idx="308">
                  <c:v>#N/A</c:v>
                </c:pt>
                <c:pt idx="309">
                  <c:v>3.363275537915178</c:v>
                </c:pt>
                <c:pt idx="310">
                  <c:v>#N/A</c:v>
                </c:pt>
                <c:pt idx="311">
                  <c:v>#N/A</c:v>
                </c:pt>
                <c:pt idx="312">
                  <c:v>3.1046779945458347</c:v>
                </c:pt>
                <c:pt idx="313">
                  <c:v>#N/A</c:v>
                </c:pt>
                <c:pt idx="314">
                  <c:v>#N/A</c:v>
                </c:pt>
                <c:pt idx="315">
                  <c:v>2.2058823529411686</c:v>
                </c:pt>
                <c:pt idx="316">
                  <c:v>#N/A</c:v>
                </c:pt>
                <c:pt idx="317">
                  <c:v>#N/A</c:v>
                </c:pt>
                <c:pt idx="318">
                  <c:v>1.9401096583719912</c:v>
                </c:pt>
                <c:pt idx="319">
                  <c:v>#N/A</c:v>
                </c:pt>
                <c:pt idx="320">
                  <c:v>#N/A</c:v>
                </c:pt>
                <c:pt idx="321">
                  <c:v>0.99156118143459704</c:v>
                </c:pt>
                <c:pt idx="322">
                  <c:v>#N/A</c:v>
                </c:pt>
                <c:pt idx="323">
                  <c:v>#N/A</c:v>
                </c:pt>
                <c:pt idx="324">
                  <c:v>1.1672325976231024</c:v>
                </c:pt>
                <c:pt idx="325">
                  <c:v>#N/A</c:v>
                </c:pt>
                <c:pt idx="326">
                  <c:v>#N/A</c:v>
                </c:pt>
                <c:pt idx="327">
                  <c:v>0.84745762711864181</c:v>
                </c:pt>
                <c:pt idx="328">
                  <c:v>#N/A</c:v>
                </c:pt>
                <c:pt idx="329">
                  <c:v>#N/A</c:v>
                </c:pt>
                <c:pt idx="330">
                  <c:v>0.72217502124045652</c:v>
                </c:pt>
                <c:pt idx="331">
                  <c:v>#N/A</c:v>
                </c:pt>
                <c:pt idx="332">
                  <c:v>#N/A</c:v>
                </c:pt>
                <c:pt idx="333">
                  <c:v>0.33869602032174928</c:v>
                </c:pt>
                <c:pt idx="334">
                  <c:v>#N/A</c:v>
                </c:pt>
                <c:pt idx="335">
                  <c:v>#N/A</c:v>
                </c:pt>
                <c:pt idx="336">
                  <c:v>-0.42265426880812029</c:v>
                </c:pt>
                <c:pt idx="337">
                  <c:v>#N/A</c:v>
                </c:pt>
                <c:pt idx="338">
                  <c:v>#N/A</c:v>
                </c:pt>
                <c:pt idx="339">
                  <c:v>-8.4674005080442871E-2</c:v>
                </c:pt>
                <c:pt idx="340">
                  <c:v>#N/A</c:v>
                </c:pt>
                <c:pt idx="341">
                  <c:v>#N/A</c:v>
                </c:pt>
                <c:pt idx="342">
                  <c:v>-8.4889643463492703E-2</c:v>
                </c:pt>
                <c:pt idx="343">
                  <c:v>#N/A</c:v>
                </c:pt>
                <c:pt idx="344">
                  <c:v>#N/A</c:v>
                </c:pt>
                <c:pt idx="345">
                  <c:v>0.59625212947189699</c:v>
                </c:pt>
                <c:pt idx="346">
                  <c:v>#N/A</c:v>
                </c:pt>
                <c:pt idx="347">
                  <c:v>#N/A</c:v>
                </c:pt>
                <c:pt idx="348">
                  <c:v>1.5232782664664324</c:v>
                </c:pt>
                <c:pt idx="349">
                  <c:v>#N/A</c:v>
                </c:pt>
                <c:pt idx="350">
                  <c:v>#N/A</c:v>
                </c:pt>
                <c:pt idx="351">
                  <c:v>1.1779824373527648</c:v>
                </c:pt>
                <c:pt idx="352">
                  <c:v>#N/A</c:v>
                </c:pt>
                <c:pt idx="353">
                  <c:v>#N/A</c:v>
                </c:pt>
                <c:pt idx="354">
                  <c:v>1.705158644506799</c:v>
                </c:pt>
                <c:pt idx="355">
                  <c:v>#N/A</c:v>
                </c:pt>
                <c:pt idx="356">
                  <c:v>#N/A</c:v>
                </c:pt>
                <c:pt idx="357">
                  <c:v>2.5775447793796369</c:v>
                </c:pt>
                <c:pt idx="358">
                  <c:v>#N/A</c:v>
                </c:pt>
                <c:pt idx="359">
                  <c:v>#N/A</c:v>
                </c:pt>
                <c:pt idx="360">
                  <c:v>2.8691238137276365</c:v>
                </c:pt>
                <c:pt idx="361">
                  <c:v>#N/A</c:v>
                </c:pt>
                <c:pt idx="362">
                  <c:v>#N/A</c:v>
                </c:pt>
                <c:pt idx="363">
                  <c:v>4.780071813285458</c:v>
                </c:pt>
                <c:pt idx="364">
                  <c:v>#N/A</c:v>
                </c:pt>
                <c:pt idx="365">
                  <c:v>#N/A</c:v>
                </c:pt>
                <c:pt idx="366">
                  <c:v>4.7952951820855017</c:v>
                </c:pt>
                <c:pt idx="367">
                  <c:v>#N/A</c:v>
                </c:pt>
                <c:pt idx="368">
                  <c:v>#N/A</c:v>
                </c:pt>
                <c:pt idx="369">
                  <c:v>3.7389530931339232</c:v>
                </c:pt>
                <c:pt idx="370">
                  <c:v>#N/A</c:v>
                </c:pt>
                <c:pt idx="371">
                  <c:v>#N/A</c:v>
                </c:pt>
                <c:pt idx="372">
                  <c:v>3.4238758274366621</c:v>
                </c:pt>
                <c:pt idx="373">
                  <c:v>#N/A</c:v>
                </c:pt>
                <c:pt idx="374">
                  <c:v>#N/A</c:v>
                </c:pt>
                <c:pt idx="375">
                  <c:v>2.061383417315632</c:v>
                </c:pt>
                <c:pt idx="376">
                  <c:v>#N/A</c:v>
                </c:pt>
                <c:pt idx="377">
                  <c:v>#N/A</c:v>
                </c:pt>
                <c:pt idx="378">
                  <c:v>1.5388148828663351</c:v>
                </c:pt>
                <c:pt idx="379">
                  <c:v>#N/A</c:v>
                </c:pt>
                <c:pt idx="380">
                  <c:v>#N/A</c:v>
                </c:pt>
                <c:pt idx="381">
                  <c:v>1.7289073305670755</c:v>
                </c:pt>
                <c:pt idx="382">
                  <c:v>#N/A</c:v>
                </c:pt>
                <c:pt idx="383">
                  <c:v>#N/A</c:v>
                </c:pt>
                <c:pt idx="384">
                  <c:v>1.5530829856281958</c:v>
                </c:pt>
                <c:pt idx="385">
                  <c:v>#N/A</c:v>
                </c:pt>
                <c:pt idx="386">
                  <c:v>#N/A</c:v>
                </c:pt>
                <c:pt idx="387">
                  <c:v>2.4161388693408226</c:v>
                </c:pt>
                <c:pt idx="388">
                  <c:v>#N/A</c:v>
                </c:pt>
                <c:pt idx="389">
                  <c:v>#N/A</c:v>
                </c:pt>
                <c:pt idx="390">
                  <c:v>2.4229593036932506</c:v>
                </c:pt>
                <c:pt idx="391">
                  <c:v>#N/A</c:v>
                </c:pt>
                <c:pt idx="392">
                  <c:v>#N/A</c:v>
                </c:pt>
                <c:pt idx="393">
                  <c:v>1.7593244194229474</c:v>
                </c:pt>
                <c:pt idx="394">
                  <c:v>#N/A</c:v>
                </c:pt>
                <c:pt idx="395">
                  <c:v>#N/A</c:v>
                </c:pt>
                <c:pt idx="396">
                  <c:v>1.1014764471525718</c:v>
                </c:pt>
                <c:pt idx="397">
                  <c:v>#N/A</c:v>
                </c:pt>
                <c:pt idx="398">
                  <c:v>#N/A</c:v>
                </c:pt>
                <c:pt idx="399">
                  <c:v>-0.18730976352141493</c:v>
                </c:pt>
                <c:pt idx="400">
                  <c:v>#N/A</c:v>
                </c:pt>
                <c:pt idx="401">
                  <c:v>#N/A</c:v>
                </c:pt>
                <c:pt idx="402">
                  <c:v>0.28308563340408988</c:v>
                </c:pt>
                <c:pt idx="403">
                  <c:v>#N/A</c:v>
                </c:pt>
                <c:pt idx="404">
                  <c:v>#N/A</c:v>
                </c:pt>
                <c:pt idx="405">
                  <c:v>1.3070342205323326</c:v>
                </c:pt>
                <c:pt idx="406">
                  <c:v>#N/A</c:v>
                </c:pt>
                <c:pt idx="407">
                  <c:v>#N/A</c:v>
                </c:pt>
                <c:pt idx="408">
                  <c:v>2.0813397129186617</c:v>
                </c:pt>
                <c:pt idx="409">
                  <c:v>#N/A</c:v>
                </c:pt>
                <c:pt idx="410">
                  <c:v>#N/A</c:v>
                </c:pt>
                <c:pt idx="411">
                  <c:v>1.6904761904761978</c:v>
                </c:pt>
                <c:pt idx="412">
                  <c:v>#N/A</c:v>
                </c:pt>
                <c:pt idx="413">
                  <c:v>#N/A</c:v>
                </c:pt>
                <c:pt idx="414">
                  <c:v>3.9480137322216668</c:v>
                </c:pt>
                <c:pt idx="415">
                  <c:v>#N/A</c:v>
                </c:pt>
                <c:pt idx="416">
                  <c:v>#N/A</c:v>
                </c:pt>
                <c:pt idx="417">
                  <c:v>4.0039545229856532</c:v>
                </c:pt>
                <c:pt idx="418">
                  <c:v>#N/A</c:v>
                </c:pt>
                <c:pt idx="419">
                  <c:v>#N/A</c:v>
                </c:pt>
                <c:pt idx="420">
                  <c:v>5.3427419354838745</c:v>
                </c:pt>
                <c:pt idx="421">
                  <c:v>#N/A</c:v>
                </c:pt>
              </c:numCache>
            </c:numRef>
          </c:val>
          <c:smooth val="0"/>
          <c:extLst>
            <c:ext xmlns:c16="http://schemas.microsoft.com/office/drawing/2014/chart" uri="{C3380CC4-5D6E-409C-BE32-E72D297353CC}">
              <c16:uniqueId val="{00000000-6111-48BB-8F51-68347147E521}"/>
            </c:ext>
          </c:extLst>
        </c:ser>
        <c:ser>
          <c:idx val="1"/>
          <c:order val="1"/>
          <c:tx>
            <c:strRef>
              <c:f>'Chart_3.1_data'!$C$1</c:f>
              <c:strCache>
                <c:ptCount val="1"/>
                <c:pt idx="0">
                  <c:v>Australia</c:v>
                </c:pt>
              </c:strCache>
            </c:strRef>
          </c:tx>
          <c:spPr>
            <a:ln w="22225" cap="rnd">
              <a:solidFill>
                <a:srgbClr val="7F7F7F"/>
              </a:solidFill>
              <a:round/>
            </a:ln>
            <a:effectLst/>
          </c:spPr>
          <c:marker>
            <c:symbol val="none"/>
          </c:marker>
          <c:cat>
            <c:numRef>
              <c:f>'Chart_3.1_data'!$A$2:$A$423</c:f>
              <c:numCache>
                <c:formatCode>mmm\-yyyy</c:formatCode>
                <c:ptCount val="422"/>
                <c:pt idx="0">
                  <c:v>46082</c:v>
                </c:pt>
                <c:pt idx="1">
                  <c:v>46054</c:v>
                </c:pt>
                <c:pt idx="2">
                  <c:v>46023</c:v>
                </c:pt>
                <c:pt idx="3">
                  <c:v>45992</c:v>
                </c:pt>
                <c:pt idx="4">
                  <c:v>45962</c:v>
                </c:pt>
                <c:pt idx="5">
                  <c:v>45931</c:v>
                </c:pt>
                <c:pt idx="6">
                  <c:v>45901</c:v>
                </c:pt>
                <c:pt idx="7">
                  <c:v>45870</c:v>
                </c:pt>
                <c:pt idx="8">
                  <c:v>45839</c:v>
                </c:pt>
                <c:pt idx="9">
                  <c:v>45809</c:v>
                </c:pt>
                <c:pt idx="10">
                  <c:v>45778</c:v>
                </c:pt>
                <c:pt idx="11">
                  <c:v>45748</c:v>
                </c:pt>
                <c:pt idx="12">
                  <c:v>45717</c:v>
                </c:pt>
                <c:pt idx="13">
                  <c:v>45689</c:v>
                </c:pt>
                <c:pt idx="14">
                  <c:v>45658</c:v>
                </c:pt>
                <c:pt idx="15">
                  <c:v>45627</c:v>
                </c:pt>
                <c:pt idx="16">
                  <c:v>45597</c:v>
                </c:pt>
                <c:pt idx="17">
                  <c:v>45566</c:v>
                </c:pt>
                <c:pt idx="18">
                  <c:v>45536</c:v>
                </c:pt>
                <c:pt idx="19">
                  <c:v>45505</c:v>
                </c:pt>
                <c:pt idx="20">
                  <c:v>45474</c:v>
                </c:pt>
                <c:pt idx="21">
                  <c:v>45444</c:v>
                </c:pt>
                <c:pt idx="22">
                  <c:v>45413</c:v>
                </c:pt>
                <c:pt idx="23">
                  <c:v>45383</c:v>
                </c:pt>
                <c:pt idx="24">
                  <c:v>45352</c:v>
                </c:pt>
                <c:pt idx="25">
                  <c:v>45323</c:v>
                </c:pt>
                <c:pt idx="26">
                  <c:v>45292</c:v>
                </c:pt>
                <c:pt idx="27">
                  <c:v>45261</c:v>
                </c:pt>
                <c:pt idx="28">
                  <c:v>45231</c:v>
                </c:pt>
                <c:pt idx="29">
                  <c:v>45200</c:v>
                </c:pt>
                <c:pt idx="30">
                  <c:v>45170</c:v>
                </c:pt>
                <c:pt idx="31">
                  <c:v>45139</c:v>
                </c:pt>
                <c:pt idx="32">
                  <c:v>45108</c:v>
                </c:pt>
                <c:pt idx="33">
                  <c:v>45078</c:v>
                </c:pt>
                <c:pt idx="34">
                  <c:v>45047</c:v>
                </c:pt>
                <c:pt idx="35">
                  <c:v>45017</c:v>
                </c:pt>
                <c:pt idx="36">
                  <c:v>44986</c:v>
                </c:pt>
                <c:pt idx="37">
                  <c:v>44958</c:v>
                </c:pt>
                <c:pt idx="38">
                  <c:v>44927</c:v>
                </c:pt>
                <c:pt idx="39">
                  <c:v>44896</c:v>
                </c:pt>
                <c:pt idx="40">
                  <c:v>44866</c:v>
                </c:pt>
                <c:pt idx="41">
                  <c:v>44835</c:v>
                </c:pt>
                <c:pt idx="42">
                  <c:v>44805</c:v>
                </c:pt>
                <c:pt idx="43">
                  <c:v>44774</c:v>
                </c:pt>
                <c:pt idx="44">
                  <c:v>44743</c:v>
                </c:pt>
                <c:pt idx="45">
                  <c:v>44713</c:v>
                </c:pt>
                <c:pt idx="46">
                  <c:v>44682</c:v>
                </c:pt>
                <c:pt idx="47">
                  <c:v>44652</c:v>
                </c:pt>
                <c:pt idx="48">
                  <c:v>44621</c:v>
                </c:pt>
                <c:pt idx="49">
                  <c:v>44593</c:v>
                </c:pt>
                <c:pt idx="50">
                  <c:v>44562</c:v>
                </c:pt>
                <c:pt idx="51">
                  <c:v>44531</c:v>
                </c:pt>
                <c:pt idx="52">
                  <c:v>44501</c:v>
                </c:pt>
                <c:pt idx="53">
                  <c:v>44470</c:v>
                </c:pt>
                <c:pt idx="54">
                  <c:v>44440</c:v>
                </c:pt>
                <c:pt idx="55">
                  <c:v>44409</c:v>
                </c:pt>
                <c:pt idx="56">
                  <c:v>44378</c:v>
                </c:pt>
                <c:pt idx="57">
                  <c:v>44348</c:v>
                </c:pt>
                <c:pt idx="58">
                  <c:v>44317</c:v>
                </c:pt>
                <c:pt idx="59">
                  <c:v>44287</c:v>
                </c:pt>
                <c:pt idx="60">
                  <c:v>44256</c:v>
                </c:pt>
                <c:pt idx="61">
                  <c:v>44228</c:v>
                </c:pt>
                <c:pt idx="62">
                  <c:v>44197</c:v>
                </c:pt>
                <c:pt idx="63">
                  <c:v>44166</c:v>
                </c:pt>
                <c:pt idx="64">
                  <c:v>44136</c:v>
                </c:pt>
                <c:pt idx="65">
                  <c:v>44105</c:v>
                </c:pt>
                <c:pt idx="66">
                  <c:v>44075</c:v>
                </c:pt>
                <c:pt idx="67">
                  <c:v>44044</c:v>
                </c:pt>
                <c:pt idx="68">
                  <c:v>44013</c:v>
                </c:pt>
                <c:pt idx="69">
                  <c:v>43983</c:v>
                </c:pt>
                <c:pt idx="70">
                  <c:v>43952</c:v>
                </c:pt>
                <c:pt idx="71">
                  <c:v>43922</c:v>
                </c:pt>
                <c:pt idx="72">
                  <c:v>43891</c:v>
                </c:pt>
                <c:pt idx="73">
                  <c:v>43862</c:v>
                </c:pt>
                <c:pt idx="74">
                  <c:v>43831</c:v>
                </c:pt>
                <c:pt idx="75">
                  <c:v>43800</c:v>
                </c:pt>
                <c:pt idx="76">
                  <c:v>43770</c:v>
                </c:pt>
                <c:pt idx="77">
                  <c:v>43739</c:v>
                </c:pt>
                <c:pt idx="78">
                  <c:v>43709</c:v>
                </c:pt>
                <c:pt idx="79">
                  <c:v>43678</c:v>
                </c:pt>
                <c:pt idx="80">
                  <c:v>43647</c:v>
                </c:pt>
                <c:pt idx="81">
                  <c:v>43617</c:v>
                </c:pt>
                <c:pt idx="82">
                  <c:v>43586</c:v>
                </c:pt>
                <c:pt idx="83">
                  <c:v>43556</c:v>
                </c:pt>
                <c:pt idx="84">
                  <c:v>43525</c:v>
                </c:pt>
                <c:pt idx="85">
                  <c:v>43497</c:v>
                </c:pt>
                <c:pt idx="86">
                  <c:v>43466</c:v>
                </c:pt>
                <c:pt idx="87">
                  <c:v>43435</c:v>
                </c:pt>
                <c:pt idx="88">
                  <c:v>43405</c:v>
                </c:pt>
                <c:pt idx="89">
                  <c:v>43374</c:v>
                </c:pt>
                <c:pt idx="90">
                  <c:v>43344</c:v>
                </c:pt>
                <c:pt idx="91">
                  <c:v>43313</c:v>
                </c:pt>
                <c:pt idx="92">
                  <c:v>43282</c:v>
                </c:pt>
                <c:pt idx="93">
                  <c:v>43252</c:v>
                </c:pt>
                <c:pt idx="94">
                  <c:v>43221</c:v>
                </c:pt>
                <c:pt idx="95">
                  <c:v>43191</c:v>
                </c:pt>
                <c:pt idx="96">
                  <c:v>43160</c:v>
                </c:pt>
                <c:pt idx="97">
                  <c:v>43132</c:v>
                </c:pt>
                <c:pt idx="98">
                  <c:v>43101</c:v>
                </c:pt>
                <c:pt idx="99">
                  <c:v>43070</c:v>
                </c:pt>
                <c:pt idx="100">
                  <c:v>43040</c:v>
                </c:pt>
                <c:pt idx="101">
                  <c:v>43009</c:v>
                </c:pt>
                <c:pt idx="102">
                  <c:v>42979</c:v>
                </c:pt>
                <c:pt idx="103">
                  <c:v>42948</c:v>
                </c:pt>
                <c:pt idx="104">
                  <c:v>42917</c:v>
                </c:pt>
                <c:pt idx="105">
                  <c:v>42887</c:v>
                </c:pt>
                <c:pt idx="106">
                  <c:v>42856</c:v>
                </c:pt>
                <c:pt idx="107">
                  <c:v>42826</c:v>
                </c:pt>
                <c:pt idx="108">
                  <c:v>42795</c:v>
                </c:pt>
                <c:pt idx="109">
                  <c:v>42767</c:v>
                </c:pt>
                <c:pt idx="110">
                  <c:v>42736</c:v>
                </c:pt>
                <c:pt idx="111">
                  <c:v>42705</c:v>
                </c:pt>
                <c:pt idx="112">
                  <c:v>42675</c:v>
                </c:pt>
                <c:pt idx="113">
                  <c:v>42644</c:v>
                </c:pt>
                <c:pt idx="114">
                  <c:v>42614</c:v>
                </c:pt>
                <c:pt idx="115">
                  <c:v>42583</c:v>
                </c:pt>
                <c:pt idx="116">
                  <c:v>42552</c:v>
                </c:pt>
                <c:pt idx="117">
                  <c:v>42522</c:v>
                </c:pt>
                <c:pt idx="118">
                  <c:v>42491</c:v>
                </c:pt>
                <c:pt idx="119">
                  <c:v>42461</c:v>
                </c:pt>
                <c:pt idx="120">
                  <c:v>42430</c:v>
                </c:pt>
                <c:pt idx="121">
                  <c:v>42401</c:v>
                </c:pt>
                <c:pt idx="122">
                  <c:v>42370</c:v>
                </c:pt>
                <c:pt idx="123">
                  <c:v>42339</c:v>
                </c:pt>
                <c:pt idx="124">
                  <c:v>42309</c:v>
                </c:pt>
                <c:pt idx="125">
                  <c:v>42278</c:v>
                </c:pt>
                <c:pt idx="126">
                  <c:v>42248</c:v>
                </c:pt>
                <c:pt idx="127">
                  <c:v>42217</c:v>
                </c:pt>
                <c:pt idx="128">
                  <c:v>42186</c:v>
                </c:pt>
                <c:pt idx="129">
                  <c:v>42156</c:v>
                </c:pt>
                <c:pt idx="130">
                  <c:v>42125</c:v>
                </c:pt>
                <c:pt idx="131">
                  <c:v>42095</c:v>
                </c:pt>
                <c:pt idx="132">
                  <c:v>42064</c:v>
                </c:pt>
                <c:pt idx="133">
                  <c:v>42036</c:v>
                </c:pt>
                <c:pt idx="134">
                  <c:v>42005</c:v>
                </c:pt>
                <c:pt idx="135">
                  <c:v>41974</c:v>
                </c:pt>
                <c:pt idx="136">
                  <c:v>41944</c:v>
                </c:pt>
                <c:pt idx="137">
                  <c:v>41913</c:v>
                </c:pt>
                <c:pt idx="138">
                  <c:v>41883</c:v>
                </c:pt>
                <c:pt idx="139">
                  <c:v>41852</c:v>
                </c:pt>
                <c:pt idx="140">
                  <c:v>41821</c:v>
                </c:pt>
                <c:pt idx="141">
                  <c:v>41791</c:v>
                </c:pt>
                <c:pt idx="142">
                  <c:v>41760</c:v>
                </c:pt>
                <c:pt idx="143">
                  <c:v>41730</c:v>
                </c:pt>
                <c:pt idx="144">
                  <c:v>41699</c:v>
                </c:pt>
                <c:pt idx="145">
                  <c:v>41671</c:v>
                </c:pt>
                <c:pt idx="146">
                  <c:v>41640</c:v>
                </c:pt>
                <c:pt idx="147">
                  <c:v>41609</c:v>
                </c:pt>
                <c:pt idx="148">
                  <c:v>41579</c:v>
                </c:pt>
                <c:pt idx="149">
                  <c:v>41548</c:v>
                </c:pt>
                <c:pt idx="150">
                  <c:v>41518</c:v>
                </c:pt>
                <c:pt idx="151">
                  <c:v>41487</c:v>
                </c:pt>
                <c:pt idx="152">
                  <c:v>41456</c:v>
                </c:pt>
                <c:pt idx="153">
                  <c:v>41426</c:v>
                </c:pt>
                <c:pt idx="154">
                  <c:v>41395</c:v>
                </c:pt>
                <c:pt idx="155">
                  <c:v>41365</c:v>
                </c:pt>
                <c:pt idx="156">
                  <c:v>41334</c:v>
                </c:pt>
                <c:pt idx="157">
                  <c:v>41306</c:v>
                </c:pt>
                <c:pt idx="158">
                  <c:v>41275</c:v>
                </c:pt>
                <c:pt idx="159">
                  <c:v>41244</c:v>
                </c:pt>
                <c:pt idx="160">
                  <c:v>41214</c:v>
                </c:pt>
                <c:pt idx="161">
                  <c:v>41183</c:v>
                </c:pt>
                <c:pt idx="162">
                  <c:v>41153</c:v>
                </c:pt>
                <c:pt idx="163">
                  <c:v>41122</c:v>
                </c:pt>
                <c:pt idx="164">
                  <c:v>41091</c:v>
                </c:pt>
                <c:pt idx="165">
                  <c:v>41061</c:v>
                </c:pt>
                <c:pt idx="166">
                  <c:v>41030</c:v>
                </c:pt>
                <c:pt idx="167">
                  <c:v>41000</c:v>
                </c:pt>
                <c:pt idx="168">
                  <c:v>40969</c:v>
                </c:pt>
                <c:pt idx="169">
                  <c:v>40940</c:v>
                </c:pt>
                <c:pt idx="170">
                  <c:v>40909</c:v>
                </c:pt>
                <c:pt idx="171">
                  <c:v>40878</c:v>
                </c:pt>
                <c:pt idx="172">
                  <c:v>40848</c:v>
                </c:pt>
                <c:pt idx="173">
                  <c:v>40817</c:v>
                </c:pt>
                <c:pt idx="174">
                  <c:v>40787</c:v>
                </c:pt>
                <c:pt idx="175">
                  <c:v>40756</c:v>
                </c:pt>
                <c:pt idx="176">
                  <c:v>40725</c:v>
                </c:pt>
                <c:pt idx="177">
                  <c:v>40695</c:v>
                </c:pt>
                <c:pt idx="178">
                  <c:v>40664</c:v>
                </c:pt>
                <c:pt idx="179">
                  <c:v>40634</c:v>
                </c:pt>
                <c:pt idx="180">
                  <c:v>40603</c:v>
                </c:pt>
                <c:pt idx="181">
                  <c:v>40575</c:v>
                </c:pt>
                <c:pt idx="182">
                  <c:v>40544</c:v>
                </c:pt>
                <c:pt idx="183">
                  <c:v>40513</c:v>
                </c:pt>
                <c:pt idx="184">
                  <c:v>40483</c:v>
                </c:pt>
                <c:pt idx="185">
                  <c:v>40452</c:v>
                </c:pt>
                <c:pt idx="186">
                  <c:v>40422</c:v>
                </c:pt>
                <c:pt idx="187">
                  <c:v>40391</c:v>
                </c:pt>
                <c:pt idx="188">
                  <c:v>40360</c:v>
                </c:pt>
                <c:pt idx="189">
                  <c:v>40330</c:v>
                </c:pt>
                <c:pt idx="190">
                  <c:v>40299</c:v>
                </c:pt>
                <c:pt idx="191">
                  <c:v>40269</c:v>
                </c:pt>
                <c:pt idx="192">
                  <c:v>40238</c:v>
                </c:pt>
                <c:pt idx="193">
                  <c:v>40210</c:v>
                </c:pt>
                <c:pt idx="194">
                  <c:v>40179</c:v>
                </c:pt>
                <c:pt idx="195">
                  <c:v>40148</c:v>
                </c:pt>
                <c:pt idx="196">
                  <c:v>40118</c:v>
                </c:pt>
                <c:pt idx="197">
                  <c:v>40087</c:v>
                </c:pt>
                <c:pt idx="198">
                  <c:v>40057</c:v>
                </c:pt>
                <c:pt idx="199">
                  <c:v>40026</c:v>
                </c:pt>
                <c:pt idx="200">
                  <c:v>39995</c:v>
                </c:pt>
                <c:pt idx="201">
                  <c:v>39965</c:v>
                </c:pt>
                <c:pt idx="202">
                  <c:v>39934</c:v>
                </c:pt>
                <c:pt idx="203">
                  <c:v>39904</c:v>
                </c:pt>
                <c:pt idx="204">
                  <c:v>39873</c:v>
                </c:pt>
                <c:pt idx="205">
                  <c:v>39845</c:v>
                </c:pt>
                <c:pt idx="206">
                  <c:v>39814</c:v>
                </c:pt>
                <c:pt idx="207">
                  <c:v>39783</c:v>
                </c:pt>
                <c:pt idx="208">
                  <c:v>39753</c:v>
                </c:pt>
                <c:pt idx="209">
                  <c:v>39722</c:v>
                </c:pt>
                <c:pt idx="210">
                  <c:v>39692</c:v>
                </c:pt>
                <c:pt idx="211">
                  <c:v>39661</c:v>
                </c:pt>
                <c:pt idx="212">
                  <c:v>39630</c:v>
                </c:pt>
                <c:pt idx="213">
                  <c:v>39600</c:v>
                </c:pt>
                <c:pt idx="214">
                  <c:v>39569</c:v>
                </c:pt>
                <c:pt idx="215">
                  <c:v>39539</c:v>
                </c:pt>
                <c:pt idx="216">
                  <c:v>39508</c:v>
                </c:pt>
                <c:pt idx="217">
                  <c:v>39479</c:v>
                </c:pt>
                <c:pt idx="218">
                  <c:v>39448</c:v>
                </c:pt>
                <c:pt idx="219">
                  <c:v>39417</c:v>
                </c:pt>
                <c:pt idx="220">
                  <c:v>39387</c:v>
                </c:pt>
                <c:pt idx="221">
                  <c:v>39356</c:v>
                </c:pt>
                <c:pt idx="222">
                  <c:v>39326</c:v>
                </c:pt>
                <c:pt idx="223">
                  <c:v>39295</c:v>
                </c:pt>
                <c:pt idx="224">
                  <c:v>39264</c:v>
                </c:pt>
                <c:pt idx="225">
                  <c:v>39234</c:v>
                </c:pt>
                <c:pt idx="226">
                  <c:v>39203</c:v>
                </c:pt>
                <c:pt idx="227">
                  <c:v>39173</c:v>
                </c:pt>
                <c:pt idx="228">
                  <c:v>39142</c:v>
                </c:pt>
                <c:pt idx="229">
                  <c:v>39114</c:v>
                </c:pt>
                <c:pt idx="230">
                  <c:v>39083</c:v>
                </c:pt>
                <c:pt idx="231">
                  <c:v>39052</c:v>
                </c:pt>
                <c:pt idx="232">
                  <c:v>39022</c:v>
                </c:pt>
                <c:pt idx="233">
                  <c:v>38991</c:v>
                </c:pt>
                <c:pt idx="234">
                  <c:v>38961</c:v>
                </c:pt>
                <c:pt idx="235">
                  <c:v>38930</c:v>
                </c:pt>
                <c:pt idx="236">
                  <c:v>38899</c:v>
                </c:pt>
                <c:pt idx="237">
                  <c:v>38869</c:v>
                </c:pt>
                <c:pt idx="238">
                  <c:v>38838</c:v>
                </c:pt>
                <c:pt idx="239">
                  <c:v>38808</c:v>
                </c:pt>
                <c:pt idx="240">
                  <c:v>38777</c:v>
                </c:pt>
                <c:pt idx="241">
                  <c:v>38749</c:v>
                </c:pt>
                <c:pt idx="242">
                  <c:v>38718</c:v>
                </c:pt>
                <c:pt idx="243">
                  <c:v>38687</c:v>
                </c:pt>
                <c:pt idx="244">
                  <c:v>38657</c:v>
                </c:pt>
                <c:pt idx="245">
                  <c:v>38626</c:v>
                </c:pt>
                <c:pt idx="246">
                  <c:v>38596</c:v>
                </c:pt>
                <c:pt idx="247">
                  <c:v>38565</c:v>
                </c:pt>
                <c:pt idx="248">
                  <c:v>38534</c:v>
                </c:pt>
                <c:pt idx="249">
                  <c:v>38504</c:v>
                </c:pt>
                <c:pt idx="250">
                  <c:v>38473</c:v>
                </c:pt>
                <c:pt idx="251">
                  <c:v>38443</c:v>
                </c:pt>
                <c:pt idx="252">
                  <c:v>38412</c:v>
                </c:pt>
                <c:pt idx="253">
                  <c:v>38384</c:v>
                </c:pt>
                <c:pt idx="254">
                  <c:v>38353</c:v>
                </c:pt>
                <c:pt idx="255">
                  <c:v>38322</c:v>
                </c:pt>
                <c:pt idx="256">
                  <c:v>38292</c:v>
                </c:pt>
                <c:pt idx="257">
                  <c:v>38261</c:v>
                </c:pt>
                <c:pt idx="258">
                  <c:v>38231</c:v>
                </c:pt>
                <c:pt idx="259">
                  <c:v>38200</c:v>
                </c:pt>
                <c:pt idx="260">
                  <c:v>38169</c:v>
                </c:pt>
                <c:pt idx="261">
                  <c:v>38139</c:v>
                </c:pt>
                <c:pt idx="262">
                  <c:v>38108</c:v>
                </c:pt>
                <c:pt idx="263">
                  <c:v>38078</c:v>
                </c:pt>
                <c:pt idx="264">
                  <c:v>38047</c:v>
                </c:pt>
                <c:pt idx="265">
                  <c:v>38018</c:v>
                </c:pt>
                <c:pt idx="266">
                  <c:v>37987</c:v>
                </c:pt>
                <c:pt idx="267">
                  <c:v>37956</c:v>
                </c:pt>
                <c:pt idx="268">
                  <c:v>37926</c:v>
                </c:pt>
                <c:pt idx="269">
                  <c:v>37895</c:v>
                </c:pt>
                <c:pt idx="270">
                  <c:v>37865</c:v>
                </c:pt>
                <c:pt idx="271">
                  <c:v>37834</c:v>
                </c:pt>
                <c:pt idx="272">
                  <c:v>37803</c:v>
                </c:pt>
                <c:pt idx="273">
                  <c:v>37773</c:v>
                </c:pt>
                <c:pt idx="274">
                  <c:v>37742</c:v>
                </c:pt>
                <c:pt idx="275">
                  <c:v>37712</c:v>
                </c:pt>
                <c:pt idx="276">
                  <c:v>37681</c:v>
                </c:pt>
                <c:pt idx="277">
                  <c:v>37653</c:v>
                </c:pt>
                <c:pt idx="278">
                  <c:v>37622</c:v>
                </c:pt>
                <c:pt idx="279">
                  <c:v>37591</c:v>
                </c:pt>
                <c:pt idx="280">
                  <c:v>37561</c:v>
                </c:pt>
                <c:pt idx="281">
                  <c:v>37530</c:v>
                </c:pt>
                <c:pt idx="282">
                  <c:v>37500</c:v>
                </c:pt>
                <c:pt idx="283">
                  <c:v>37469</c:v>
                </c:pt>
                <c:pt idx="284">
                  <c:v>37438</c:v>
                </c:pt>
                <c:pt idx="285">
                  <c:v>37408</c:v>
                </c:pt>
                <c:pt idx="286">
                  <c:v>37377</c:v>
                </c:pt>
                <c:pt idx="287">
                  <c:v>37347</c:v>
                </c:pt>
                <c:pt idx="288">
                  <c:v>37316</c:v>
                </c:pt>
                <c:pt idx="289">
                  <c:v>37288</c:v>
                </c:pt>
                <c:pt idx="290">
                  <c:v>37257</c:v>
                </c:pt>
                <c:pt idx="291">
                  <c:v>37226</c:v>
                </c:pt>
                <c:pt idx="292">
                  <c:v>37196</c:v>
                </c:pt>
                <c:pt idx="293">
                  <c:v>37165</c:v>
                </c:pt>
                <c:pt idx="294">
                  <c:v>37135</c:v>
                </c:pt>
                <c:pt idx="295">
                  <c:v>37104</c:v>
                </c:pt>
                <c:pt idx="296">
                  <c:v>37073</c:v>
                </c:pt>
                <c:pt idx="297">
                  <c:v>37043</c:v>
                </c:pt>
                <c:pt idx="298">
                  <c:v>37012</c:v>
                </c:pt>
                <c:pt idx="299">
                  <c:v>36982</c:v>
                </c:pt>
                <c:pt idx="300">
                  <c:v>36951</c:v>
                </c:pt>
                <c:pt idx="301">
                  <c:v>36923</c:v>
                </c:pt>
                <c:pt idx="302">
                  <c:v>36892</c:v>
                </c:pt>
                <c:pt idx="303">
                  <c:v>36861</c:v>
                </c:pt>
                <c:pt idx="304">
                  <c:v>36831</c:v>
                </c:pt>
                <c:pt idx="305">
                  <c:v>36800</c:v>
                </c:pt>
                <c:pt idx="306">
                  <c:v>36770</c:v>
                </c:pt>
                <c:pt idx="307">
                  <c:v>36739</c:v>
                </c:pt>
                <c:pt idx="308">
                  <c:v>36708</c:v>
                </c:pt>
                <c:pt idx="309">
                  <c:v>36678</c:v>
                </c:pt>
                <c:pt idx="310">
                  <c:v>36647</c:v>
                </c:pt>
                <c:pt idx="311">
                  <c:v>36617</c:v>
                </c:pt>
                <c:pt idx="312">
                  <c:v>36586</c:v>
                </c:pt>
                <c:pt idx="313">
                  <c:v>36557</c:v>
                </c:pt>
                <c:pt idx="314">
                  <c:v>36526</c:v>
                </c:pt>
                <c:pt idx="315">
                  <c:v>36495</c:v>
                </c:pt>
                <c:pt idx="316">
                  <c:v>36465</c:v>
                </c:pt>
                <c:pt idx="317">
                  <c:v>36434</c:v>
                </c:pt>
                <c:pt idx="318">
                  <c:v>36404</c:v>
                </c:pt>
                <c:pt idx="319">
                  <c:v>36373</c:v>
                </c:pt>
                <c:pt idx="320">
                  <c:v>36342</c:v>
                </c:pt>
                <c:pt idx="321">
                  <c:v>36312</c:v>
                </c:pt>
                <c:pt idx="322">
                  <c:v>36281</c:v>
                </c:pt>
                <c:pt idx="323">
                  <c:v>36251</c:v>
                </c:pt>
                <c:pt idx="324">
                  <c:v>36220</c:v>
                </c:pt>
                <c:pt idx="325">
                  <c:v>36192</c:v>
                </c:pt>
                <c:pt idx="326">
                  <c:v>36161</c:v>
                </c:pt>
                <c:pt idx="327">
                  <c:v>36130</c:v>
                </c:pt>
                <c:pt idx="328">
                  <c:v>36100</c:v>
                </c:pt>
                <c:pt idx="329">
                  <c:v>36069</c:v>
                </c:pt>
                <c:pt idx="330">
                  <c:v>36039</c:v>
                </c:pt>
                <c:pt idx="331">
                  <c:v>36008</c:v>
                </c:pt>
                <c:pt idx="332">
                  <c:v>35977</c:v>
                </c:pt>
                <c:pt idx="333">
                  <c:v>35947</c:v>
                </c:pt>
                <c:pt idx="334">
                  <c:v>35916</c:v>
                </c:pt>
                <c:pt idx="335">
                  <c:v>35886</c:v>
                </c:pt>
                <c:pt idx="336">
                  <c:v>35855</c:v>
                </c:pt>
                <c:pt idx="337">
                  <c:v>35827</c:v>
                </c:pt>
                <c:pt idx="338">
                  <c:v>35796</c:v>
                </c:pt>
                <c:pt idx="339">
                  <c:v>35765</c:v>
                </c:pt>
                <c:pt idx="340">
                  <c:v>35735</c:v>
                </c:pt>
                <c:pt idx="341">
                  <c:v>35704</c:v>
                </c:pt>
                <c:pt idx="342">
                  <c:v>35674</c:v>
                </c:pt>
                <c:pt idx="343">
                  <c:v>35643</c:v>
                </c:pt>
                <c:pt idx="344">
                  <c:v>35612</c:v>
                </c:pt>
                <c:pt idx="345">
                  <c:v>35582</c:v>
                </c:pt>
                <c:pt idx="346">
                  <c:v>35551</c:v>
                </c:pt>
                <c:pt idx="347">
                  <c:v>35521</c:v>
                </c:pt>
                <c:pt idx="348">
                  <c:v>35490</c:v>
                </c:pt>
                <c:pt idx="349">
                  <c:v>35462</c:v>
                </c:pt>
                <c:pt idx="350">
                  <c:v>35431</c:v>
                </c:pt>
                <c:pt idx="351">
                  <c:v>35400</c:v>
                </c:pt>
                <c:pt idx="352">
                  <c:v>35370</c:v>
                </c:pt>
                <c:pt idx="353">
                  <c:v>35339</c:v>
                </c:pt>
                <c:pt idx="354">
                  <c:v>35309</c:v>
                </c:pt>
                <c:pt idx="355">
                  <c:v>35278</c:v>
                </c:pt>
                <c:pt idx="356">
                  <c:v>35247</c:v>
                </c:pt>
                <c:pt idx="357">
                  <c:v>35217</c:v>
                </c:pt>
                <c:pt idx="358">
                  <c:v>35186</c:v>
                </c:pt>
                <c:pt idx="359">
                  <c:v>35156</c:v>
                </c:pt>
                <c:pt idx="360">
                  <c:v>35125</c:v>
                </c:pt>
                <c:pt idx="361">
                  <c:v>35096</c:v>
                </c:pt>
                <c:pt idx="362">
                  <c:v>35065</c:v>
                </c:pt>
                <c:pt idx="363">
                  <c:v>35034</c:v>
                </c:pt>
                <c:pt idx="364">
                  <c:v>35004</c:v>
                </c:pt>
                <c:pt idx="365">
                  <c:v>34973</c:v>
                </c:pt>
                <c:pt idx="366">
                  <c:v>34943</c:v>
                </c:pt>
                <c:pt idx="367">
                  <c:v>34912</c:v>
                </c:pt>
                <c:pt idx="368">
                  <c:v>34881</c:v>
                </c:pt>
                <c:pt idx="369">
                  <c:v>34851</c:v>
                </c:pt>
                <c:pt idx="370">
                  <c:v>34820</c:v>
                </c:pt>
                <c:pt idx="371">
                  <c:v>34790</c:v>
                </c:pt>
                <c:pt idx="372">
                  <c:v>34759</c:v>
                </c:pt>
                <c:pt idx="373">
                  <c:v>34731</c:v>
                </c:pt>
                <c:pt idx="374">
                  <c:v>34700</c:v>
                </c:pt>
                <c:pt idx="375">
                  <c:v>34669</c:v>
                </c:pt>
                <c:pt idx="376">
                  <c:v>34639</c:v>
                </c:pt>
                <c:pt idx="377">
                  <c:v>34608</c:v>
                </c:pt>
                <c:pt idx="378">
                  <c:v>34578</c:v>
                </c:pt>
                <c:pt idx="379">
                  <c:v>34547</c:v>
                </c:pt>
                <c:pt idx="380">
                  <c:v>34516</c:v>
                </c:pt>
                <c:pt idx="381">
                  <c:v>34486</c:v>
                </c:pt>
                <c:pt idx="382">
                  <c:v>34455</c:v>
                </c:pt>
                <c:pt idx="383">
                  <c:v>34425</c:v>
                </c:pt>
                <c:pt idx="384">
                  <c:v>34394</c:v>
                </c:pt>
                <c:pt idx="385">
                  <c:v>34366</c:v>
                </c:pt>
                <c:pt idx="386">
                  <c:v>34335</c:v>
                </c:pt>
                <c:pt idx="387">
                  <c:v>34304</c:v>
                </c:pt>
                <c:pt idx="388">
                  <c:v>34274</c:v>
                </c:pt>
                <c:pt idx="389">
                  <c:v>34243</c:v>
                </c:pt>
                <c:pt idx="390">
                  <c:v>34213</c:v>
                </c:pt>
                <c:pt idx="391">
                  <c:v>34182</c:v>
                </c:pt>
                <c:pt idx="392">
                  <c:v>34151</c:v>
                </c:pt>
                <c:pt idx="393">
                  <c:v>34121</c:v>
                </c:pt>
                <c:pt idx="394">
                  <c:v>34090</c:v>
                </c:pt>
                <c:pt idx="395">
                  <c:v>34060</c:v>
                </c:pt>
                <c:pt idx="396">
                  <c:v>34029</c:v>
                </c:pt>
                <c:pt idx="397">
                  <c:v>34001</c:v>
                </c:pt>
                <c:pt idx="398">
                  <c:v>33970</c:v>
                </c:pt>
                <c:pt idx="399">
                  <c:v>33939</c:v>
                </c:pt>
                <c:pt idx="400">
                  <c:v>33909</c:v>
                </c:pt>
                <c:pt idx="401">
                  <c:v>33878</c:v>
                </c:pt>
                <c:pt idx="402">
                  <c:v>33848</c:v>
                </c:pt>
                <c:pt idx="403">
                  <c:v>33817</c:v>
                </c:pt>
                <c:pt idx="404">
                  <c:v>33786</c:v>
                </c:pt>
                <c:pt idx="405">
                  <c:v>33756</c:v>
                </c:pt>
                <c:pt idx="406">
                  <c:v>33725</c:v>
                </c:pt>
                <c:pt idx="407">
                  <c:v>33695</c:v>
                </c:pt>
                <c:pt idx="408">
                  <c:v>33664</c:v>
                </c:pt>
                <c:pt idx="409">
                  <c:v>33635</c:v>
                </c:pt>
                <c:pt idx="410">
                  <c:v>33604</c:v>
                </c:pt>
                <c:pt idx="411">
                  <c:v>33573</c:v>
                </c:pt>
                <c:pt idx="412">
                  <c:v>33543</c:v>
                </c:pt>
                <c:pt idx="413">
                  <c:v>33512</c:v>
                </c:pt>
                <c:pt idx="414">
                  <c:v>33482</c:v>
                </c:pt>
                <c:pt idx="415">
                  <c:v>33451</c:v>
                </c:pt>
                <c:pt idx="416">
                  <c:v>33420</c:v>
                </c:pt>
                <c:pt idx="417">
                  <c:v>33390</c:v>
                </c:pt>
                <c:pt idx="418">
                  <c:v>33359</c:v>
                </c:pt>
                <c:pt idx="419">
                  <c:v>33329</c:v>
                </c:pt>
                <c:pt idx="420">
                  <c:v>33298</c:v>
                </c:pt>
                <c:pt idx="421">
                  <c:v>33270</c:v>
                </c:pt>
              </c:numCache>
            </c:numRef>
          </c:cat>
          <c:val>
            <c:numRef>
              <c:f>'Chart_3.1_data'!$C$2:$C$423</c:f>
              <c:numCache>
                <c:formatCode>0.0</c:formatCode>
                <c:ptCount val="422"/>
                <c:pt idx="0">
                  <c:v>4.5732952225398193</c:v>
                </c:pt>
                <c:pt idx="1">
                  <c:v>3.7268352615951628</c:v>
                </c:pt>
                <c:pt idx="2">
                  <c:v>3.8430006148800988</c:v>
                </c:pt>
                <c:pt idx="3">
                  <c:v>3.7611756242935002</c:v>
                </c:pt>
                <c:pt idx="4">
                  <c:v>3.4443525031030209</c:v>
                </c:pt>
                <c:pt idx="5">
                  <c:v>3.8102159468438535</c:v>
                </c:pt>
                <c:pt idx="6">
                  <c:v>3.5840066293764128</c:v>
                </c:pt>
                <c:pt idx="7">
                  <c:v>3.1713130894393204</c:v>
                </c:pt>
                <c:pt idx="8">
                  <c:v>2.9554614033274751</c:v>
                </c:pt>
                <c:pt idx="9">
                  <c:v>1.8856195607128035</c:v>
                </c:pt>
                <c:pt idx="10">
                  <c:v>2.1108453779765002</c:v>
                </c:pt>
                <c:pt idx="11">
                  <c:v>2.3651452282157592</c:v>
                </c:pt>
                <c:pt idx="12">
                  <c:v>2.4001676973063768</c:v>
                </c:pt>
                <c:pt idx="13">
                  <c:v>#N/A</c:v>
                </c:pt>
                <c:pt idx="14">
                  <c:v>#N/A</c:v>
                </c:pt>
                <c:pt idx="15">
                  <c:v>2.4119327197714924</c:v>
                </c:pt>
                <c:pt idx="16">
                  <c:v>#N/A</c:v>
                </c:pt>
                <c:pt idx="17">
                  <c:v>#N/A</c:v>
                </c:pt>
                <c:pt idx="18">
                  <c:v>2.852884820097934</c:v>
                </c:pt>
                <c:pt idx="19">
                  <c:v>#N/A</c:v>
                </c:pt>
                <c:pt idx="20">
                  <c:v>#N/A</c:v>
                </c:pt>
                <c:pt idx="21">
                  <c:v>3.8117799073974279</c:v>
                </c:pt>
                <c:pt idx="22">
                  <c:v>#N/A</c:v>
                </c:pt>
                <c:pt idx="23">
                  <c:v>#N/A</c:v>
                </c:pt>
                <c:pt idx="24">
                  <c:v>3.6164205039096453</c:v>
                </c:pt>
                <c:pt idx="25">
                  <c:v>#N/A</c:v>
                </c:pt>
                <c:pt idx="26">
                  <c:v>#N/A</c:v>
                </c:pt>
                <c:pt idx="27">
                  <c:v>4.0506329113924044</c:v>
                </c:pt>
                <c:pt idx="28">
                  <c:v>#N/A</c:v>
                </c:pt>
                <c:pt idx="29">
                  <c:v>#N/A</c:v>
                </c:pt>
                <c:pt idx="30">
                  <c:v>5.3139013452914829</c:v>
                </c:pt>
                <c:pt idx="31">
                  <c:v>#N/A</c:v>
                </c:pt>
                <c:pt idx="32">
                  <c:v>#N/A</c:v>
                </c:pt>
                <c:pt idx="33">
                  <c:v>6.0280853978764704</c:v>
                </c:pt>
                <c:pt idx="34">
                  <c:v>#N/A</c:v>
                </c:pt>
                <c:pt idx="35">
                  <c:v>#N/A</c:v>
                </c:pt>
                <c:pt idx="36">
                  <c:v>7.007553747821027</c:v>
                </c:pt>
                <c:pt idx="37">
                  <c:v>#N/A</c:v>
                </c:pt>
                <c:pt idx="38">
                  <c:v>#N/A</c:v>
                </c:pt>
                <c:pt idx="39">
                  <c:v>7.8594325062329329</c:v>
                </c:pt>
                <c:pt idx="40">
                  <c:v>#N/A</c:v>
                </c:pt>
                <c:pt idx="41">
                  <c:v>#N/A</c:v>
                </c:pt>
                <c:pt idx="42">
                  <c:v>7.25021041240832</c:v>
                </c:pt>
                <c:pt idx="43">
                  <c:v>#N/A</c:v>
                </c:pt>
                <c:pt idx="44">
                  <c:v>#N/A</c:v>
                </c:pt>
                <c:pt idx="45">
                  <c:v>6.2083181763065376</c:v>
                </c:pt>
                <c:pt idx="46">
                  <c:v>#N/A</c:v>
                </c:pt>
                <c:pt idx="47">
                  <c:v>#N/A</c:v>
                </c:pt>
                <c:pt idx="48">
                  <c:v>5.1056553071943123</c:v>
                </c:pt>
                <c:pt idx="49">
                  <c:v>#N/A</c:v>
                </c:pt>
                <c:pt idx="50">
                  <c:v>#N/A</c:v>
                </c:pt>
                <c:pt idx="51">
                  <c:v>3.4766584766584785</c:v>
                </c:pt>
                <c:pt idx="52">
                  <c:v>#N/A</c:v>
                </c:pt>
                <c:pt idx="53">
                  <c:v>#N/A</c:v>
                </c:pt>
                <c:pt idx="54">
                  <c:v>3.0990454939878509</c:v>
                </c:pt>
                <c:pt idx="55">
                  <c:v>#N/A</c:v>
                </c:pt>
                <c:pt idx="56">
                  <c:v>#N/A</c:v>
                </c:pt>
                <c:pt idx="57">
                  <c:v>3.8141993957703901</c:v>
                </c:pt>
                <c:pt idx="58">
                  <c:v>#N/A</c:v>
                </c:pt>
                <c:pt idx="59">
                  <c:v>#N/A</c:v>
                </c:pt>
                <c:pt idx="60">
                  <c:v>1.0740740740740717</c:v>
                </c:pt>
                <c:pt idx="61">
                  <c:v>#N/A</c:v>
                </c:pt>
                <c:pt idx="62">
                  <c:v>#N/A</c:v>
                </c:pt>
                <c:pt idx="63">
                  <c:v>0.86741016109046498</c:v>
                </c:pt>
                <c:pt idx="64">
                  <c:v>#N/A</c:v>
                </c:pt>
                <c:pt idx="65">
                  <c:v>#N/A</c:v>
                </c:pt>
                <c:pt idx="66">
                  <c:v>0.64878353087960416</c:v>
                </c:pt>
                <c:pt idx="67">
                  <c:v>#N/A</c:v>
                </c:pt>
                <c:pt idx="68">
                  <c:v>#N/A</c:v>
                </c:pt>
                <c:pt idx="69">
                  <c:v>-0.32622333751568533</c:v>
                </c:pt>
                <c:pt idx="70">
                  <c:v>#N/A</c:v>
                </c:pt>
                <c:pt idx="71">
                  <c:v>#N/A</c:v>
                </c:pt>
                <c:pt idx="72">
                  <c:v>2.2340022718667196</c:v>
                </c:pt>
                <c:pt idx="73">
                  <c:v>#N/A</c:v>
                </c:pt>
                <c:pt idx="74">
                  <c:v>#N/A</c:v>
                </c:pt>
                <c:pt idx="75">
                  <c:v>1.8425037859666871</c:v>
                </c:pt>
                <c:pt idx="76">
                  <c:v>#N/A</c:v>
                </c:pt>
                <c:pt idx="77">
                  <c:v>#N/A</c:v>
                </c:pt>
                <c:pt idx="78">
                  <c:v>1.674489407585944</c:v>
                </c:pt>
                <c:pt idx="79">
                  <c:v>#N/A</c:v>
                </c:pt>
                <c:pt idx="80">
                  <c:v>#N/A</c:v>
                </c:pt>
                <c:pt idx="81">
                  <c:v>1.5415976557523248</c:v>
                </c:pt>
                <c:pt idx="82">
                  <c:v>#N/A</c:v>
                </c:pt>
                <c:pt idx="83">
                  <c:v>#N/A</c:v>
                </c:pt>
                <c:pt idx="84">
                  <c:v>1.3041810510165064</c:v>
                </c:pt>
                <c:pt idx="85">
                  <c:v>#N/A</c:v>
                </c:pt>
                <c:pt idx="86">
                  <c:v>#N/A</c:v>
                </c:pt>
                <c:pt idx="87">
                  <c:v>1.7593424939000846</c:v>
                </c:pt>
                <c:pt idx="88">
                  <c:v>#N/A</c:v>
                </c:pt>
                <c:pt idx="89">
                  <c:v>#N/A</c:v>
                </c:pt>
                <c:pt idx="90">
                  <c:v>1.9133807369101641</c:v>
                </c:pt>
                <c:pt idx="91">
                  <c:v>#N/A</c:v>
                </c:pt>
                <c:pt idx="92">
                  <c:v>#N/A</c:v>
                </c:pt>
                <c:pt idx="93">
                  <c:v>2.0941727367325802</c:v>
                </c:pt>
                <c:pt idx="94">
                  <c:v>#N/A</c:v>
                </c:pt>
                <c:pt idx="95">
                  <c:v>#N/A</c:v>
                </c:pt>
                <c:pt idx="96">
                  <c:v>1.9288413918936431</c:v>
                </c:pt>
                <c:pt idx="97">
                  <c:v>#N/A</c:v>
                </c:pt>
                <c:pt idx="98">
                  <c:v>#N/A</c:v>
                </c:pt>
                <c:pt idx="99">
                  <c:v>1.9507724535218873</c:v>
                </c:pt>
                <c:pt idx="100">
                  <c:v>#N/A</c:v>
                </c:pt>
                <c:pt idx="101">
                  <c:v>#N/A</c:v>
                </c:pt>
                <c:pt idx="102">
                  <c:v>1.8031060805475008</c:v>
                </c:pt>
                <c:pt idx="103">
                  <c:v>#N/A</c:v>
                </c:pt>
                <c:pt idx="104">
                  <c:v>#N/A</c:v>
                </c:pt>
                <c:pt idx="105">
                  <c:v>1.8952948972829509</c:v>
                </c:pt>
                <c:pt idx="106">
                  <c:v>#N/A</c:v>
                </c:pt>
                <c:pt idx="107">
                  <c:v>#N/A</c:v>
                </c:pt>
                <c:pt idx="108">
                  <c:v>2.1432374866879655</c:v>
                </c:pt>
                <c:pt idx="109">
                  <c:v>#N/A</c:v>
                </c:pt>
                <c:pt idx="110">
                  <c:v>#N/A</c:v>
                </c:pt>
                <c:pt idx="111">
                  <c:v>1.4746911119968065</c:v>
                </c:pt>
                <c:pt idx="112">
                  <c:v>#N/A</c:v>
                </c:pt>
                <c:pt idx="113">
                  <c:v>#N/A</c:v>
                </c:pt>
                <c:pt idx="114">
                  <c:v>1.3336889837289867</c:v>
                </c:pt>
                <c:pt idx="115">
                  <c:v>#N/A</c:v>
                </c:pt>
                <c:pt idx="116">
                  <c:v>#N/A</c:v>
                </c:pt>
                <c:pt idx="117">
                  <c:v>1.0175391618690632</c:v>
                </c:pt>
                <c:pt idx="118">
                  <c:v>#N/A</c:v>
                </c:pt>
                <c:pt idx="119">
                  <c:v>#N/A</c:v>
                </c:pt>
                <c:pt idx="120">
                  <c:v>1.2944983818770295</c:v>
                </c:pt>
                <c:pt idx="121">
                  <c:v>#N/A</c:v>
                </c:pt>
                <c:pt idx="122">
                  <c:v>#N/A</c:v>
                </c:pt>
                <c:pt idx="123">
                  <c:v>1.6887327749256942</c:v>
                </c:pt>
                <c:pt idx="124">
                  <c:v>#N/A</c:v>
                </c:pt>
                <c:pt idx="125">
                  <c:v>#N/A</c:v>
                </c:pt>
                <c:pt idx="126">
                  <c:v>1.4889009204114956</c:v>
                </c:pt>
                <c:pt idx="127">
                  <c:v>#N/A</c:v>
                </c:pt>
                <c:pt idx="128">
                  <c:v>#N/A</c:v>
                </c:pt>
                <c:pt idx="129">
                  <c:v>1.5223596574690745</c:v>
                </c:pt>
                <c:pt idx="130">
                  <c:v>#N/A</c:v>
                </c:pt>
                <c:pt idx="131">
                  <c:v>#N/A</c:v>
                </c:pt>
                <c:pt idx="132">
                  <c:v>1.3114754098360493</c:v>
                </c:pt>
                <c:pt idx="133">
                  <c:v>#N/A</c:v>
                </c:pt>
                <c:pt idx="134">
                  <c:v>#N/A</c:v>
                </c:pt>
                <c:pt idx="135">
                  <c:v>1.7177408272639916</c:v>
                </c:pt>
                <c:pt idx="136">
                  <c:v>#N/A</c:v>
                </c:pt>
                <c:pt idx="137">
                  <c:v>#N/A</c:v>
                </c:pt>
                <c:pt idx="138">
                  <c:v>2.256055363321785</c:v>
                </c:pt>
                <c:pt idx="139">
                  <c:v>#N/A</c:v>
                </c:pt>
                <c:pt idx="140">
                  <c:v>#N/A</c:v>
                </c:pt>
                <c:pt idx="141">
                  <c:v>3.0680862986830926</c:v>
                </c:pt>
                <c:pt idx="142">
                  <c:v>#N/A</c:v>
                </c:pt>
                <c:pt idx="143">
                  <c:v>#N/A</c:v>
                </c:pt>
                <c:pt idx="144">
                  <c:v>2.9391084235691256</c:v>
                </c:pt>
                <c:pt idx="145">
                  <c:v>#N/A</c:v>
                </c:pt>
                <c:pt idx="146">
                  <c:v>#N/A</c:v>
                </c:pt>
                <c:pt idx="147">
                  <c:v>2.6809651474530627</c:v>
                </c:pt>
                <c:pt idx="148">
                  <c:v>#N/A</c:v>
                </c:pt>
                <c:pt idx="149">
                  <c:v>#N/A</c:v>
                </c:pt>
                <c:pt idx="150">
                  <c:v>2.2068185033243815</c:v>
                </c:pt>
                <c:pt idx="151">
                  <c:v>#N/A</c:v>
                </c:pt>
                <c:pt idx="152">
                  <c:v>#N/A</c:v>
                </c:pt>
                <c:pt idx="153">
                  <c:v>2.3515916260395731</c:v>
                </c:pt>
                <c:pt idx="154">
                  <c:v>#N/A</c:v>
                </c:pt>
                <c:pt idx="155">
                  <c:v>#N/A</c:v>
                </c:pt>
                <c:pt idx="156">
                  <c:v>2.493513980974349</c:v>
                </c:pt>
                <c:pt idx="157">
                  <c:v>#N/A</c:v>
                </c:pt>
                <c:pt idx="158">
                  <c:v>#N/A</c:v>
                </c:pt>
                <c:pt idx="159">
                  <c:v>2.2065186039803786</c:v>
                </c:pt>
                <c:pt idx="160">
                  <c:v>#N/A</c:v>
                </c:pt>
                <c:pt idx="161">
                  <c:v>#N/A</c:v>
                </c:pt>
                <c:pt idx="162">
                  <c:v>1.9469281799826765</c:v>
                </c:pt>
                <c:pt idx="163">
                  <c:v>#N/A</c:v>
                </c:pt>
                <c:pt idx="164">
                  <c:v>#N/A</c:v>
                </c:pt>
                <c:pt idx="165">
                  <c:v>1.1751051791672573</c:v>
                </c:pt>
                <c:pt idx="166">
                  <c:v>#N/A</c:v>
                </c:pt>
                <c:pt idx="167">
                  <c:v>#N/A</c:v>
                </c:pt>
                <c:pt idx="168">
                  <c:v>1.5812591508052698</c:v>
                </c:pt>
                <c:pt idx="169">
                  <c:v>#N/A</c:v>
                </c:pt>
                <c:pt idx="170">
                  <c:v>#N/A</c:v>
                </c:pt>
                <c:pt idx="171">
                  <c:v>3.0924769550996212</c:v>
                </c:pt>
                <c:pt idx="172">
                  <c:v>#N/A</c:v>
                </c:pt>
                <c:pt idx="173">
                  <c:v>#N/A</c:v>
                </c:pt>
                <c:pt idx="174">
                  <c:v>3.4925373134328419</c:v>
                </c:pt>
                <c:pt idx="175">
                  <c:v>#N/A</c:v>
                </c:pt>
                <c:pt idx="176">
                  <c:v>#N/A</c:v>
                </c:pt>
                <c:pt idx="177">
                  <c:v>3.6229705351774166</c:v>
                </c:pt>
                <c:pt idx="178">
                  <c:v>#N/A</c:v>
                </c:pt>
                <c:pt idx="179">
                  <c:v>#N/A</c:v>
                </c:pt>
                <c:pt idx="180">
                  <c:v>3.2970356926799615</c:v>
                </c:pt>
                <c:pt idx="181">
                  <c:v>#N/A</c:v>
                </c:pt>
                <c:pt idx="182">
                  <c:v>#N/A</c:v>
                </c:pt>
                <c:pt idx="183">
                  <c:v>2.6713478858189532</c:v>
                </c:pt>
                <c:pt idx="184">
                  <c:v>#N/A</c:v>
                </c:pt>
                <c:pt idx="185">
                  <c:v>#N/A</c:v>
                </c:pt>
                <c:pt idx="186">
                  <c:v>2.8238182934315681</c:v>
                </c:pt>
                <c:pt idx="187">
                  <c:v>#N/A</c:v>
                </c:pt>
                <c:pt idx="188">
                  <c:v>#N/A</c:v>
                </c:pt>
                <c:pt idx="189">
                  <c:v>3.0518977536793113</c:v>
                </c:pt>
                <c:pt idx="190">
                  <c:v>#N/A</c:v>
                </c:pt>
                <c:pt idx="191">
                  <c:v>#N/A</c:v>
                </c:pt>
                <c:pt idx="192">
                  <c:v>2.9425502101821488</c:v>
                </c:pt>
                <c:pt idx="193">
                  <c:v>#N/A</c:v>
                </c:pt>
                <c:pt idx="194">
                  <c:v>#N/A</c:v>
                </c:pt>
                <c:pt idx="195">
                  <c:v>2.1041147132169646</c:v>
                </c:pt>
                <c:pt idx="196">
                  <c:v>#N/A</c:v>
                </c:pt>
                <c:pt idx="197">
                  <c:v>#N/A</c:v>
                </c:pt>
                <c:pt idx="198">
                  <c:v>1.2272797887214359</c:v>
                </c:pt>
                <c:pt idx="199">
                  <c:v>#N/A</c:v>
                </c:pt>
                <c:pt idx="200">
                  <c:v>#N/A</c:v>
                </c:pt>
                <c:pt idx="201">
                  <c:v>1.4458588716014464</c:v>
                </c:pt>
                <c:pt idx="202">
                  <c:v>#N/A</c:v>
                </c:pt>
                <c:pt idx="203">
                  <c:v>#N/A</c:v>
                </c:pt>
                <c:pt idx="204">
                  <c:v>2.4075255102040893</c:v>
                </c:pt>
                <c:pt idx="205">
                  <c:v>#N/A</c:v>
                </c:pt>
                <c:pt idx="206">
                  <c:v>#N/A</c:v>
                </c:pt>
                <c:pt idx="207">
                  <c:v>3.6677977056067235</c:v>
                </c:pt>
                <c:pt idx="208">
                  <c:v>#N/A</c:v>
                </c:pt>
                <c:pt idx="209">
                  <c:v>#N/A</c:v>
                </c:pt>
                <c:pt idx="210">
                  <c:v>4.9739073711676518</c:v>
                </c:pt>
                <c:pt idx="211">
                  <c:v>#N/A</c:v>
                </c:pt>
                <c:pt idx="212">
                  <c:v>#N/A</c:v>
                </c:pt>
                <c:pt idx="213">
                  <c:v>4.482758620689653</c:v>
                </c:pt>
                <c:pt idx="214">
                  <c:v>#N/A</c:v>
                </c:pt>
                <c:pt idx="215">
                  <c:v>#N/A</c:v>
                </c:pt>
                <c:pt idx="216">
                  <c:v>4.2553191489361764</c:v>
                </c:pt>
                <c:pt idx="217">
                  <c:v>#N/A</c:v>
                </c:pt>
                <c:pt idx="218">
                  <c:v>#N/A</c:v>
                </c:pt>
                <c:pt idx="219">
                  <c:v>2.9612377308268156</c:v>
                </c:pt>
                <c:pt idx="220">
                  <c:v>#N/A</c:v>
                </c:pt>
                <c:pt idx="221">
                  <c:v>#N/A</c:v>
                </c:pt>
                <c:pt idx="222">
                  <c:v>1.8943170488534333</c:v>
                </c:pt>
                <c:pt idx="223">
                  <c:v>#N/A</c:v>
                </c:pt>
                <c:pt idx="224">
                  <c:v>#N/A</c:v>
                </c:pt>
                <c:pt idx="225">
                  <c:v>2.0955574182732528</c:v>
                </c:pt>
                <c:pt idx="226">
                  <c:v>#N/A</c:v>
                </c:pt>
                <c:pt idx="227">
                  <c:v>#N/A</c:v>
                </c:pt>
                <c:pt idx="228">
                  <c:v>2.4523160762942808</c:v>
                </c:pt>
                <c:pt idx="229">
                  <c:v>#N/A</c:v>
                </c:pt>
                <c:pt idx="230">
                  <c:v>#N/A</c:v>
                </c:pt>
                <c:pt idx="231">
                  <c:v>3.2463071109584352</c:v>
                </c:pt>
                <c:pt idx="232">
                  <c:v>#N/A</c:v>
                </c:pt>
                <c:pt idx="233">
                  <c:v>#N/A</c:v>
                </c:pt>
                <c:pt idx="234">
                  <c:v>3.9019337016574562</c:v>
                </c:pt>
                <c:pt idx="235">
                  <c:v>#N/A</c:v>
                </c:pt>
                <c:pt idx="236">
                  <c:v>#N/A</c:v>
                </c:pt>
                <c:pt idx="237">
                  <c:v>4.0104620749781938</c:v>
                </c:pt>
                <c:pt idx="238">
                  <c:v>#N/A</c:v>
                </c:pt>
                <c:pt idx="239">
                  <c:v>#N/A</c:v>
                </c:pt>
                <c:pt idx="240">
                  <c:v>2.9994737765304258</c:v>
                </c:pt>
                <c:pt idx="241">
                  <c:v>#N/A</c:v>
                </c:pt>
                <c:pt idx="242">
                  <c:v>#N/A</c:v>
                </c:pt>
                <c:pt idx="243">
                  <c:v>2.8076990994172712</c:v>
                </c:pt>
                <c:pt idx="244">
                  <c:v>#N/A</c:v>
                </c:pt>
                <c:pt idx="245">
                  <c:v>#N/A</c:v>
                </c:pt>
                <c:pt idx="246">
                  <c:v>3.0604982206405618</c:v>
                </c:pt>
                <c:pt idx="247">
                  <c:v>#N/A</c:v>
                </c:pt>
                <c:pt idx="248">
                  <c:v>#N/A</c:v>
                </c:pt>
                <c:pt idx="249">
                  <c:v>2.4656065749508738</c:v>
                </c:pt>
                <c:pt idx="250">
                  <c:v>#N/A</c:v>
                </c:pt>
                <c:pt idx="251">
                  <c:v>#N/A</c:v>
                </c:pt>
                <c:pt idx="252">
                  <c:v>2.3335128343205946</c:v>
                </c:pt>
                <c:pt idx="253">
                  <c:v>#N/A</c:v>
                </c:pt>
                <c:pt idx="254">
                  <c:v>#N/A</c:v>
                </c:pt>
                <c:pt idx="255">
                  <c:v>2.553422672944583</c:v>
                </c:pt>
                <c:pt idx="256">
                  <c:v>#N/A</c:v>
                </c:pt>
                <c:pt idx="257">
                  <c:v>#N/A</c:v>
                </c:pt>
                <c:pt idx="258">
                  <c:v>2.3120334971782341</c:v>
                </c:pt>
                <c:pt idx="259">
                  <c:v>#N/A</c:v>
                </c:pt>
                <c:pt idx="260">
                  <c:v>#N/A</c:v>
                </c:pt>
                <c:pt idx="261">
                  <c:v>2.4716221164408747</c:v>
                </c:pt>
                <c:pt idx="262">
                  <c:v>#N/A</c:v>
                </c:pt>
                <c:pt idx="263">
                  <c:v>#N/A</c:v>
                </c:pt>
                <c:pt idx="264">
                  <c:v>1.995606005126338</c:v>
                </c:pt>
                <c:pt idx="265">
                  <c:v>#N/A</c:v>
                </c:pt>
                <c:pt idx="266">
                  <c:v>#N/A</c:v>
                </c:pt>
                <c:pt idx="267">
                  <c:v>2.4109792284866316</c:v>
                </c:pt>
                <c:pt idx="268">
                  <c:v>#N/A</c:v>
                </c:pt>
                <c:pt idx="269">
                  <c:v>#N/A</c:v>
                </c:pt>
                <c:pt idx="270">
                  <c:v>2.5578790141896901</c:v>
                </c:pt>
                <c:pt idx="271">
                  <c:v>#N/A</c:v>
                </c:pt>
                <c:pt idx="272">
                  <c:v>#N/A</c:v>
                </c:pt>
                <c:pt idx="273">
                  <c:v>2.6691729323308211</c:v>
                </c:pt>
                <c:pt idx="274">
                  <c:v>#N/A</c:v>
                </c:pt>
                <c:pt idx="275">
                  <c:v>#N/A</c:v>
                </c:pt>
                <c:pt idx="276">
                  <c:v>3.4078000757288951</c:v>
                </c:pt>
                <c:pt idx="277">
                  <c:v>#N/A</c:v>
                </c:pt>
                <c:pt idx="278">
                  <c:v>#N/A</c:v>
                </c:pt>
                <c:pt idx="279">
                  <c:v>2.9990448901623612</c:v>
                </c:pt>
                <c:pt idx="280">
                  <c:v>#N/A</c:v>
                </c:pt>
                <c:pt idx="281">
                  <c:v>#N/A</c:v>
                </c:pt>
                <c:pt idx="282">
                  <c:v>3.2581453634085378</c:v>
                </c:pt>
                <c:pt idx="283">
                  <c:v>#N/A</c:v>
                </c:pt>
                <c:pt idx="284">
                  <c:v>#N/A</c:v>
                </c:pt>
                <c:pt idx="285">
                  <c:v>2.8416779431664541</c:v>
                </c:pt>
                <c:pt idx="286">
                  <c:v>#N/A</c:v>
                </c:pt>
                <c:pt idx="287">
                  <c:v>#N/A</c:v>
                </c:pt>
                <c:pt idx="288">
                  <c:v>2.9629629629629672</c:v>
                </c:pt>
                <c:pt idx="289">
                  <c:v>#N/A</c:v>
                </c:pt>
                <c:pt idx="290">
                  <c:v>#N/A</c:v>
                </c:pt>
                <c:pt idx="291">
                  <c:v>3.1323877068557993</c:v>
                </c:pt>
                <c:pt idx="292">
                  <c:v>#N/A</c:v>
                </c:pt>
                <c:pt idx="293">
                  <c:v>#N/A</c:v>
                </c:pt>
                <c:pt idx="294">
                  <c:v>2.5301442972919475</c:v>
                </c:pt>
                <c:pt idx="295">
                  <c:v>#N/A</c:v>
                </c:pt>
                <c:pt idx="296">
                  <c:v>#N/A</c:v>
                </c:pt>
                <c:pt idx="297">
                  <c:v>6.0693049005535959</c:v>
                </c:pt>
                <c:pt idx="298">
                  <c:v>#N/A</c:v>
                </c:pt>
                <c:pt idx="299">
                  <c:v>#N/A</c:v>
                </c:pt>
                <c:pt idx="300">
                  <c:v>5.9917355371900793</c:v>
                </c:pt>
                <c:pt idx="301">
                  <c:v>#N/A</c:v>
                </c:pt>
                <c:pt idx="302">
                  <c:v>#N/A</c:v>
                </c:pt>
                <c:pt idx="303">
                  <c:v>5.8161350844277759</c:v>
                </c:pt>
                <c:pt idx="304">
                  <c:v>#N/A</c:v>
                </c:pt>
                <c:pt idx="305">
                  <c:v>#N/A</c:v>
                </c:pt>
                <c:pt idx="306">
                  <c:v>6.0142497904442704</c:v>
                </c:pt>
                <c:pt idx="307">
                  <c:v>#N/A</c:v>
                </c:pt>
                <c:pt idx="308">
                  <c:v>#N/A</c:v>
                </c:pt>
                <c:pt idx="309">
                  <c:v>3.1296257136815386</c:v>
                </c:pt>
                <c:pt idx="310">
                  <c:v>#N/A</c:v>
                </c:pt>
                <c:pt idx="311">
                  <c:v>#N/A</c:v>
                </c:pt>
                <c:pt idx="312">
                  <c:v>2.8037383177570208</c:v>
                </c:pt>
                <c:pt idx="313">
                  <c:v>#N/A</c:v>
                </c:pt>
                <c:pt idx="314">
                  <c:v>#N/A</c:v>
                </c:pt>
                <c:pt idx="315">
                  <c:v>1.8255147527064253</c:v>
                </c:pt>
                <c:pt idx="316">
                  <c:v>#N/A</c:v>
                </c:pt>
                <c:pt idx="317">
                  <c:v>#N/A</c:v>
                </c:pt>
                <c:pt idx="318">
                  <c:v>1.7267107226604184</c:v>
                </c:pt>
                <c:pt idx="319">
                  <c:v>#N/A</c:v>
                </c:pt>
                <c:pt idx="320">
                  <c:v>#N/A</c:v>
                </c:pt>
                <c:pt idx="321">
                  <c:v>1.090209491235572</c:v>
                </c:pt>
                <c:pt idx="322">
                  <c:v>#N/A</c:v>
                </c:pt>
                <c:pt idx="323">
                  <c:v>#N/A</c:v>
                </c:pt>
                <c:pt idx="324">
                  <c:v>1.2255428940012969</c:v>
                </c:pt>
                <c:pt idx="325">
                  <c:v>#N/A</c:v>
                </c:pt>
                <c:pt idx="326">
                  <c:v>#N/A</c:v>
                </c:pt>
                <c:pt idx="327">
                  <c:v>1.5520586333261477</c:v>
                </c:pt>
                <c:pt idx="328">
                  <c:v>#N/A</c:v>
                </c:pt>
                <c:pt idx="329">
                  <c:v>#N/A</c:v>
                </c:pt>
                <c:pt idx="330">
                  <c:v>1.361279170267915</c:v>
                </c:pt>
                <c:pt idx="331">
                  <c:v>#N/A</c:v>
                </c:pt>
                <c:pt idx="332">
                  <c:v>#N/A</c:v>
                </c:pt>
                <c:pt idx="333">
                  <c:v>0.66709705186143164</c:v>
                </c:pt>
                <c:pt idx="334">
                  <c:v>#N/A</c:v>
                </c:pt>
                <c:pt idx="335">
                  <c:v>#N/A</c:v>
                </c:pt>
                <c:pt idx="336">
                  <c:v>-0.15027908973808124</c:v>
                </c:pt>
                <c:pt idx="337">
                  <c:v>#N/A</c:v>
                </c:pt>
                <c:pt idx="338">
                  <c:v>#N/A</c:v>
                </c:pt>
                <c:pt idx="339">
                  <c:v>-0.25800903031605316</c:v>
                </c:pt>
                <c:pt idx="340">
                  <c:v>#N/A</c:v>
                </c:pt>
                <c:pt idx="341">
                  <c:v>#N/A</c:v>
                </c:pt>
                <c:pt idx="342">
                  <c:v>-0.32306698255437638</c:v>
                </c:pt>
                <c:pt idx="343">
                  <c:v>#N/A</c:v>
                </c:pt>
                <c:pt idx="344">
                  <c:v>#N/A</c:v>
                </c:pt>
                <c:pt idx="345">
                  <c:v>0.34549773267111838</c:v>
                </c:pt>
                <c:pt idx="346">
                  <c:v>#N/A</c:v>
                </c:pt>
                <c:pt idx="347">
                  <c:v>#N/A</c:v>
                </c:pt>
                <c:pt idx="348">
                  <c:v>1.2608695652173818</c:v>
                </c:pt>
                <c:pt idx="349">
                  <c:v>#N/A</c:v>
                </c:pt>
                <c:pt idx="350">
                  <c:v>#N/A</c:v>
                </c:pt>
                <c:pt idx="351">
                  <c:v>1.5280506439641961</c:v>
                </c:pt>
                <c:pt idx="352">
                  <c:v>#N/A</c:v>
                </c:pt>
                <c:pt idx="353">
                  <c:v>#N/A</c:v>
                </c:pt>
                <c:pt idx="354">
                  <c:v>2.1337439507259193</c:v>
                </c:pt>
                <c:pt idx="355">
                  <c:v>#N/A</c:v>
                </c:pt>
                <c:pt idx="356">
                  <c:v>#N/A</c:v>
                </c:pt>
                <c:pt idx="357">
                  <c:v>3.0943900267141666</c:v>
                </c:pt>
                <c:pt idx="358">
                  <c:v>#N/A</c:v>
                </c:pt>
                <c:pt idx="359">
                  <c:v>#N/A</c:v>
                </c:pt>
                <c:pt idx="360">
                  <c:v>3.7437979251240261</c:v>
                </c:pt>
                <c:pt idx="361">
                  <c:v>#N/A</c:v>
                </c:pt>
                <c:pt idx="362">
                  <c:v>#N/A</c:v>
                </c:pt>
                <c:pt idx="363">
                  <c:v>5.0447145150194883</c:v>
                </c:pt>
                <c:pt idx="364">
                  <c:v>#N/A</c:v>
                </c:pt>
                <c:pt idx="365">
                  <c:v>#N/A</c:v>
                </c:pt>
                <c:pt idx="366">
                  <c:v>5.0855293573740301</c:v>
                </c:pt>
                <c:pt idx="367">
                  <c:v>#N/A</c:v>
                </c:pt>
                <c:pt idx="368">
                  <c:v>#N/A</c:v>
                </c:pt>
                <c:pt idx="369">
                  <c:v>4.4894161432891266</c:v>
                </c:pt>
                <c:pt idx="370">
                  <c:v>#N/A</c:v>
                </c:pt>
                <c:pt idx="371">
                  <c:v>#N/A</c:v>
                </c:pt>
                <c:pt idx="372">
                  <c:v>3.8894095595126688</c:v>
                </c:pt>
                <c:pt idx="373">
                  <c:v>#N/A</c:v>
                </c:pt>
                <c:pt idx="374">
                  <c:v>#N/A</c:v>
                </c:pt>
                <c:pt idx="375">
                  <c:v>2.539383964260522</c:v>
                </c:pt>
                <c:pt idx="376">
                  <c:v>#N/A</c:v>
                </c:pt>
                <c:pt idx="377">
                  <c:v>#N/A</c:v>
                </c:pt>
                <c:pt idx="378">
                  <c:v>1.9081272084805478</c:v>
                </c:pt>
                <c:pt idx="379">
                  <c:v>#N/A</c:v>
                </c:pt>
                <c:pt idx="380">
                  <c:v>#N/A</c:v>
                </c:pt>
                <c:pt idx="381">
                  <c:v>1.7514792899408382</c:v>
                </c:pt>
                <c:pt idx="382">
                  <c:v>#N/A</c:v>
                </c:pt>
                <c:pt idx="383">
                  <c:v>#N/A</c:v>
                </c:pt>
                <c:pt idx="384">
                  <c:v>1.3776722090261151</c:v>
                </c:pt>
                <c:pt idx="385">
                  <c:v>#N/A</c:v>
                </c:pt>
                <c:pt idx="386">
                  <c:v>#N/A</c:v>
                </c:pt>
                <c:pt idx="387">
                  <c:v>1.9659554063773621</c:v>
                </c:pt>
                <c:pt idx="388">
                  <c:v>#N/A</c:v>
                </c:pt>
                <c:pt idx="389">
                  <c:v>#N/A</c:v>
                </c:pt>
                <c:pt idx="390">
                  <c:v>2.2398843930635737</c:v>
                </c:pt>
                <c:pt idx="391">
                  <c:v>#N/A</c:v>
                </c:pt>
                <c:pt idx="392">
                  <c:v>#N/A</c:v>
                </c:pt>
                <c:pt idx="393">
                  <c:v>1.8563162970106184</c:v>
                </c:pt>
                <c:pt idx="394">
                  <c:v>#N/A</c:v>
                </c:pt>
                <c:pt idx="395">
                  <c:v>#N/A</c:v>
                </c:pt>
                <c:pt idx="396">
                  <c:v>1.2019230769230838</c:v>
                </c:pt>
                <c:pt idx="397">
                  <c:v>#N/A</c:v>
                </c:pt>
                <c:pt idx="398">
                  <c:v>#N/A</c:v>
                </c:pt>
                <c:pt idx="399">
                  <c:v>0.26442307692307043</c:v>
                </c:pt>
                <c:pt idx="400">
                  <c:v>#N/A</c:v>
                </c:pt>
                <c:pt idx="401">
                  <c:v>#N/A</c:v>
                </c:pt>
                <c:pt idx="402">
                  <c:v>0.75224460082505828</c:v>
                </c:pt>
                <c:pt idx="403">
                  <c:v>#N/A</c:v>
                </c:pt>
                <c:pt idx="404">
                  <c:v>#N/A</c:v>
                </c:pt>
                <c:pt idx="405">
                  <c:v>1.2201073694485087</c:v>
                </c:pt>
                <c:pt idx="406">
                  <c:v>#N/A</c:v>
                </c:pt>
                <c:pt idx="407">
                  <c:v>#N/A</c:v>
                </c:pt>
                <c:pt idx="408">
                  <c:v>1.7114914425427896</c:v>
                </c:pt>
                <c:pt idx="409">
                  <c:v>#N/A</c:v>
                </c:pt>
                <c:pt idx="410">
                  <c:v>#N/A</c:v>
                </c:pt>
                <c:pt idx="411">
                  <c:v>1.512933138116157</c:v>
                </c:pt>
                <c:pt idx="412">
                  <c:v>#N/A</c:v>
                </c:pt>
                <c:pt idx="413">
                  <c:v>#N/A</c:v>
                </c:pt>
                <c:pt idx="414">
                  <c:v>3.1797696544817233</c:v>
                </c:pt>
                <c:pt idx="415">
                  <c:v>#N/A</c:v>
                </c:pt>
                <c:pt idx="416">
                  <c:v>#N/A</c:v>
                </c:pt>
                <c:pt idx="417">
                  <c:v>3.4065102195306451</c:v>
                </c:pt>
                <c:pt idx="418">
                  <c:v>#N/A</c:v>
                </c:pt>
                <c:pt idx="419">
                  <c:v>#N/A</c:v>
                </c:pt>
                <c:pt idx="420">
                  <c:v>4.8449115611381766</c:v>
                </c:pt>
                <c:pt idx="421">
                  <c:v>#N/A</c:v>
                </c:pt>
              </c:numCache>
            </c:numRef>
          </c:val>
          <c:smooth val="0"/>
          <c:extLst>
            <c:ext xmlns:c16="http://schemas.microsoft.com/office/drawing/2014/chart" uri="{C3380CC4-5D6E-409C-BE32-E72D297353CC}">
              <c16:uniqueId val="{00000001-6111-48BB-8F51-68347147E521}"/>
            </c:ext>
          </c:extLst>
        </c:ser>
        <c:dLbls>
          <c:showLegendKey val="0"/>
          <c:showVal val="0"/>
          <c:showCatName val="0"/>
          <c:showSerName val="0"/>
          <c:showPercent val="0"/>
          <c:showBubbleSize val="0"/>
        </c:dLbls>
        <c:smooth val="0"/>
        <c:axId val="2083948800"/>
        <c:axId val="2083943520"/>
      </c:lineChart>
      <c:dateAx>
        <c:axId val="2083948800"/>
        <c:scaling>
          <c:orientation val="minMax"/>
          <c:min val="42370"/>
        </c:scaling>
        <c:delete val="0"/>
        <c:axPos val="b"/>
        <c:numFmt formatCode="yyyy" sourceLinked="0"/>
        <c:majorTickMark val="out"/>
        <c:minorTickMark val="none"/>
        <c:tickLblPos val="low"/>
        <c:spPr>
          <a:noFill/>
          <a:ln w="9525" cap="flat" cmpd="sng" algn="ctr">
            <a:solidFill>
              <a:srgbClr val="000000"/>
            </a:solidFill>
            <a:round/>
          </a:ln>
          <a:effectLst/>
        </c:spPr>
        <c:txPr>
          <a:bodyPr rot="0" spcFirstLastPara="1" vertOverflow="ellipsis" wrap="square" anchor="ctr" anchorCtr="1"/>
          <a:lstStyle/>
          <a:p>
            <a:pPr>
              <a:defRPr sz="1000" b="0" i="0" u="none" strike="noStrike" kern="1200" baseline="0">
                <a:solidFill>
                  <a:schemeClr val="tx1">
                    <a:lumMod val="65000"/>
                    <a:lumOff val="35000"/>
                  </a:schemeClr>
                </a:solidFill>
                <a:latin typeface="Calibri" panose="020F0502020204030204" pitchFamily="34" charset="0"/>
                <a:ea typeface="+mn-ea"/>
                <a:cs typeface="+mn-cs"/>
              </a:defRPr>
            </a:pPr>
            <a:endParaRPr lang="en-US"/>
          </a:p>
        </c:txPr>
        <c:crossAx val="2083943520"/>
        <c:crosses val="autoZero"/>
        <c:auto val="1"/>
        <c:lblOffset val="100"/>
        <c:baseTimeUnit val="months"/>
        <c:majorUnit val="2"/>
        <c:majorTimeUnit val="years"/>
        <c:minorUnit val="1"/>
        <c:minorTimeUnit val="years"/>
      </c:dateAx>
      <c:valAx>
        <c:axId val="2083943520"/>
        <c:scaling>
          <c:orientation val="minMax"/>
        </c:scaling>
        <c:delete val="0"/>
        <c:axPos val="l"/>
        <c:majorGridlines>
          <c:spPr>
            <a:ln w="6350" cap="flat" cmpd="sng" algn="ctr">
              <a:solidFill>
                <a:srgbClr val="A6A6A6"/>
              </a:solidFill>
              <a:prstDash val="dash"/>
              <a:round/>
            </a:ln>
            <a:effectLst/>
          </c:spPr>
        </c:majorGridlines>
        <c:title>
          <c:tx>
            <c:rich>
              <a:bodyPr rot="-5400000" spcFirstLastPara="1" vertOverflow="ellipsis" vert="horz" wrap="square" anchor="ctr" anchorCtr="1"/>
              <a:lstStyle/>
              <a:p>
                <a:pPr>
                  <a:defRPr sz="1000" b="0" i="1" u="none" strike="noStrike" kern="1200" baseline="0">
                    <a:solidFill>
                      <a:schemeClr val="tx1">
                        <a:lumMod val="65000"/>
                        <a:lumOff val="35000"/>
                      </a:schemeClr>
                    </a:solidFill>
                    <a:latin typeface="Calibri"/>
                    <a:ea typeface="Calibri"/>
                    <a:cs typeface="Calibri"/>
                  </a:defRPr>
                </a:pPr>
                <a:r>
                  <a:rPr lang="en-AU"/>
                  <a:t>percent</a:t>
                </a:r>
              </a:p>
            </c:rich>
          </c:tx>
          <c:overlay val="0"/>
          <c:spPr>
            <a:noFill/>
            <a:ln>
              <a:noFill/>
            </a:ln>
            <a:effectLst/>
          </c:spPr>
          <c:txPr>
            <a:bodyPr rot="-5400000" spcFirstLastPara="1" vertOverflow="ellipsis" vert="horz" wrap="square" anchor="ctr" anchorCtr="1"/>
            <a:lstStyle/>
            <a:p>
              <a:pPr>
                <a:defRPr sz="1000" b="0" i="1" u="none" strike="noStrike" kern="1200" baseline="0">
                  <a:solidFill>
                    <a:schemeClr val="tx1">
                      <a:lumMod val="65000"/>
                      <a:lumOff val="35000"/>
                    </a:schemeClr>
                  </a:solidFill>
                  <a:latin typeface="Calibri"/>
                  <a:ea typeface="Calibri"/>
                  <a:cs typeface="Calibri"/>
                </a:defRPr>
              </a:pPr>
              <a:endParaRPr lang="en-US"/>
            </a:p>
          </c:txPr>
        </c:title>
        <c:numFmt formatCode="###\ ###\ ##0" sourceLinked="0"/>
        <c:majorTickMark val="none"/>
        <c:minorTickMark val="none"/>
        <c:tickLblPos val="nextTo"/>
        <c:spPr>
          <a:noFill/>
          <a:ln w="9525">
            <a:solidFill>
              <a:schemeClr val="tx1"/>
            </a:solid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Calibri" panose="020F0502020204030204" pitchFamily="34" charset="0"/>
                <a:ea typeface="+mn-ea"/>
                <a:cs typeface="+mn-cs"/>
              </a:defRPr>
            </a:pPr>
            <a:endParaRPr lang="en-US"/>
          </a:p>
        </c:txPr>
        <c:crossAx val="2083948800"/>
        <c:crosses val="autoZero"/>
        <c:crossBetween val="midCat"/>
      </c:valAx>
      <c:spPr>
        <a:noFill/>
        <a:ln>
          <a:noFill/>
        </a:ln>
        <a:effectLst/>
        <a:extLst>
          <a:ext uri="{909E8E84-426E-40DD-AFC4-6F175D3DCCD1}">
            <a14:hiddenFill xmlns:a14="http://schemas.microsoft.com/office/drawing/2010/main">
              <a:noFill/>
            </a14:hiddenFill>
          </a:ext>
        </a:ex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Calibri" panose="020F0502020204030204" pitchFamily="34" charset="0"/>
              <a:ea typeface="+mn-ea"/>
              <a:cs typeface="+mn-cs"/>
            </a:defRPr>
          </a:pPr>
          <a:endParaRPr lang="en-US"/>
        </a:p>
      </c:txPr>
    </c:legend>
    <c:plotVisOnly val="1"/>
    <c:dispBlanksAs val="gap"/>
    <c:showDLblsOverMax val="0"/>
  </c:chart>
  <c:spPr>
    <a:noFill/>
    <a:ln w="9525" cap="flat" cmpd="sng" algn="ctr">
      <a:noFill/>
      <a:round/>
    </a:ln>
    <a:effectLst/>
    <a:extLst>
      <a:ext uri="{909E8E84-426E-40DD-AFC4-6F175D3DCCD1}">
        <a14:hiddenFill xmlns:a14="http://schemas.microsoft.com/office/drawing/2010/main">
          <a:solidFill>
            <a:sysClr val="window" lastClr="FFFFFF"/>
          </a:solidFill>
        </a14:hiddenFill>
      </a:ext>
      <a:ext uri="{91240B29-F687-4F45-9708-019B960494DF}">
        <a14:hiddenLine xmlns:a14="http://schemas.microsoft.com/office/drawing/2010/main" w="9525" cap="flat" cmpd="sng" algn="ctr">
          <a:solidFill>
            <a:sysClr val="windowText" lastClr="000000">
              <a:lumMod val="15000"/>
              <a:lumOff val="85000"/>
            </a:sysClr>
          </a:solidFill>
          <a:round/>
        </a14:hiddenLine>
      </a:ext>
    </a:extLst>
  </c:spPr>
  <c:txPr>
    <a:bodyPr/>
    <a:lstStyle/>
    <a:p>
      <a:pPr>
        <a:defRPr sz="900">
          <a:latin typeface="Calibri" panose="020F0502020204030204" pitchFamily="34" charset="0"/>
        </a:defRPr>
      </a:pPr>
      <a:endParaRPr lang="en-US"/>
    </a:p>
  </c:txPr>
  <c:externalData r:id="rId4">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7106129899929655"/>
          <c:y val="2.4076188048982077E-2"/>
          <c:w val="0.49518777327603181"/>
          <c:h val="0.77019554956169944"/>
        </c:manualLayout>
      </c:layout>
      <c:barChart>
        <c:barDir val="bar"/>
        <c:grouping val="clustered"/>
        <c:varyColors val="0"/>
        <c:ser>
          <c:idx val="1"/>
          <c:order val="0"/>
          <c:tx>
            <c:strRef>
              <c:f>'Chart_3.2_data'!$J$84</c:f>
              <c:strCache>
                <c:ptCount val="1"/>
                <c:pt idx="0">
                  <c:v>Australia</c:v>
                </c:pt>
              </c:strCache>
            </c:strRef>
          </c:tx>
          <c:spPr>
            <a:solidFill>
              <a:schemeClr val="bg2">
                <a:lumMod val="75000"/>
              </a:schemeClr>
            </a:solidFill>
            <a:ln>
              <a:noFill/>
            </a:ln>
            <a:effectLst/>
          </c:spPr>
          <c:invertIfNegative val="0"/>
          <c:cat>
            <c:strRef>
              <c:f>'Chart_3.2_data'!$H$85:$H$96</c:f>
              <c:strCache>
                <c:ptCount val="12"/>
                <c:pt idx="0">
                  <c:v>Total</c:v>
                </c:pt>
                <c:pt idx="1">
                  <c:v>Communication</c:v>
                </c:pt>
                <c:pt idx="2">
                  <c:v>Clothing and footwear</c:v>
                </c:pt>
                <c:pt idx="3">
                  <c:v>Furnishings, h'hold equipment and services</c:v>
                </c:pt>
                <c:pt idx="4">
                  <c:v>Transport</c:v>
                </c:pt>
                <c:pt idx="5">
                  <c:v>Recreation and culture</c:v>
                </c:pt>
                <c:pt idx="6">
                  <c:v>Health</c:v>
                </c:pt>
                <c:pt idx="7">
                  <c:v>Alcohol and tobacco</c:v>
                </c:pt>
                <c:pt idx="8">
                  <c:v>Housing</c:v>
                </c:pt>
                <c:pt idx="9">
                  <c:v>Food and non-alcoholic beverages</c:v>
                </c:pt>
                <c:pt idx="10">
                  <c:v>Insurance and financial services</c:v>
                </c:pt>
                <c:pt idx="11">
                  <c:v>Education</c:v>
                </c:pt>
              </c:strCache>
            </c:strRef>
          </c:cat>
          <c:val>
            <c:numRef>
              <c:f>'Chart_3.2_data'!$J$85:$J$96</c:f>
              <c:numCache>
                <c:formatCode>0.0</c:formatCode>
                <c:ptCount val="12"/>
                <c:pt idx="0">
                  <c:v>4.537877197551099</c:v>
                </c:pt>
                <c:pt idx="1">
                  <c:v>0.93195295536039335</c:v>
                </c:pt>
                <c:pt idx="2">
                  <c:v>1.725614482430049</c:v>
                </c:pt>
                <c:pt idx="3">
                  <c:v>2.9254526853836227</c:v>
                </c:pt>
                <c:pt idx="4">
                  <c:v>3.9020443506555313</c:v>
                </c:pt>
                <c:pt idx="5">
                  <c:v>3.6260207959707191</c:v>
                </c:pt>
                <c:pt idx="6">
                  <c:v>4.2420655801590934</c:v>
                </c:pt>
                <c:pt idx="7">
                  <c:v>5.0833296490423896</c:v>
                </c:pt>
                <c:pt idx="8">
                  <c:v>5.9824950520342979</c:v>
                </c:pt>
                <c:pt idx="9">
                  <c:v>4.9268404010416322</c:v>
                </c:pt>
                <c:pt idx="10">
                  <c:v>5.3084410539936622</c:v>
                </c:pt>
                <c:pt idx="11">
                  <c:v>5.2570822142230078</c:v>
                </c:pt>
              </c:numCache>
            </c:numRef>
          </c:val>
          <c:extLst>
            <c:ext xmlns:c16="http://schemas.microsoft.com/office/drawing/2014/chart" uri="{C3380CC4-5D6E-409C-BE32-E72D297353CC}">
              <c16:uniqueId val="{00000000-597A-496D-8016-B958B01AF522}"/>
            </c:ext>
          </c:extLst>
        </c:ser>
        <c:ser>
          <c:idx val="0"/>
          <c:order val="1"/>
          <c:tx>
            <c:strRef>
              <c:f>'Chart_3.2_data'!$I$84</c:f>
              <c:strCache>
                <c:ptCount val="1"/>
                <c:pt idx="0">
                  <c:v>Melbourne</c:v>
                </c:pt>
              </c:strCache>
            </c:strRef>
          </c:tx>
          <c:spPr>
            <a:solidFill>
              <a:srgbClr val="414141"/>
            </a:solidFill>
            <a:ln>
              <a:noFill/>
            </a:ln>
            <a:effectLst/>
          </c:spPr>
          <c:invertIfNegative val="0"/>
          <c:cat>
            <c:strRef>
              <c:f>'Chart_3.2_data'!$H$85:$H$96</c:f>
              <c:strCache>
                <c:ptCount val="12"/>
                <c:pt idx="0">
                  <c:v>Total</c:v>
                </c:pt>
                <c:pt idx="1">
                  <c:v>Communication</c:v>
                </c:pt>
                <c:pt idx="2">
                  <c:v>Clothing and footwear</c:v>
                </c:pt>
                <c:pt idx="3">
                  <c:v>Furnishings, h'hold equipment and services</c:v>
                </c:pt>
                <c:pt idx="4">
                  <c:v>Transport</c:v>
                </c:pt>
                <c:pt idx="5">
                  <c:v>Recreation and culture</c:v>
                </c:pt>
                <c:pt idx="6">
                  <c:v>Health</c:v>
                </c:pt>
                <c:pt idx="7">
                  <c:v>Alcohol and tobacco</c:v>
                </c:pt>
                <c:pt idx="8">
                  <c:v>Housing</c:v>
                </c:pt>
                <c:pt idx="9">
                  <c:v>Food and non-alcoholic beverages</c:v>
                </c:pt>
                <c:pt idx="10">
                  <c:v>Insurance and financial services</c:v>
                </c:pt>
                <c:pt idx="11">
                  <c:v>Education</c:v>
                </c:pt>
              </c:strCache>
            </c:strRef>
          </c:cat>
          <c:val>
            <c:numRef>
              <c:f>'Chart_3.2_data'!$I$85:$I$96</c:f>
              <c:numCache>
                <c:formatCode>0.0</c:formatCode>
                <c:ptCount val="12"/>
                <c:pt idx="0">
                  <c:v>4.4036485508901269</c:v>
                </c:pt>
                <c:pt idx="1">
                  <c:v>0.92597624277224178</c:v>
                </c:pt>
                <c:pt idx="2">
                  <c:v>1.7076865437003708</c:v>
                </c:pt>
                <c:pt idx="3">
                  <c:v>2.6909451084529135</c:v>
                </c:pt>
                <c:pt idx="4">
                  <c:v>3.725503480138137</c:v>
                </c:pt>
                <c:pt idx="5">
                  <c:v>3.8560448617263932</c:v>
                </c:pt>
                <c:pt idx="6">
                  <c:v>4.1159814542227835</c:v>
                </c:pt>
                <c:pt idx="7">
                  <c:v>5.0215051417083156</c:v>
                </c:pt>
                <c:pt idx="8">
                  <c:v>5.0561488768873675</c:v>
                </c:pt>
                <c:pt idx="9">
                  <c:v>5.0556329968690417</c:v>
                </c:pt>
                <c:pt idx="10">
                  <c:v>5.5315967211051031</c:v>
                </c:pt>
                <c:pt idx="11">
                  <c:v>5.6496989828892286</c:v>
                </c:pt>
              </c:numCache>
            </c:numRef>
          </c:val>
          <c:extLst>
            <c:ext xmlns:c16="http://schemas.microsoft.com/office/drawing/2014/chart" uri="{C3380CC4-5D6E-409C-BE32-E72D297353CC}">
              <c16:uniqueId val="{00000001-597A-496D-8016-B958B01AF522}"/>
            </c:ext>
          </c:extLst>
        </c:ser>
        <c:dLbls>
          <c:showLegendKey val="0"/>
          <c:showVal val="0"/>
          <c:showCatName val="0"/>
          <c:showSerName val="0"/>
          <c:showPercent val="0"/>
          <c:showBubbleSize val="0"/>
        </c:dLbls>
        <c:gapWidth val="130"/>
        <c:axId val="1207689983"/>
        <c:axId val="1207699583"/>
      </c:barChart>
      <c:catAx>
        <c:axId val="1207689983"/>
        <c:scaling>
          <c:orientation val="minMax"/>
        </c:scaling>
        <c:delete val="0"/>
        <c:axPos val="l"/>
        <c:numFmt formatCode="mmm\ yy" sourceLinked="0"/>
        <c:majorTickMark val="out"/>
        <c:minorTickMark val="none"/>
        <c:tickLblPos val="low"/>
        <c:spPr>
          <a:noFill/>
          <a:ln w="9525" cap="flat" cmpd="sng" algn="ctr">
            <a:solidFill>
              <a:srgbClr val="000000"/>
            </a:solidFill>
            <a:round/>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Calibri" panose="020F0502020204030204" pitchFamily="34" charset="0"/>
                <a:ea typeface="+mn-ea"/>
                <a:cs typeface="+mn-cs"/>
              </a:defRPr>
            </a:pPr>
            <a:endParaRPr lang="en-US"/>
          </a:p>
        </c:txPr>
        <c:crossAx val="1207699583"/>
        <c:crosses val="autoZero"/>
        <c:auto val="1"/>
        <c:lblAlgn val="ctr"/>
        <c:lblOffset val="100"/>
        <c:noMultiLvlLbl val="0"/>
      </c:catAx>
      <c:valAx>
        <c:axId val="1207699583"/>
        <c:scaling>
          <c:orientation val="minMax"/>
          <c:max val="7.5"/>
        </c:scaling>
        <c:delete val="0"/>
        <c:axPos val="b"/>
        <c:majorGridlines>
          <c:spPr>
            <a:ln w="9525" cap="flat" cmpd="sng" algn="ctr">
              <a:solidFill>
                <a:schemeClr val="bg2">
                  <a:lumMod val="90000"/>
                </a:schemeClr>
              </a:solidFill>
              <a:prstDash val="dash"/>
              <a:round/>
            </a:ln>
            <a:effectLst/>
          </c:spPr>
        </c:majorGridlines>
        <c:title>
          <c:tx>
            <c:rich>
              <a:bodyPr rot="0" spcFirstLastPara="1" vertOverflow="ellipsis" vert="horz" wrap="square" anchor="ctr" anchorCtr="1"/>
              <a:lstStyle/>
              <a:p>
                <a:pPr>
                  <a:defRPr sz="900" b="0" i="1" u="none" strike="noStrike" kern="1200" baseline="0">
                    <a:solidFill>
                      <a:schemeClr val="tx1">
                        <a:lumMod val="65000"/>
                        <a:lumOff val="35000"/>
                      </a:schemeClr>
                    </a:solidFill>
                    <a:latin typeface="Calibri"/>
                    <a:ea typeface="Calibri"/>
                    <a:cs typeface="Calibri"/>
                  </a:defRPr>
                </a:pPr>
                <a:r>
                  <a:rPr lang="en-AU" sz="900"/>
                  <a:t>per cent</a:t>
                </a:r>
              </a:p>
            </c:rich>
          </c:tx>
          <c:overlay val="0"/>
          <c:spPr>
            <a:noFill/>
            <a:ln>
              <a:noFill/>
            </a:ln>
            <a:effectLst/>
          </c:spPr>
          <c:txPr>
            <a:bodyPr rot="0" spcFirstLastPara="1" vertOverflow="ellipsis" vert="horz" wrap="square" anchor="ctr" anchorCtr="1"/>
            <a:lstStyle/>
            <a:p>
              <a:pPr>
                <a:defRPr sz="900" b="0" i="1" u="none" strike="noStrike" kern="1200" baseline="0">
                  <a:solidFill>
                    <a:schemeClr val="tx1">
                      <a:lumMod val="65000"/>
                      <a:lumOff val="35000"/>
                    </a:schemeClr>
                  </a:solidFill>
                  <a:latin typeface="Calibri"/>
                  <a:ea typeface="Calibri"/>
                  <a:cs typeface="Calibri"/>
                </a:defRPr>
              </a:pPr>
              <a:endParaRPr lang="en-US"/>
            </a:p>
          </c:txPr>
        </c:title>
        <c:numFmt formatCode="#,##0.0" sourceLinked="0"/>
        <c:majorTickMark val="none"/>
        <c:minorTickMark val="none"/>
        <c:tickLblPos val="nextTo"/>
        <c:spPr>
          <a:noFill/>
          <a:ln w="9525">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libri" panose="020F0502020204030204" pitchFamily="34" charset="0"/>
                <a:ea typeface="+mn-ea"/>
                <a:cs typeface="+mn-cs"/>
              </a:defRPr>
            </a:pPr>
            <a:endParaRPr lang="en-US"/>
          </a:p>
        </c:txPr>
        <c:crossAx val="1207689983"/>
        <c:crosses val="autoZero"/>
        <c:crossBetween val="between"/>
        <c:majorUnit val="1.5"/>
      </c:valAx>
      <c:spPr>
        <a:noFill/>
        <a:ln>
          <a:noFill/>
        </a:ln>
        <a:effectLst/>
        <a:extLst>
          <a:ext uri="{909E8E84-426E-40DD-AFC4-6F175D3DCCD1}">
            <a14:hiddenFill xmlns:a14="http://schemas.microsoft.com/office/drawing/2010/main">
              <a:noFill/>
            </a14:hiddenFill>
          </a:ext>
        </a:ex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Calibri" panose="020F0502020204030204" pitchFamily="34" charset="0"/>
              <a:ea typeface="+mn-ea"/>
              <a:cs typeface="+mn-cs"/>
            </a:defRPr>
          </a:pPr>
          <a:endParaRPr lang="en-US"/>
        </a:p>
      </c:txPr>
    </c:legend>
    <c:plotVisOnly val="1"/>
    <c:dispBlanksAs val="gap"/>
    <c:showDLblsOverMax val="0"/>
  </c:chart>
  <c:spPr>
    <a:noFill/>
    <a:ln w="9525" cap="flat" cmpd="sng" algn="ctr">
      <a:noFill/>
      <a:round/>
    </a:ln>
    <a:effectLst/>
    <a:extLst>
      <a:ext uri="{91240B29-F687-4F45-9708-019B960494DF}">
        <a14:hiddenLine xmlns:a14="http://schemas.microsoft.com/office/drawing/2010/main" w="9525" cap="flat" cmpd="sng" algn="ctr">
          <a:solidFill>
            <a:sysClr val="windowText" lastClr="000000">
              <a:lumMod val="15000"/>
              <a:lumOff val="85000"/>
            </a:sysClr>
          </a:solidFill>
          <a:round/>
        </a14:hiddenLine>
      </a:ext>
    </a:extLst>
  </c:spPr>
  <c:txPr>
    <a:bodyPr/>
    <a:lstStyle/>
    <a:p>
      <a:pPr>
        <a:defRPr sz="900">
          <a:latin typeface="Calibri" panose="020F0502020204030204" pitchFamily="34" charset="0"/>
        </a:defRPr>
      </a:pPr>
      <a:endParaRPr lang="en-US"/>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3495518456450654E-2"/>
          <c:y val="4.8568616468898179E-2"/>
          <c:w val="0.91779523897459658"/>
          <c:h val="0.72749959408093678"/>
        </c:manualLayout>
      </c:layout>
      <c:barChart>
        <c:barDir val="col"/>
        <c:grouping val="clustered"/>
        <c:varyColors val="0"/>
        <c:ser>
          <c:idx val="0"/>
          <c:order val="0"/>
          <c:tx>
            <c:strRef>
              <c:f>ConsumptionByQuintileData!$A$33</c:f>
              <c:strCache>
                <c:ptCount val="1"/>
                <c:pt idx="0">
                  <c:v>    Rent and other dwelling services</c:v>
                </c:pt>
              </c:strCache>
            </c:strRef>
          </c:tx>
          <c:spPr>
            <a:solidFill>
              <a:schemeClr val="bg1">
                <a:lumMod val="85000"/>
              </a:schemeClr>
            </a:solidFill>
            <a:ln>
              <a:noFill/>
            </a:ln>
            <a:effectLst/>
          </c:spPr>
          <c:invertIfNegative val="0"/>
          <c:cat>
            <c:strRef>
              <c:f>ConsumptionByQuintileData!$B$32:$F$32</c:f>
              <c:strCache>
                <c:ptCount val="5"/>
                <c:pt idx="0">
                  <c:v>Lowest</c:v>
                </c:pt>
                <c:pt idx="1">
                  <c:v>Second</c:v>
                </c:pt>
                <c:pt idx="2">
                  <c:v>Third </c:v>
                </c:pt>
                <c:pt idx="3">
                  <c:v>Fourth</c:v>
                </c:pt>
                <c:pt idx="4">
                  <c:v>Highest</c:v>
                </c:pt>
              </c:strCache>
            </c:strRef>
          </c:cat>
          <c:val>
            <c:numRef>
              <c:f>ConsumptionByQuintileData!$B$33:$F$33</c:f>
              <c:numCache>
                <c:formatCode>General</c:formatCode>
                <c:ptCount val="5"/>
                <c:pt idx="0">
                  <c:v>26.1031653397906</c:v>
                </c:pt>
                <c:pt idx="1">
                  <c:v>20.904335709911397</c:v>
                </c:pt>
                <c:pt idx="2">
                  <c:v>18.670868649901092</c:v>
                </c:pt>
                <c:pt idx="3">
                  <c:v>16.036976322349723</c:v>
                </c:pt>
                <c:pt idx="4">
                  <c:v>13.38106372559163</c:v>
                </c:pt>
              </c:numCache>
            </c:numRef>
          </c:val>
          <c:extLst>
            <c:ext xmlns:c16="http://schemas.microsoft.com/office/drawing/2014/chart" uri="{C3380CC4-5D6E-409C-BE32-E72D297353CC}">
              <c16:uniqueId val="{00000000-CF2D-4BDD-B353-CCEBC05D924D}"/>
            </c:ext>
          </c:extLst>
        </c:ser>
        <c:ser>
          <c:idx val="1"/>
          <c:order val="1"/>
          <c:tx>
            <c:strRef>
              <c:f>ConsumptionByQuintileData!$A$34</c:f>
              <c:strCache>
                <c:ptCount val="1"/>
                <c:pt idx="0">
                  <c:v>    Food</c:v>
                </c:pt>
              </c:strCache>
            </c:strRef>
          </c:tx>
          <c:spPr>
            <a:solidFill>
              <a:schemeClr val="bg1">
                <a:lumMod val="75000"/>
              </a:schemeClr>
            </a:solidFill>
            <a:ln>
              <a:noFill/>
            </a:ln>
            <a:effectLst/>
          </c:spPr>
          <c:invertIfNegative val="0"/>
          <c:cat>
            <c:strRef>
              <c:f>ConsumptionByQuintileData!$B$32:$F$32</c:f>
              <c:strCache>
                <c:ptCount val="5"/>
                <c:pt idx="0">
                  <c:v>Lowest</c:v>
                </c:pt>
                <c:pt idx="1">
                  <c:v>Second</c:v>
                </c:pt>
                <c:pt idx="2">
                  <c:v>Third </c:v>
                </c:pt>
                <c:pt idx="3">
                  <c:v>Fourth</c:v>
                </c:pt>
                <c:pt idx="4">
                  <c:v>Highest</c:v>
                </c:pt>
              </c:strCache>
            </c:strRef>
          </c:cat>
          <c:val>
            <c:numRef>
              <c:f>ConsumptionByQuintileData!$B$34:$F$34</c:f>
              <c:numCache>
                <c:formatCode>General</c:formatCode>
                <c:ptCount val="5"/>
                <c:pt idx="0">
                  <c:v>16.358901102729824</c:v>
                </c:pt>
                <c:pt idx="1">
                  <c:v>11.496907077483186</c:v>
                </c:pt>
                <c:pt idx="2">
                  <c:v>10.125424116503375</c:v>
                </c:pt>
                <c:pt idx="3">
                  <c:v>7.9911665518835742</c:v>
                </c:pt>
                <c:pt idx="4">
                  <c:v>5.1211882936384772</c:v>
                </c:pt>
              </c:numCache>
            </c:numRef>
          </c:val>
          <c:extLst>
            <c:ext xmlns:c16="http://schemas.microsoft.com/office/drawing/2014/chart" uri="{C3380CC4-5D6E-409C-BE32-E72D297353CC}">
              <c16:uniqueId val="{00000001-CF2D-4BDD-B353-CCEBC05D924D}"/>
            </c:ext>
          </c:extLst>
        </c:ser>
        <c:ser>
          <c:idx val="2"/>
          <c:order val="2"/>
          <c:tx>
            <c:strRef>
              <c:f>ConsumptionByQuintileData!$A$35</c:f>
              <c:strCache>
                <c:ptCount val="1"/>
                <c:pt idx="0">
                  <c:v>    Transport</c:v>
                </c:pt>
              </c:strCache>
            </c:strRef>
          </c:tx>
          <c:spPr>
            <a:solidFill>
              <a:schemeClr val="bg1">
                <a:lumMod val="65000"/>
              </a:schemeClr>
            </a:solidFill>
            <a:ln>
              <a:noFill/>
            </a:ln>
            <a:effectLst/>
          </c:spPr>
          <c:invertIfNegative val="0"/>
          <c:cat>
            <c:strRef>
              <c:f>ConsumptionByQuintileData!$B$32:$F$32</c:f>
              <c:strCache>
                <c:ptCount val="5"/>
                <c:pt idx="0">
                  <c:v>Lowest</c:v>
                </c:pt>
                <c:pt idx="1">
                  <c:v>Second</c:v>
                </c:pt>
                <c:pt idx="2">
                  <c:v>Third </c:v>
                </c:pt>
                <c:pt idx="3">
                  <c:v>Fourth</c:v>
                </c:pt>
                <c:pt idx="4">
                  <c:v>Highest</c:v>
                </c:pt>
              </c:strCache>
            </c:strRef>
          </c:cat>
          <c:val>
            <c:numRef>
              <c:f>ConsumptionByQuintileData!$B$35:$F$35</c:f>
              <c:numCache>
                <c:formatCode>General</c:formatCode>
                <c:ptCount val="5"/>
                <c:pt idx="0">
                  <c:v>9.7991394178004629</c:v>
                </c:pt>
                <c:pt idx="1">
                  <c:v>7.5696539634917155</c:v>
                </c:pt>
                <c:pt idx="2">
                  <c:v>7.4606381762037284</c:v>
                </c:pt>
                <c:pt idx="3">
                  <c:v>7.3816844984625529</c:v>
                </c:pt>
                <c:pt idx="4">
                  <c:v>5.3032811195949812</c:v>
                </c:pt>
              </c:numCache>
            </c:numRef>
          </c:val>
          <c:extLst>
            <c:ext xmlns:c16="http://schemas.microsoft.com/office/drawing/2014/chart" uri="{C3380CC4-5D6E-409C-BE32-E72D297353CC}">
              <c16:uniqueId val="{00000002-CF2D-4BDD-B353-CCEBC05D924D}"/>
            </c:ext>
          </c:extLst>
        </c:ser>
        <c:ser>
          <c:idx val="3"/>
          <c:order val="3"/>
          <c:tx>
            <c:strRef>
              <c:f>ConsumptionByQuintileData!$A$36</c:f>
              <c:strCache>
                <c:ptCount val="1"/>
                <c:pt idx="0">
                  <c:v>    Health</c:v>
                </c:pt>
              </c:strCache>
            </c:strRef>
          </c:tx>
          <c:spPr>
            <a:solidFill>
              <a:schemeClr val="tx1">
                <a:lumMod val="50000"/>
                <a:lumOff val="50000"/>
              </a:schemeClr>
            </a:solidFill>
            <a:ln>
              <a:noFill/>
            </a:ln>
            <a:effectLst/>
          </c:spPr>
          <c:invertIfNegative val="0"/>
          <c:cat>
            <c:strRef>
              <c:f>ConsumptionByQuintileData!$B$32:$F$32</c:f>
              <c:strCache>
                <c:ptCount val="5"/>
                <c:pt idx="0">
                  <c:v>Lowest</c:v>
                </c:pt>
                <c:pt idx="1">
                  <c:v>Second</c:v>
                </c:pt>
                <c:pt idx="2">
                  <c:v>Third </c:v>
                </c:pt>
                <c:pt idx="3">
                  <c:v>Fourth</c:v>
                </c:pt>
                <c:pt idx="4">
                  <c:v>Highest</c:v>
                </c:pt>
              </c:strCache>
            </c:strRef>
          </c:cat>
          <c:val>
            <c:numRef>
              <c:f>ConsumptionByQuintileData!$B$36:$F$36</c:f>
              <c:numCache>
                <c:formatCode>General</c:formatCode>
                <c:ptCount val="5"/>
                <c:pt idx="0">
                  <c:v>7.4717349267459889</c:v>
                </c:pt>
                <c:pt idx="1">
                  <c:v>4.700343283498233</c:v>
                </c:pt>
                <c:pt idx="2">
                  <c:v>5.2931433969137451</c:v>
                </c:pt>
                <c:pt idx="3">
                  <c:v>4.1241080060398536</c:v>
                </c:pt>
                <c:pt idx="4">
                  <c:v>3.5942640759823701</c:v>
                </c:pt>
              </c:numCache>
            </c:numRef>
          </c:val>
          <c:extLst>
            <c:ext xmlns:c16="http://schemas.microsoft.com/office/drawing/2014/chart" uri="{C3380CC4-5D6E-409C-BE32-E72D297353CC}">
              <c16:uniqueId val="{00000003-CF2D-4BDD-B353-CCEBC05D924D}"/>
            </c:ext>
          </c:extLst>
        </c:ser>
        <c:ser>
          <c:idx val="4"/>
          <c:order val="4"/>
          <c:tx>
            <c:strRef>
              <c:f>ConsumptionByQuintileData!$A$37</c:f>
              <c:strCache>
                <c:ptCount val="1"/>
                <c:pt idx="0">
                  <c:v>    Electricity, gas and other fuel</c:v>
                </c:pt>
              </c:strCache>
            </c:strRef>
          </c:tx>
          <c:spPr>
            <a:solidFill>
              <a:schemeClr val="tx1">
                <a:lumMod val="65000"/>
                <a:lumOff val="35000"/>
              </a:schemeClr>
            </a:solidFill>
            <a:ln>
              <a:noFill/>
            </a:ln>
            <a:effectLst/>
          </c:spPr>
          <c:invertIfNegative val="0"/>
          <c:cat>
            <c:strRef>
              <c:f>ConsumptionByQuintileData!$B$32:$F$32</c:f>
              <c:strCache>
                <c:ptCount val="5"/>
                <c:pt idx="0">
                  <c:v>Lowest</c:v>
                </c:pt>
                <c:pt idx="1">
                  <c:v>Second</c:v>
                </c:pt>
                <c:pt idx="2">
                  <c:v>Third </c:v>
                </c:pt>
                <c:pt idx="3">
                  <c:v>Fourth</c:v>
                </c:pt>
                <c:pt idx="4">
                  <c:v>Highest</c:v>
                </c:pt>
              </c:strCache>
            </c:strRef>
          </c:cat>
          <c:val>
            <c:numRef>
              <c:f>ConsumptionByQuintileData!$B$37:$F$37</c:f>
              <c:numCache>
                <c:formatCode>General</c:formatCode>
                <c:ptCount val="5"/>
                <c:pt idx="0">
                  <c:v>4.1748689092904554</c:v>
                </c:pt>
                <c:pt idx="1">
                  <c:v>2.6159213875170657</c:v>
                </c:pt>
                <c:pt idx="2">
                  <c:v>2.1874033692111539</c:v>
                </c:pt>
                <c:pt idx="3">
                  <c:v>1.7346796905059834</c:v>
                </c:pt>
                <c:pt idx="4">
                  <c:v>1.1075589215138535</c:v>
                </c:pt>
              </c:numCache>
            </c:numRef>
          </c:val>
          <c:extLst>
            <c:ext xmlns:c16="http://schemas.microsoft.com/office/drawing/2014/chart" uri="{C3380CC4-5D6E-409C-BE32-E72D297353CC}">
              <c16:uniqueId val="{00000004-CF2D-4BDD-B353-CCEBC05D924D}"/>
            </c:ext>
          </c:extLst>
        </c:ser>
        <c:ser>
          <c:idx val="5"/>
          <c:order val="5"/>
          <c:tx>
            <c:strRef>
              <c:f>ConsumptionByQuintileData!$A$38</c:f>
              <c:strCache>
                <c:ptCount val="1"/>
                <c:pt idx="0">
                  <c:v>    Education services</c:v>
                </c:pt>
              </c:strCache>
            </c:strRef>
          </c:tx>
          <c:spPr>
            <a:solidFill>
              <a:schemeClr val="tx1">
                <a:lumMod val="95000"/>
                <a:lumOff val="5000"/>
              </a:schemeClr>
            </a:solidFill>
            <a:ln>
              <a:noFill/>
            </a:ln>
            <a:effectLst/>
          </c:spPr>
          <c:invertIfNegative val="0"/>
          <c:cat>
            <c:strRef>
              <c:f>ConsumptionByQuintileData!$B$32:$F$32</c:f>
              <c:strCache>
                <c:ptCount val="5"/>
                <c:pt idx="0">
                  <c:v>Lowest</c:v>
                </c:pt>
                <c:pt idx="1">
                  <c:v>Second</c:v>
                </c:pt>
                <c:pt idx="2">
                  <c:v>Third </c:v>
                </c:pt>
                <c:pt idx="3">
                  <c:v>Fourth</c:v>
                </c:pt>
                <c:pt idx="4">
                  <c:v>Highest</c:v>
                </c:pt>
              </c:strCache>
            </c:strRef>
          </c:cat>
          <c:val>
            <c:numRef>
              <c:f>ConsumptionByQuintileData!$B$38:$F$38</c:f>
              <c:numCache>
                <c:formatCode>General</c:formatCode>
                <c:ptCount val="5"/>
                <c:pt idx="0">
                  <c:v>1.6593209414142118</c:v>
                </c:pt>
                <c:pt idx="1">
                  <c:v>0.95063122587604709</c:v>
                </c:pt>
                <c:pt idx="2">
                  <c:v>1.1136102745267475</c:v>
                </c:pt>
                <c:pt idx="3">
                  <c:v>0.84713155435706922</c:v>
                </c:pt>
                <c:pt idx="4">
                  <c:v>1.0666914975065698</c:v>
                </c:pt>
              </c:numCache>
            </c:numRef>
          </c:val>
          <c:extLst>
            <c:ext xmlns:c16="http://schemas.microsoft.com/office/drawing/2014/chart" uri="{C3380CC4-5D6E-409C-BE32-E72D297353CC}">
              <c16:uniqueId val="{00000005-CF2D-4BDD-B353-CCEBC05D924D}"/>
            </c:ext>
          </c:extLst>
        </c:ser>
        <c:dLbls>
          <c:showLegendKey val="0"/>
          <c:showVal val="0"/>
          <c:showCatName val="0"/>
          <c:showSerName val="0"/>
          <c:showPercent val="0"/>
          <c:showBubbleSize val="0"/>
        </c:dLbls>
        <c:gapWidth val="150"/>
        <c:axId val="1094189680"/>
        <c:axId val="1094191600"/>
      </c:barChart>
      <c:catAx>
        <c:axId val="1094189680"/>
        <c:scaling>
          <c:orientation val="minMax"/>
        </c:scaling>
        <c:delete val="0"/>
        <c:axPos val="b"/>
        <c:numFmt formatCode="General" sourceLinked="1"/>
        <c:majorTickMark val="none"/>
        <c:minorTickMark val="none"/>
        <c:tickLblPos val="nextTo"/>
        <c:spPr>
          <a:noFill/>
          <a:ln w="6350" cap="flat" cmpd="sng" algn="ctr">
            <a:solidFill>
              <a:schemeClr val="bg1">
                <a:lumMod val="6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n-US"/>
          </a:p>
        </c:txPr>
        <c:crossAx val="1094191600"/>
        <c:crosses val="autoZero"/>
        <c:auto val="1"/>
        <c:lblAlgn val="ctr"/>
        <c:lblOffset val="100"/>
        <c:noMultiLvlLbl val="0"/>
      </c:catAx>
      <c:valAx>
        <c:axId val="1094191600"/>
        <c:scaling>
          <c:orientation val="minMax"/>
        </c:scaling>
        <c:delete val="0"/>
        <c:axPos val="l"/>
        <c:majorGridlines>
          <c:spPr>
            <a:ln w="6350" cap="flat" cmpd="sng" algn="ctr">
              <a:solidFill>
                <a:schemeClr val="tx1">
                  <a:lumMod val="15000"/>
                  <a:lumOff val="85000"/>
                </a:schemeClr>
              </a:solidFill>
              <a:prstDash val="dash"/>
              <a:round/>
            </a:ln>
            <a:effectLst/>
          </c:spPr>
        </c:majorGridlines>
        <c:numFmt formatCode="General" sourceLinked="0"/>
        <c:majorTickMark val="none"/>
        <c:minorTickMark val="none"/>
        <c:tickLblPos val="nextTo"/>
        <c:spPr>
          <a:noFill/>
          <a:ln w="6350">
            <a:solidFill>
              <a:schemeClr val="bg1">
                <a:lumMod val="65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n-US"/>
          </a:p>
        </c:txPr>
        <c:crossAx val="1094189680"/>
        <c:crosses val="autoZero"/>
        <c:crossBetween val="between"/>
      </c:valAx>
      <c:spPr>
        <a:noFill/>
        <a:ln>
          <a:noFill/>
        </a:ln>
        <a:effectLst/>
      </c:spPr>
    </c:plotArea>
    <c:legend>
      <c:legendPos val="b"/>
      <c:layout>
        <c:manualLayout>
          <c:xMode val="edge"/>
          <c:yMode val="edge"/>
          <c:x val="7.1757473283319941E-4"/>
          <c:y val="0.89347862893959451"/>
          <c:w val="0.96944654201618596"/>
          <c:h val="0.1065213710604055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j-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6294203062184142E-2"/>
          <c:y val="7.7772367294026104E-2"/>
          <c:w val="0.87511904678371144"/>
          <c:h val="0.77130659722222217"/>
        </c:manualLayout>
      </c:layout>
      <c:barChart>
        <c:barDir val="col"/>
        <c:grouping val="stacked"/>
        <c:varyColors val="0"/>
        <c:ser>
          <c:idx val="0"/>
          <c:order val="0"/>
          <c:tx>
            <c:strRef>
              <c:f>Chart_GII!$A$25</c:f>
              <c:strCache>
                <c:ptCount val="1"/>
                <c:pt idx="0">
                  <c:v>GII</c:v>
                </c:pt>
              </c:strCache>
            </c:strRef>
          </c:tx>
          <c:spPr>
            <a:solidFill>
              <a:schemeClr val="accent3">
                <a:lumMod val="60000"/>
                <a:lumOff val="40000"/>
              </a:schemeClr>
            </a:solidFill>
          </c:spPr>
          <c:invertIfNegative val="0"/>
          <c:dPt>
            <c:idx val="0"/>
            <c:invertIfNegative val="0"/>
            <c:bubble3D val="0"/>
            <c:spPr>
              <a:solidFill>
                <a:schemeClr val="bg1">
                  <a:lumMod val="50000"/>
                </a:schemeClr>
              </a:solidFill>
            </c:spPr>
            <c:extLst>
              <c:ext xmlns:c16="http://schemas.microsoft.com/office/drawing/2014/chart" uri="{C3380CC4-5D6E-409C-BE32-E72D297353CC}">
                <c16:uniqueId val="{00000001-76D7-4A32-886D-ED303D3F8520}"/>
              </c:ext>
            </c:extLst>
          </c:dPt>
          <c:dPt>
            <c:idx val="1"/>
            <c:invertIfNegative val="0"/>
            <c:bubble3D val="0"/>
            <c:spPr>
              <a:solidFill>
                <a:schemeClr val="bg1">
                  <a:lumMod val="50000"/>
                </a:schemeClr>
              </a:solidFill>
            </c:spPr>
            <c:extLst>
              <c:ext xmlns:c16="http://schemas.microsoft.com/office/drawing/2014/chart" uri="{C3380CC4-5D6E-409C-BE32-E72D297353CC}">
                <c16:uniqueId val="{00000003-76D7-4A32-886D-ED303D3F8520}"/>
              </c:ext>
            </c:extLst>
          </c:dPt>
          <c:dPt>
            <c:idx val="2"/>
            <c:invertIfNegative val="0"/>
            <c:bubble3D val="0"/>
            <c:spPr>
              <a:solidFill>
                <a:schemeClr val="bg1">
                  <a:lumMod val="50000"/>
                </a:schemeClr>
              </a:solidFill>
            </c:spPr>
            <c:extLst>
              <c:ext xmlns:c16="http://schemas.microsoft.com/office/drawing/2014/chart" uri="{C3380CC4-5D6E-409C-BE32-E72D297353CC}">
                <c16:uniqueId val="{00000005-76D7-4A32-886D-ED303D3F8520}"/>
              </c:ext>
            </c:extLst>
          </c:dPt>
          <c:dPt>
            <c:idx val="3"/>
            <c:invertIfNegative val="0"/>
            <c:bubble3D val="0"/>
            <c:spPr>
              <a:solidFill>
                <a:schemeClr val="bg1">
                  <a:lumMod val="50000"/>
                </a:schemeClr>
              </a:solidFill>
            </c:spPr>
            <c:extLst>
              <c:ext xmlns:c16="http://schemas.microsoft.com/office/drawing/2014/chart" uri="{C3380CC4-5D6E-409C-BE32-E72D297353CC}">
                <c16:uniqueId val="{00000007-76D7-4A32-886D-ED303D3F8520}"/>
              </c:ext>
            </c:extLst>
          </c:dPt>
          <c:dPt>
            <c:idx val="4"/>
            <c:invertIfNegative val="0"/>
            <c:bubble3D val="0"/>
            <c:spPr>
              <a:solidFill>
                <a:schemeClr val="bg1">
                  <a:lumMod val="50000"/>
                </a:schemeClr>
              </a:solidFill>
            </c:spPr>
            <c:extLst>
              <c:ext xmlns:c16="http://schemas.microsoft.com/office/drawing/2014/chart" uri="{C3380CC4-5D6E-409C-BE32-E72D297353CC}">
                <c16:uniqueId val="{00000009-76D7-4A32-886D-ED303D3F8520}"/>
              </c:ext>
            </c:extLst>
          </c:dPt>
          <c:dPt>
            <c:idx val="5"/>
            <c:invertIfNegative val="0"/>
            <c:bubble3D val="0"/>
            <c:spPr>
              <a:solidFill>
                <a:schemeClr val="bg1">
                  <a:lumMod val="50000"/>
                </a:schemeClr>
              </a:solidFill>
            </c:spPr>
            <c:extLst>
              <c:ext xmlns:c16="http://schemas.microsoft.com/office/drawing/2014/chart" uri="{C3380CC4-5D6E-409C-BE32-E72D297353CC}">
                <c16:uniqueId val="{0000000B-76D7-4A32-886D-ED303D3F8520}"/>
              </c:ext>
            </c:extLst>
          </c:dPt>
          <c:dPt>
            <c:idx val="6"/>
            <c:invertIfNegative val="0"/>
            <c:bubble3D val="0"/>
            <c:spPr>
              <a:solidFill>
                <a:schemeClr val="bg1">
                  <a:lumMod val="50000"/>
                </a:schemeClr>
              </a:solidFill>
            </c:spPr>
            <c:extLst>
              <c:ext xmlns:c16="http://schemas.microsoft.com/office/drawing/2014/chart" uri="{C3380CC4-5D6E-409C-BE32-E72D297353CC}">
                <c16:uniqueId val="{0000000D-76D7-4A32-886D-ED303D3F8520}"/>
              </c:ext>
            </c:extLst>
          </c:dPt>
          <c:dPt>
            <c:idx val="7"/>
            <c:invertIfNegative val="0"/>
            <c:bubble3D val="0"/>
            <c:spPr>
              <a:solidFill>
                <a:schemeClr val="bg1">
                  <a:lumMod val="50000"/>
                </a:schemeClr>
              </a:solidFill>
            </c:spPr>
            <c:extLst>
              <c:ext xmlns:c16="http://schemas.microsoft.com/office/drawing/2014/chart" uri="{C3380CC4-5D6E-409C-BE32-E72D297353CC}">
                <c16:uniqueId val="{0000000F-76D7-4A32-886D-ED303D3F8520}"/>
              </c:ext>
            </c:extLst>
          </c:dPt>
          <c:dPt>
            <c:idx val="8"/>
            <c:invertIfNegative val="0"/>
            <c:bubble3D val="0"/>
            <c:spPr>
              <a:solidFill>
                <a:schemeClr val="bg1">
                  <a:lumMod val="50000"/>
                </a:schemeClr>
              </a:solidFill>
            </c:spPr>
            <c:extLst>
              <c:ext xmlns:c16="http://schemas.microsoft.com/office/drawing/2014/chart" uri="{C3380CC4-5D6E-409C-BE32-E72D297353CC}">
                <c16:uniqueId val="{00000011-76D7-4A32-886D-ED303D3F8520}"/>
              </c:ext>
            </c:extLst>
          </c:dPt>
          <c:dPt>
            <c:idx val="9"/>
            <c:invertIfNegative val="0"/>
            <c:bubble3D val="0"/>
            <c:spPr>
              <a:solidFill>
                <a:schemeClr val="bg1">
                  <a:lumMod val="50000"/>
                </a:schemeClr>
              </a:solidFill>
            </c:spPr>
            <c:extLst>
              <c:ext xmlns:c16="http://schemas.microsoft.com/office/drawing/2014/chart" uri="{C3380CC4-5D6E-409C-BE32-E72D297353CC}">
                <c16:uniqueId val="{00000013-76D7-4A32-886D-ED303D3F8520}"/>
              </c:ext>
            </c:extLst>
          </c:dPt>
          <c:dPt>
            <c:idx val="10"/>
            <c:invertIfNegative val="0"/>
            <c:bubble3D val="0"/>
            <c:spPr>
              <a:solidFill>
                <a:schemeClr val="bg1">
                  <a:lumMod val="50000"/>
                </a:schemeClr>
              </a:solidFill>
            </c:spPr>
            <c:extLst>
              <c:ext xmlns:c16="http://schemas.microsoft.com/office/drawing/2014/chart" uri="{C3380CC4-5D6E-409C-BE32-E72D297353CC}">
                <c16:uniqueId val="{00000015-76D7-4A32-886D-ED303D3F8520}"/>
              </c:ext>
            </c:extLst>
          </c:dPt>
          <c:dPt>
            <c:idx val="11"/>
            <c:invertIfNegative val="0"/>
            <c:bubble3D val="0"/>
            <c:spPr>
              <a:solidFill>
                <a:schemeClr val="bg1">
                  <a:lumMod val="50000"/>
                </a:schemeClr>
              </a:solidFill>
            </c:spPr>
            <c:extLst>
              <c:ext xmlns:c16="http://schemas.microsoft.com/office/drawing/2014/chart" uri="{C3380CC4-5D6E-409C-BE32-E72D297353CC}">
                <c16:uniqueId val="{00000017-76D7-4A32-886D-ED303D3F8520}"/>
              </c:ext>
            </c:extLst>
          </c:dPt>
          <c:dPt>
            <c:idx val="12"/>
            <c:invertIfNegative val="0"/>
            <c:bubble3D val="0"/>
            <c:spPr>
              <a:solidFill>
                <a:schemeClr val="bg1">
                  <a:lumMod val="50000"/>
                </a:schemeClr>
              </a:solidFill>
            </c:spPr>
            <c:extLst>
              <c:ext xmlns:c16="http://schemas.microsoft.com/office/drawing/2014/chart" uri="{C3380CC4-5D6E-409C-BE32-E72D297353CC}">
                <c16:uniqueId val="{00000019-76D7-4A32-886D-ED303D3F8520}"/>
              </c:ext>
            </c:extLst>
          </c:dPt>
          <c:dPt>
            <c:idx val="13"/>
            <c:invertIfNegative val="0"/>
            <c:bubble3D val="0"/>
            <c:spPr>
              <a:solidFill>
                <a:schemeClr val="bg1">
                  <a:lumMod val="50000"/>
                </a:schemeClr>
              </a:solidFill>
            </c:spPr>
            <c:extLst>
              <c:ext xmlns:c16="http://schemas.microsoft.com/office/drawing/2014/chart" uri="{C3380CC4-5D6E-409C-BE32-E72D297353CC}">
                <c16:uniqueId val="{0000001B-76D7-4A32-886D-ED303D3F8520}"/>
              </c:ext>
            </c:extLst>
          </c:dPt>
          <c:dPt>
            <c:idx val="14"/>
            <c:invertIfNegative val="0"/>
            <c:bubble3D val="0"/>
            <c:spPr>
              <a:solidFill>
                <a:schemeClr val="bg1">
                  <a:lumMod val="50000"/>
                </a:schemeClr>
              </a:solidFill>
            </c:spPr>
            <c:extLst>
              <c:ext xmlns:c16="http://schemas.microsoft.com/office/drawing/2014/chart" uri="{C3380CC4-5D6E-409C-BE32-E72D297353CC}">
                <c16:uniqueId val="{0000001D-76D7-4A32-886D-ED303D3F8520}"/>
              </c:ext>
            </c:extLst>
          </c:dPt>
          <c:dPt>
            <c:idx val="15"/>
            <c:invertIfNegative val="0"/>
            <c:bubble3D val="0"/>
            <c:spPr>
              <a:solidFill>
                <a:schemeClr val="bg1">
                  <a:lumMod val="50000"/>
                </a:schemeClr>
              </a:solidFill>
            </c:spPr>
            <c:extLst>
              <c:ext xmlns:c16="http://schemas.microsoft.com/office/drawing/2014/chart" uri="{C3380CC4-5D6E-409C-BE32-E72D297353CC}">
                <c16:uniqueId val="{0000001F-76D7-4A32-886D-ED303D3F8520}"/>
              </c:ext>
            </c:extLst>
          </c:dPt>
          <c:dPt>
            <c:idx val="16"/>
            <c:invertIfNegative val="0"/>
            <c:bubble3D val="0"/>
            <c:spPr>
              <a:solidFill>
                <a:schemeClr val="bg1">
                  <a:lumMod val="50000"/>
                </a:schemeClr>
              </a:solidFill>
            </c:spPr>
            <c:extLst>
              <c:ext xmlns:c16="http://schemas.microsoft.com/office/drawing/2014/chart" uri="{C3380CC4-5D6E-409C-BE32-E72D297353CC}">
                <c16:uniqueId val="{00000021-76D7-4A32-886D-ED303D3F8520}"/>
              </c:ext>
            </c:extLst>
          </c:dPt>
          <c:dPt>
            <c:idx val="17"/>
            <c:invertIfNegative val="0"/>
            <c:bubble3D val="0"/>
            <c:spPr>
              <a:solidFill>
                <a:srgbClr val="7F7F7F"/>
              </a:solidFill>
            </c:spPr>
            <c:extLst>
              <c:ext xmlns:c16="http://schemas.microsoft.com/office/drawing/2014/chart" uri="{C3380CC4-5D6E-409C-BE32-E72D297353CC}">
                <c16:uniqueId val="{00000023-76D7-4A32-886D-ED303D3F8520}"/>
              </c:ext>
            </c:extLst>
          </c:dPt>
          <c:dPt>
            <c:idx val="18"/>
            <c:invertIfNegative val="0"/>
            <c:bubble3D val="0"/>
            <c:spPr>
              <a:solidFill>
                <a:schemeClr val="bg1">
                  <a:lumMod val="50000"/>
                </a:schemeClr>
              </a:solidFill>
              <a:ln>
                <a:solidFill>
                  <a:schemeClr val="bg1">
                    <a:lumMod val="50000"/>
                  </a:schemeClr>
                </a:solidFill>
              </a:ln>
            </c:spPr>
            <c:extLst>
              <c:ext xmlns:c16="http://schemas.microsoft.com/office/drawing/2014/chart" uri="{C3380CC4-5D6E-409C-BE32-E72D297353CC}">
                <c16:uniqueId val="{00000025-76D7-4A32-886D-ED303D3F8520}"/>
              </c:ext>
            </c:extLst>
          </c:dPt>
          <c:dPt>
            <c:idx val="19"/>
            <c:invertIfNegative val="0"/>
            <c:bubble3D val="0"/>
            <c:spPr>
              <a:solidFill>
                <a:schemeClr val="bg1">
                  <a:lumMod val="50000"/>
                </a:schemeClr>
              </a:solidFill>
              <a:ln>
                <a:solidFill>
                  <a:schemeClr val="bg1">
                    <a:lumMod val="50000"/>
                  </a:schemeClr>
                </a:solidFill>
              </a:ln>
            </c:spPr>
            <c:extLst>
              <c:ext xmlns:c16="http://schemas.microsoft.com/office/drawing/2014/chart" uri="{C3380CC4-5D6E-409C-BE32-E72D297353CC}">
                <c16:uniqueId val="{00000027-76D7-4A32-886D-ED303D3F8520}"/>
              </c:ext>
            </c:extLst>
          </c:dPt>
          <c:dPt>
            <c:idx val="20"/>
            <c:invertIfNegative val="0"/>
            <c:bubble3D val="0"/>
            <c:spPr>
              <a:solidFill>
                <a:schemeClr val="bg1">
                  <a:lumMod val="50000"/>
                </a:schemeClr>
              </a:solidFill>
            </c:spPr>
            <c:extLst>
              <c:ext xmlns:c16="http://schemas.microsoft.com/office/drawing/2014/chart" uri="{C3380CC4-5D6E-409C-BE32-E72D297353CC}">
                <c16:uniqueId val="{00000029-76D7-4A32-886D-ED303D3F8520}"/>
              </c:ext>
            </c:extLst>
          </c:dPt>
          <c:dPt>
            <c:idx val="21"/>
            <c:invertIfNegative val="0"/>
            <c:bubble3D val="0"/>
            <c:spPr>
              <a:solidFill>
                <a:srgbClr val="C0C0C0"/>
              </a:solidFill>
            </c:spPr>
            <c:extLst>
              <c:ext xmlns:c16="http://schemas.microsoft.com/office/drawing/2014/chart" uri="{C3380CC4-5D6E-409C-BE32-E72D297353CC}">
                <c16:uniqueId val="{00000039-76D7-4A32-886D-ED303D3F8520}"/>
              </c:ext>
            </c:extLst>
          </c:dPt>
          <c:dPt>
            <c:idx val="22"/>
            <c:invertIfNegative val="0"/>
            <c:bubble3D val="0"/>
            <c:spPr>
              <a:solidFill>
                <a:srgbClr val="C0C0C0"/>
              </a:solidFill>
            </c:spPr>
            <c:extLst>
              <c:ext xmlns:c16="http://schemas.microsoft.com/office/drawing/2014/chart" uri="{C3380CC4-5D6E-409C-BE32-E72D297353CC}">
                <c16:uniqueId val="{0000003A-76D7-4A32-886D-ED303D3F8520}"/>
              </c:ext>
            </c:extLst>
          </c:dPt>
          <c:dPt>
            <c:idx val="23"/>
            <c:invertIfNegative val="0"/>
            <c:bubble3D val="0"/>
            <c:spPr>
              <a:solidFill>
                <a:srgbClr val="C0C0C0"/>
              </a:solidFill>
            </c:spPr>
            <c:extLst>
              <c:ext xmlns:c16="http://schemas.microsoft.com/office/drawing/2014/chart" uri="{C3380CC4-5D6E-409C-BE32-E72D297353CC}">
                <c16:uniqueId val="{0000003B-76D7-4A32-886D-ED303D3F8520}"/>
              </c:ext>
            </c:extLst>
          </c:dPt>
          <c:dPt>
            <c:idx val="24"/>
            <c:invertIfNegative val="0"/>
            <c:bubble3D val="0"/>
            <c:spPr>
              <a:solidFill>
                <a:srgbClr val="C0C0C0"/>
              </a:solidFill>
            </c:spPr>
            <c:extLst>
              <c:ext xmlns:c16="http://schemas.microsoft.com/office/drawing/2014/chart" uri="{C3380CC4-5D6E-409C-BE32-E72D297353CC}">
                <c16:uniqueId val="{0000003C-76D7-4A32-886D-ED303D3F8520}"/>
              </c:ext>
            </c:extLst>
          </c:dPt>
          <c:cat>
            <c:strRef>
              <c:f>Chart_GII!$B$24:$Z$24</c:f>
              <c:strCache>
                <c:ptCount val="25"/>
                <c:pt idx="0">
                  <c:v>2005-06</c:v>
                </c:pt>
                <c:pt idx="1">
                  <c:v>2006-07</c:v>
                </c:pt>
                <c:pt idx="2">
                  <c:v>2007-08</c:v>
                </c:pt>
                <c:pt idx="3">
                  <c:v>2008-09</c:v>
                </c:pt>
                <c:pt idx="4">
                  <c:v>2009-10</c:v>
                </c:pt>
                <c:pt idx="5">
                  <c:v>2010-11</c:v>
                </c:pt>
                <c:pt idx="6">
                  <c:v>2011-12</c:v>
                </c:pt>
                <c:pt idx="7">
                  <c:v>2012-13</c:v>
                </c:pt>
                <c:pt idx="8">
                  <c:v>2013-14</c:v>
                </c:pt>
                <c:pt idx="9">
                  <c:v>2014-15</c:v>
                </c:pt>
                <c:pt idx="10">
                  <c:v>2015-16</c:v>
                </c:pt>
                <c:pt idx="11">
                  <c:v>2016-17</c:v>
                </c:pt>
                <c:pt idx="12">
                  <c:v>2017-18</c:v>
                </c:pt>
                <c:pt idx="13">
                  <c:v>2018-19</c:v>
                </c:pt>
                <c:pt idx="14">
                  <c:v>2019-20</c:v>
                </c:pt>
                <c:pt idx="15">
                  <c:v>2020-21</c:v>
                </c:pt>
                <c:pt idx="16">
                  <c:v>2021-22</c:v>
                </c:pt>
                <c:pt idx="17">
                  <c:v>2022-23</c:v>
                </c:pt>
                <c:pt idx="18">
                  <c:v>2023-24</c:v>
                </c:pt>
                <c:pt idx="19">
                  <c:v>2024-25</c:v>
                </c:pt>
                <c:pt idx="20">
                  <c:v>2025-26</c:v>
                </c:pt>
                <c:pt idx="21">
                  <c:v>2026-27</c:v>
                </c:pt>
                <c:pt idx="22">
                  <c:v>2027-28</c:v>
                </c:pt>
                <c:pt idx="23">
                  <c:v>2028-29</c:v>
                </c:pt>
                <c:pt idx="24">
                  <c:v>2029-30</c:v>
                </c:pt>
              </c:strCache>
            </c:strRef>
          </c:cat>
          <c:val>
            <c:numRef>
              <c:f>Chart_GII!$B$25:$Z$25</c:f>
              <c:numCache>
                <c:formatCode>0.0</c:formatCode>
                <c:ptCount val="25"/>
                <c:pt idx="0">
                  <c:v>3.1393597257270458</c:v>
                </c:pt>
                <c:pt idx="1">
                  <c:v>4.3639230601932715</c:v>
                </c:pt>
                <c:pt idx="2">
                  <c:v>5.0040973207385795</c:v>
                </c:pt>
                <c:pt idx="3">
                  <c:v>4.4582770290303024</c:v>
                </c:pt>
                <c:pt idx="4">
                  <c:v>5.2894477997627209</c:v>
                </c:pt>
                <c:pt idx="5">
                  <c:v>5.7832234801970701</c:v>
                </c:pt>
                <c:pt idx="6">
                  <c:v>5.3807418055605822</c:v>
                </c:pt>
                <c:pt idx="7">
                  <c:v>5.4236704152322028</c:v>
                </c:pt>
                <c:pt idx="8">
                  <c:v>5.5386532113799998</c:v>
                </c:pt>
                <c:pt idx="9">
                  <c:v>4.6411040051599999</c:v>
                </c:pt>
                <c:pt idx="10">
                  <c:v>4.7290885305999995</c:v>
                </c:pt>
                <c:pt idx="11">
                  <c:v>9.052741844297266</c:v>
                </c:pt>
                <c:pt idx="12">
                  <c:v>12.136354455907746</c:v>
                </c:pt>
                <c:pt idx="13">
                  <c:v>12.65313050372</c:v>
                </c:pt>
                <c:pt idx="14">
                  <c:v>12.04131820722</c:v>
                </c:pt>
                <c:pt idx="15">
                  <c:v>14.96296872107</c:v>
                </c:pt>
                <c:pt idx="16">
                  <c:v>18.725773039630003</c:v>
                </c:pt>
                <c:pt idx="17">
                  <c:v>21.83198348318</c:v>
                </c:pt>
                <c:pt idx="18">
                  <c:v>24.198074033119997</c:v>
                </c:pt>
                <c:pt idx="19">
                  <c:v>23.466228737369999</c:v>
                </c:pt>
                <c:pt idx="20">
                  <c:v>21.38990415652</c:v>
                </c:pt>
                <c:pt idx="21">
                  <c:v>19.40496275716</c:v>
                </c:pt>
                <c:pt idx="22">
                  <c:v>15.905995370549999</c:v>
                </c:pt>
                <c:pt idx="23">
                  <c:v>15.54051263431</c:v>
                </c:pt>
                <c:pt idx="24">
                  <c:v>15.27504006277</c:v>
                </c:pt>
              </c:numCache>
            </c:numRef>
          </c:val>
          <c:extLst>
            <c:ext xmlns:c16="http://schemas.microsoft.com/office/drawing/2014/chart" uri="{C3380CC4-5D6E-409C-BE32-E72D297353CC}">
              <c16:uniqueId val="{0000002A-76D7-4A32-886D-ED303D3F8520}"/>
            </c:ext>
          </c:extLst>
        </c:ser>
        <c:dLbls>
          <c:showLegendKey val="0"/>
          <c:showVal val="0"/>
          <c:showCatName val="0"/>
          <c:showSerName val="0"/>
          <c:showPercent val="0"/>
          <c:showBubbleSize val="0"/>
        </c:dLbls>
        <c:gapWidth val="150"/>
        <c:overlap val="100"/>
        <c:axId val="259823104"/>
        <c:axId val="259824640"/>
      </c:barChart>
      <c:lineChart>
        <c:grouping val="standard"/>
        <c:varyColors val="0"/>
        <c:ser>
          <c:idx val="1"/>
          <c:order val="1"/>
          <c:tx>
            <c:strRef>
              <c:f>Chart_GII!$A$26</c:f>
              <c:strCache>
                <c:ptCount val="1"/>
                <c:pt idx="0">
                  <c:v>Average GII (2005-06 to 2014-15)</c:v>
                </c:pt>
              </c:strCache>
            </c:strRef>
          </c:tx>
          <c:spPr>
            <a:ln>
              <a:solidFill>
                <a:sysClr val="windowText" lastClr="000000"/>
              </a:solidFill>
            </a:ln>
          </c:spPr>
          <c:marker>
            <c:symbol val="none"/>
          </c:marker>
          <c:dLbls>
            <c:dLbl>
              <c:idx val="0"/>
              <c:delete val="1"/>
              <c:extLst>
                <c:ext xmlns:c15="http://schemas.microsoft.com/office/drawing/2012/chart" uri="{CE6537A1-D6FC-4f65-9D91-7224C49458BB}"/>
                <c:ext xmlns:c16="http://schemas.microsoft.com/office/drawing/2014/chart" uri="{C3380CC4-5D6E-409C-BE32-E72D297353CC}">
                  <c16:uniqueId val="{0000002B-76D7-4A32-886D-ED303D3F8520}"/>
                </c:ext>
              </c:extLst>
            </c:dLbl>
            <c:dLbl>
              <c:idx val="1"/>
              <c:delete val="1"/>
              <c:extLst>
                <c:ext xmlns:c15="http://schemas.microsoft.com/office/drawing/2012/chart" uri="{CE6537A1-D6FC-4f65-9D91-7224C49458BB}"/>
                <c:ext xmlns:c16="http://schemas.microsoft.com/office/drawing/2014/chart" uri="{C3380CC4-5D6E-409C-BE32-E72D297353CC}">
                  <c16:uniqueId val="{0000002C-76D7-4A32-886D-ED303D3F8520}"/>
                </c:ext>
              </c:extLst>
            </c:dLbl>
            <c:dLbl>
              <c:idx val="2"/>
              <c:delete val="1"/>
              <c:extLst>
                <c:ext xmlns:c15="http://schemas.microsoft.com/office/drawing/2012/chart" uri="{CE6537A1-D6FC-4f65-9D91-7224C49458BB}"/>
                <c:ext xmlns:c16="http://schemas.microsoft.com/office/drawing/2014/chart" uri="{C3380CC4-5D6E-409C-BE32-E72D297353CC}">
                  <c16:uniqueId val="{0000002D-76D7-4A32-886D-ED303D3F8520}"/>
                </c:ext>
              </c:extLst>
            </c:dLbl>
            <c:dLbl>
              <c:idx val="3"/>
              <c:delete val="1"/>
              <c:extLst>
                <c:ext xmlns:c15="http://schemas.microsoft.com/office/drawing/2012/chart" uri="{CE6537A1-D6FC-4f65-9D91-7224C49458BB}"/>
                <c:ext xmlns:c16="http://schemas.microsoft.com/office/drawing/2014/chart" uri="{C3380CC4-5D6E-409C-BE32-E72D297353CC}">
                  <c16:uniqueId val="{0000002E-76D7-4A32-886D-ED303D3F8520}"/>
                </c:ext>
              </c:extLst>
            </c:dLbl>
            <c:dLbl>
              <c:idx val="4"/>
              <c:delete val="1"/>
              <c:extLst>
                <c:ext xmlns:c15="http://schemas.microsoft.com/office/drawing/2012/chart" uri="{CE6537A1-D6FC-4f65-9D91-7224C49458BB}"/>
                <c:ext xmlns:c16="http://schemas.microsoft.com/office/drawing/2014/chart" uri="{C3380CC4-5D6E-409C-BE32-E72D297353CC}">
                  <c16:uniqueId val="{0000002F-76D7-4A32-886D-ED303D3F8520}"/>
                </c:ext>
              </c:extLst>
            </c:dLbl>
            <c:dLbl>
              <c:idx val="5"/>
              <c:delete val="1"/>
              <c:extLst>
                <c:ext xmlns:c15="http://schemas.microsoft.com/office/drawing/2012/chart" uri="{CE6537A1-D6FC-4f65-9D91-7224C49458BB}"/>
                <c:ext xmlns:c16="http://schemas.microsoft.com/office/drawing/2014/chart" uri="{C3380CC4-5D6E-409C-BE32-E72D297353CC}">
                  <c16:uniqueId val="{00000030-76D7-4A32-886D-ED303D3F8520}"/>
                </c:ext>
              </c:extLst>
            </c:dLbl>
            <c:dLbl>
              <c:idx val="6"/>
              <c:delete val="1"/>
              <c:extLst>
                <c:ext xmlns:c15="http://schemas.microsoft.com/office/drawing/2012/chart" uri="{CE6537A1-D6FC-4f65-9D91-7224C49458BB}"/>
                <c:ext xmlns:c16="http://schemas.microsoft.com/office/drawing/2014/chart" uri="{C3380CC4-5D6E-409C-BE32-E72D297353CC}">
                  <c16:uniqueId val="{00000031-76D7-4A32-886D-ED303D3F8520}"/>
                </c:ext>
              </c:extLst>
            </c:dLbl>
            <c:dLbl>
              <c:idx val="7"/>
              <c:delete val="1"/>
              <c:extLst>
                <c:ext xmlns:c15="http://schemas.microsoft.com/office/drawing/2012/chart" uri="{CE6537A1-D6FC-4f65-9D91-7224C49458BB}"/>
                <c:ext xmlns:c16="http://schemas.microsoft.com/office/drawing/2014/chart" uri="{C3380CC4-5D6E-409C-BE32-E72D297353CC}">
                  <c16:uniqueId val="{00000032-76D7-4A32-886D-ED303D3F8520}"/>
                </c:ext>
              </c:extLst>
            </c:dLbl>
            <c:dLbl>
              <c:idx val="8"/>
              <c:delete val="1"/>
              <c:extLst>
                <c:ext xmlns:c15="http://schemas.microsoft.com/office/drawing/2012/chart" uri="{CE6537A1-D6FC-4f65-9D91-7224C49458BB}"/>
                <c:ext xmlns:c16="http://schemas.microsoft.com/office/drawing/2014/chart" uri="{C3380CC4-5D6E-409C-BE32-E72D297353CC}">
                  <c16:uniqueId val="{00000033-76D7-4A32-886D-ED303D3F8520}"/>
                </c:ext>
              </c:extLst>
            </c:dLbl>
            <c:dLbl>
              <c:idx val="9"/>
              <c:layout>
                <c:manualLayout>
                  <c:x val="-0.30616911711021066"/>
                  <c:y val="-8.94970442764777E-2"/>
                </c:manualLayout>
              </c:layout>
              <c:tx>
                <c:rich>
                  <a:bodyPr/>
                  <a:lstStyle/>
                  <a:p>
                    <a:pPr algn="ctr">
                      <a:defRPr sz="700"/>
                    </a:pPr>
                    <a:r>
                      <a:rPr lang="en-US" sz="700"/>
                      <a:t>Average GII </a:t>
                    </a:r>
                  </a:p>
                  <a:p>
                    <a:pPr algn="ctr">
                      <a:defRPr sz="700"/>
                    </a:pPr>
                    <a:r>
                      <a:rPr lang="en-US" sz="700"/>
                      <a:t>2005-06 to 2014-15 </a:t>
                    </a:r>
                  </a:p>
                  <a:p>
                    <a:pPr algn="ctr">
                      <a:defRPr sz="700"/>
                    </a:pPr>
                    <a:r>
                      <a:rPr lang="en-US" sz="700"/>
                      <a:t>($4.9 billion)</a:t>
                    </a:r>
                  </a:p>
                </c:rich>
              </c:tx>
              <c:numFmt formatCode="#,##0.0" sourceLinked="0"/>
              <c:spPr>
                <a:noFill/>
                <a:ln>
                  <a:noFill/>
                </a:ln>
                <a:effectLst/>
              </c:spPr>
              <c:showLegendKey val="0"/>
              <c:showVal val="1"/>
              <c:showCatName val="0"/>
              <c:showSerName val="0"/>
              <c:showPercent val="0"/>
              <c:showBubbleSize val="0"/>
              <c:extLst>
                <c:ext xmlns:c15="http://schemas.microsoft.com/office/drawing/2012/chart" uri="{CE6537A1-D6FC-4f65-9D91-7224C49458BB}">
                  <c15:layout>
                    <c:manualLayout>
                      <c:w val="0.28651614124434183"/>
                      <c:h val="0.11920927412901933"/>
                    </c:manualLayout>
                  </c15:layout>
                  <c15:showDataLabelsRange val="0"/>
                </c:ext>
                <c:ext xmlns:c16="http://schemas.microsoft.com/office/drawing/2014/chart" uri="{C3380CC4-5D6E-409C-BE32-E72D297353CC}">
                  <c16:uniqueId val="{00000034-76D7-4A32-886D-ED303D3F8520}"/>
                </c:ext>
              </c:extLst>
            </c:dLbl>
            <c:spPr>
              <a:noFill/>
              <a:ln>
                <a:noFill/>
              </a:ln>
              <a:effectLst/>
            </c:spPr>
            <c:txPr>
              <a:bodyPr/>
              <a:lstStyle/>
              <a:p>
                <a:pPr>
                  <a:defRPr sz="7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a:noFill/>
                    </a:ln>
                  </c:spPr>
                </c15:leaderLines>
              </c:ext>
            </c:extLst>
          </c:dLbls>
          <c:cat>
            <c:strRef>
              <c:f>Chart_GII!$B$24:$Z$24</c:f>
              <c:strCache>
                <c:ptCount val="25"/>
                <c:pt idx="0">
                  <c:v>2005-06</c:v>
                </c:pt>
                <c:pt idx="1">
                  <c:v>2006-07</c:v>
                </c:pt>
                <c:pt idx="2">
                  <c:v>2007-08</c:v>
                </c:pt>
                <c:pt idx="3">
                  <c:v>2008-09</c:v>
                </c:pt>
                <c:pt idx="4">
                  <c:v>2009-10</c:v>
                </c:pt>
                <c:pt idx="5">
                  <c:v>2010-11</c:v>
                </c:pt>
                <c:pt idx="6">
                  <c:v>2011-12</c:v>
                </c:pt>
                <c:pt idx="7">
                  <c:v>2012-13</c:v>
                </c:pt>
                <c:pt idx="8">
                  <c:v>2013-14</c:v>
                </c:pt>
                <c:pt idx="9">
                  <c:v>2014-15</c:v>
                </c:pt>
                <c:pt idx="10">
                  <c:v>2015-16</c:v>
                </c:pt>
                <c:pt idx="11">
                  <c:v>2016-17</c:v>
                </c:pt>
                <c:pt idx="12">
                  <c:v>2017-18</c:v>
                </c:pt>
                <c:pt idx="13">
                  <c:v>2018-19</c:v>
                </c:pt>
                <c:pt idx="14">
                  <c:v>2019-20</c:v>
                </c:pt>
                <c:pt idx="15">
                  <c:v>2020-21</c:v>
                </c:pt>
                <c:pt idx="16">
                  <c:v>2021-22</c:v>
                </c:pt>
                <c:pt idx="17">
                  <c:v>2022-23</c:v>
                </c:pt>
                <c:pt idx="18">
                  <c:v>2023-24</c:v>
                </c:pt>
                <c:pt idx="19">
                  <c:v>2024-25</c:v>
                </c:pt>
                <c:pt idx="20">
                  <c:v>2025-26</c:v>
                </c:pt>
                <c:pt idx="21">
                  <c:v>2026-27</c:v>
                </c:pt>
                <c:pt idx="22">
                  <c:v>2027-28</c:v>
                </c:pt>
                <c:pt idx="23">
                  <c:v>2028-29</c:v>
                </c:pt>
                <c:pt idx="24">
                  <c:v>2029-30</c:v>
                </c:pt>
              </c:strCache>
            </c:strRef>
          </c:cat>
          <c:val>
            <c:numRef>
              <c:f>Chart_GII!$B$26:$Y$26</c:f>
              <c:numCache>
                <c:formatCode>#,##0.0</c:formatCode>
                <c:ptCount val="24"/>
                <c:pt idx="0">
                  <c:v>4.902249785298177</c:v>
                </c:pt>
                <c:pt idx="1">
                  <c:v>4.902249785298177</c:v>
                </c:pt>
                <c:pt idx="2">
                  <c:v>4.902249785298177</c:v>
                </c:pt>
                <c:pt idx="3">
                  <c:v>4.902249785298177</c:v>
                </c:pt>
                <c:pt idx="4">
                  <c:v>4.902249785298177</c:v>
                </c:pt>
                <c:pt idx="5">
                  <c:v>4.902249785298177</c:v>
                </c:pt>
                <c:pt idx="6">
                  <c:v>4.902249785298177</c:v>
                </c:pt>
                <c:pt idx="7">
                  <c:v>4.902249785298177</c:v>
                </c:pt>
                <c:pt idx="8">
                  <c:v>4.902249785298177</c:v>
                </c:pt>
                <c:pt idx="9">
                  <c:v>4.902249785298177</c:v>
                </c:pt>
              </c:numCache>
            </c:numRef>
          </c:val>
          <c:smooth val="0"/>
          <c:extLst>
            <c:ext xmlns:c16="http://schemas.microsoft.com/office/drawing/2014/chart" uri="{C3380CC4-5D6E-409C-BE32-E72D297353CC}">
              <c16:uniqueId val="{00000035-76D7-4A32-886D-ED303D3F8520}"/>
            </c:ext>
          </c:extLst>
        </c:ser>
        <c:ser>
          <c:idx val="2"/>
          <c:order val="2"/>
          <c:tx>
            <c:strRef>
              <c:f>Chart_GII!$A$27</c:f>
              <c:strCache>
                <c:ptCount val="1"/>
                <c:pt idx="0">
                  <c:v>Average GII (2015-16 to 2029-30)</c:v>
                </c:pt>
              </c:strCache>
            </c:strRef>
          </c:tx>
          <c:spPr>
            <a:ln>
              <a:solidFill>
                <a:sysClr val="windowText" lastClr="000000"/>
              </a:solidFill>
            </a:ln>
          </c:spPr>
          <c:marker>
            <c:symbol val="none"/>
          </c:marker>
          <c:dLbls>
            <c:dLbl>
              <c:idx val="16"/>
              <c:layout>
                <c:manualLayout>
                  <c:x val="-0.26286223689034072"/>
                  <c:y val="-6.3675876069700862E-2"/>
                </c:manualLayout>
              </c:layout>
              <c:tx>
                <c:rich>
                  <a:bodyPr/>
                  <a:lstStyle/>
                  <a:p>
                    <a:pPr>
                      <a:defRPr sz="700"/>
                    </a:pPr>
                    <a:r>
                      <a:rPr lang="en-US" sz="700"/>
                      <a:t>Average GII </a:t>
                    </a:r>
                  </a:p>
                  <a:p>
                    <a:pPr>
                      <a:defRPr sz="700"/>
                    </a:pPr>
                    <a:r>
                      <a:rPr lang="en-US" sz="700"/>
                      <a:t>2015-16 to 2029-30 </a:t>
                    </a:r>
                    <a:br>
                      <a:rPr lang="en-US" sz="700"/>
                    </a:br>
                    <a:r>
                      <a:rPr lang="en-US" sz="700"/>
                      <a:t>($16.1 billion)</a:t>
                    </a:r>
                  </a:p>
                </c:rich>
              </c:tx>
              <c:numFmt formatCode="#,##0.0" sourceLinked="0"/>
              <c:spPr>
                <a:noFill/>
                <a:ln>
                  <a:noFill/>
                </a:ln>
                <a:effectLst/>
              </c:spPr>
              <c:showLegendKey val="0"/>
              <c:showVal val="1"/>
              <c:showCatName val="0"/>
              <c:showSerName val="0"/>
              <c:showPercent val="0"/>
              <c:showBubbleSize val="0"/>
              <c:extLst>
                <c:ext xmlns:c15="http://schemas.microsoft.com/office/drawing/2012/chart" uri="{CE6537A1-D6FC-4f65-9D91-7224C49458BB}">
                  <c15:layout>
                    <c:manualLayout>
                      <c:w val="0.30508293193995284"/>
                      <c:h val="0.1341069041112441"/>
                    </c:manualLayout>
                  </c15:layout>
                  <c15:showDataLabelsRange val="0"/>
                </c:ext>
                <c:ext xmlns:c16="http://schemas.microsoft.com/office/drawing/2014/chart" uri="{C3380CC4-5D6E-409C-BE32-E72D297353CC}">
                  <c16:uniqueId val="{00000036-76D7-4A32-886D-ED303D3F8520}"/>
                </c:ext>
              </c:extLst>
            </c:dLbl>
            <c:spPr>
              <a:noFill/>
              <a:ln>
                <a:noFill/>
              </a:ln>
              <a:effectLst/>
            </c:spPr>
            <c:txPr>
              <a:bodyPr/>
              <a:lstStyle/>
              <a:p>
                <a:pPr>
                  <a:defRPr sz="700"/>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a:noFill/>
                    </a:ln>
                  </c:spPr>
                </c15:leaderLines>
              </c:ext>
            </c:extLst>
          </c:dLbls>
          <c:cat>
            <c:strRef>
              <c:f>Chart_GII!$B$24:$Z$24</c:f>
              <c:strCache>
                <c:ptCount val="25"/>
                <c:pt idx="0">
                  <c:v>2005-06</c:v>
                </c:pt>
                <c:pt idx="1">
                  <c:v>2006-07</c:v>
                </c:pt>
                <c:pt idx="2">
                  <c:v>2007-08</c:v>
                </c:pt>
                <c:pt idx="3">
                  <c:v>2008-09</c:v>
                </c:pt>
                <c:pt idx="4">
                  <c:v>2009-10</c:v>
                </c:pt>
                <c:pt idx="5">
                  <c:v>2010-11</c:v>
                </c:pt>
                <c:pt idx="6">
                  <c:v>2011-12</c:v>
                </c:pt>
                <c:pt idx="7">
                  <c:v>2012-13</c:v>
                </c:pt>
                <c:pt idx="8">
                  <c:v>2013-14</c:v>
                </c:pt>
                <c:pt idx="9">
                  <c:v>2014-15</c:v>
                </c:pt>
                <c:pt idx="10">
                  <c:v>2015-16</c:v>
                </c:pt>
                <c:pt idx="11">
                  <c:v>2016-17</c:v>
                </c:pt>
                <c:pt idx="12">
                  <c:v>2017-18</c:v>
                </c:pt>
                <c:pt idx="13">
                  <c:v>2018-19</c:v>
                </c:pt>
                <c:pt idx="14">
                  <c:v>2019-20</c:v>
                </c:pt>
                <c:pt idx="15">
                  <c:v>2020-21</c:v>
                </c:pt>
                <c:pt idx="16">
                  <c:v>2021-22</c:v>
                </c:pt>
                <c:pt idx="17">
                  <c:v>2022-23</c:v>
                </c:pt>
                <c:pt idx="18">
                  <c:v>2023-24</c:v>
                </c:pt>
                <c:pt idx="19">
                  <c:v>2024-25</c:v>
                </c:pt>
                <c:pt idx="20">
                  <c:v>2025-26</c:v>
                </c:pt>
                <c:pt idx="21">
                  <c:v>2026-27</c:v>
                </c:pt>
                <c:pt idx="22">
                  <c:v>2027-28</c:v>
                </c:pt>
                <c:pt idx="23">
                  <c:v>2028-29</c:v>
                </c:pt>
                <c:pt idx="24">
                  <c:v>2029-30</c:v>
                </c:pt>
              </c:strCache>
            </c:strRef>
          </c:cat>
          <c:val>
            <c:numRef>
              <c:f>Chart_GII!$B$27:$Z$27</c:f>
              <c:numCache>
                <c:formatCode>General</c:formatCode>
                <c:ptCount val="25"/>
                <c:pt idx="10" formatCode="#,##0.0">
                  <c:v>16.087605102495001</c:v>
                </c:pt>
                <c:pt idx="11" formatCode="#,##0.0">
                  <c:v>16.087605102495001</c:v>
                </c:pt>
                <c:pt idx="12" formatCode="#,##0.0">
                  <c:v>16.087605102495001</c:v>
                </c:pt>
                <c:pt idx="13" formatCode="#,##0.0">
                  <c:v>16.087605102495001</c:v>
                </c:pt>
                <c:pt idx="14" formatCode="#,##0.0">
                  <c:v>16.087605102495001</c:v>
                </c:pt>
                <c:pt idx="15" formatCode="#,##0.0">
                  <c:v>16.087605102495001</c:v>
                </c:pt>
                <c:pt idx="16" formatCode="#,##0.0">
                  <c:v>16.087605102495001</c:v>
                </c:pt>
                <c:pt idx="17" formatCode="#,##0.0">
                  <c:v>16.087605102495001</c:v>
                </c:pt>
                <c:pt idx="18" formatCode="#,##0.0">
                  <c:v>16.087605102495001</c:v>
                </c:pt>
                <c:pt idx="19" formatCode="#,##0.0">
                  <c:v>16.087605102495001</c:v>
                </c:pt>
                <c:pt idx="20" formatCode="#,##0.0">
                  <c:v>16.087605102495001</c:v>
                </c:pt>
                <c:pt idx="21" formatCode="#,##0.0">
                  <c:v>16.087605102495001</c:v>
                </c:pt>
                <c:pt idx="22" formatCode="#,##0.0">
                  <c:v>16.087605102495001</c:v>
                </c:pt>
                <c:pt idx="23" formatCode="#,##0.0">
                  <c:v>16.087605102495001</c:v>
                </c:pt>
                <c:pt idx="24" formatCode="#,##0.0">
                  <c:v>16.087605102495001</c:v>
                </c:pt>
              </c:numCache>
            </c:numRef>
          </c:val>
          <c:smooth val="0"/>
          <c:extLst>
            <c:ext xmlns:c16="http://schemas.microsoft.com/office/drawing/2014/chart" uri="{C3380CC4-5D6E-409C-BE32-E72D297353CC}">
              <c16:uniqueId val="{00000037-76D7-4A32-886D-ED303D3F8520}"/>
            </c:ext>
          </c:extLst>
        </c:ser>
        <c:ser>
          <c:idx val="3"/>
          <c:order val="3"/>
          <c:tx>
            <c:strRef>
              <c:f>Chart_GII!$A$28</c:f>
              <c:strCache>
                <c:ptCount val="1"/>
                <c:pt idx="0">
                  <c:v>Average GII (2026-27 to 2029-30)</c:v>
                </c:pt>
              </c:strCache>
            </c:strRef>
          </c:tx>
          <c:spPr>
            <a:ln>
              <a:solidFill>
                <a:sysClr val="windowText" lastClr="000000"/>
              </a:solidFill>
            </a:ln>
          </c:spPr>
          <c:marker>
            <c:symbol val="none"/>
          </c:marker>
          <c:cat>
            <c:strRef>
              <c:f>Chart_GII!$B$24:$Z$24</c:f>
              <c:strCache>
                <c:ptCount val="25"/>
                <c:pt idx="0">
                  <c:v>2005-06</c:v>
                </c:pt>
                <c:pt idx="1">
                  <c:v>2006-07</c:v>
                </c:pt>
                <c:pt idx="2">
                  <c:v>2007-08</c:v>
                </c:pt>
                <c:pt idx="3">
                  <c:v>2008-09</c:v>
                </c:pt>
                <c:pt idx="4">
                  <c:v>2009-10</c:v>
                </c:pt>
                <c:pt idx="5">
                  <c:v>2010-11</c:v>
                </c:pt>
                <c:pt idx="6">
                  <c:v>2011-12</c:v>
                </c:pt>
                <c:pt idx="7">
                  <c:v>2012-13</c:v>
                </c:pt>
                <c:pt idx="8">
                  <c:v>2013-14</c:v>
                </c:pt>
                <c:pt idx="9">
                  <c:v>2014-15</c:v>
                </c:pt>
                <c:pt idx="10">
                  <c:v>2015-16</c:v>
                </c:pt>
                <c:pt idx="11">
                  <c:v>2016-17</c:v>
                </c:pt>
                <c:pt idx="12">
                  <c:v>2017-18</c:v>
                </c:pt>
                <c:pt idx="13">
                  <c:v>2018-19</c:v>
                </c:pt>
                <c:pt idx="14">
                  <c:v>2019-20</c:v>
                </c:pt>
                <c:pt idx="15">
                  <c:v>2020-21</c:v>
                </c:pt>
                <c:pt idx="16">
                  <c:v>2021-22</c:v>
                </c:pt>
                <c:pt idx="17">
                  <c:v>2022-23</c:v>
                </c:pt>
                <c:pt idx="18">
                  <c:v>2023-24</c:v>
                </c:pt>
                <c:pt idx="19">
                  <c:v>2024-25</c:v>
                </c:pt>
                <c:pt idx="20">
                  <c:v>2025-26</c:v>
                </c:pt>
                <c:pt idx="21">
                  <c:v>2026-27</c:v>
                </c:pt>
                <c:pt idx="22">
                  <c:v>2027-28</c:v>
                </c:pt>
                <c:pt idx="23">
                  <c:v>2028-29</c:v>
                </c:pt>
                <c:pt idx="24">
                  <c:v>2029-30</c:v>
                </c:pt>
              </c:strCache>
            </c:strRef>
          </c:cat>
          <c:val>
            <c:numRef>
              <c:f>Chart_GII!$B$28:$Z$28</c:f>
              <c:numCache>
                <c:formatCode>General</c:formatCode>
                <c:ptCount val="25"/>
                <c:pt idx="21" formatCode="#,##0.0">
                  <c:v>16.531627706197497</c:v>
                </c:pt>
                <c:pt idx="22" formatCode="#,##0.0">
                  <c:v>16.531627706197497</c:v>
                </c:pt>
                <c:pt idx="23" formatCode="#,##0.0">
                  <c:v>16.531627706197497</c:v>
                </c:pt>
                <c:pt idx="24" formatCode="#,##0.0">
                  <c:v>16.531627706197497</c:v>
                </c:pt>
              </c:numCache>
            </c:numRef>
          </c:val>
          <c:smooth val="0"/>
          <c:extLst>
            <c:ext xmlns:c16="http://schemas.microsoft.com/office/drawing/2014/chart" uri="{C3380CC4-5D6E-409C-BE32-E72D297353CC}">
              <c16:uniqueId val="{00000038-76D7-4A32-886D-ED303D3F8520}"/>
            </c:ext>
          </c:extLst>
        </c:ser>
        <c:dLbls>
          <c:showLegendKey val="0"/>
          <c:showVal val="0"/>
          <c:showCatName val="0"/>
          <c:showSerName val="0"/>
          <c:showPercent val="0"/>
          <c:showBubbleSize val="0"/>
        </c:dLbls>
        <c:marker val="1"/>
        <c:smooth val="0"/>
        <c:axId val="259823104"/>
        <c:axId val="259824640"/>
      </c:lineChart>
      <c:catAx>
        <c:axId val="259823104"/>
        <c:scaling>
          <c:orientation val="minMax"/>
        </c:scaling>
        <c:delete val="0"/>
        <c:axPos val="b"/>
        <c:numFmt formatCode="General" sourceLinked="1"/>
        <c:majorTickMark val="out"/>
        <c:minorTickMark val="none"/>
        <c:tickLblPos val="nextTo"/>
        <c:spPr>
          <a:ln>
            <a:solidFill>
              <a:schemeClr val="tx1"/>
            </a:solidFill>
          </a:ln>
        </c:spPr>
        <c:txPr>
          <a:bodyPr rot="-5400000" vert="horz" anchor="ctr" anchorCtr="1"/>
          <a:lstStyle/>
          <a:p>
            <a:pPr>
              <a:defRPr sz="800"/>
            </a:pPr>
            <a:endParaRPr lang="en-US"/>
          </a:p>
        </c:txPr>
        <c:crossAx val="259824640"/>
        <c:crosses val="autoZero"/>
        <c:auto val="1"/>
        <c:lblAlgn val="ctr"/>
        <c:lblOffset val="100"/>
        <c:noMultiLvlLbl val="0"/>
      </c:catAx>
      <c:valAx>
        <c:axId val="259824640"/>
        <c:scaling>
          <c:orientation val="minMax"/>
          <c:max val="25"/>
        </c:scaling>
        <c:delete val="0"/>
        <c:axPos val="l"/>
        <c:majorGridlines>
          <c:spPr>
            <a:ln>
              <a:solidFill>
                <a:schemeClr val="bg1">
                  <a:lumMod val="65000"/>
                </a:schemeClr>
              </a:solidFill>
              <a:prstDash val="dash"/>
            </a:ln>
          </c:spPr>
        </c:majorGridlines>
        <c:title>
          <c:tx>
            <c:rich>
              <a:bodyPr rot="-5400000" vert="horz"/>
              <a:lstStyle/>
              <a:p>
                <a:pPr>
                  <a:defRPr sz="900" b="0" i="1"/>
                </a:pPr>
                <a:r>
                  <a:rPr lang="en-US" sz="900" b="0" i="1"/>
                  <a:t>$ billion</a:t>
                </a:r>
              </a:p>
            </c:rich>
          </c:tx>
          <c:layout>
            <c:manualLayout>
              <c:xMode val="edge"/>
              <c:yMode val="edge"/>
              <c:x val="6.8522946274815152E-4"/>
              <c:y val="0.38837088896917349"/>
            </c:manualLayout>
          </c:layout>
          <c:overlay val="0"/>
        </c:title>
        <c:numFmt formatCode="0" sourceLinked="0"/>
        <c:majorTickMark val="out"/>
        <c:minorTickMark val="none"/>
        <c:tickLblPos val="nextTo"/>
        <c:spPr>
          <a:ln>
            <a:solidFill>
              <a:schemeClr val="tx1"/>
            </a:solidFill>
          </a:ln>
        </c:spPr>
        <c:txPr>
          <a:bodyPr/>
          <a:lstStyle/>
          <a:p>
            <a:pPr>
              <a:defRPr sz="900"/>
            </a:pPr>
            <a:endParaRPr lang="en-US"/>
          </a:p>
        </c:txPr>
        <c:crossAx val="259823104"/>
        <c:crosses val="autoZero"/>
        <c:crossBetween val="between"/>
      </c:valAx>
    </c:plotArea>
    <c:plotVisOnly val="1"/>
    <c:dispBlanksAs val="gap"/>
    <c:showDLblsOverMax val="0"/>
  </c:chart>
  <c:spPr>
    <a:ln>
      <a:noFill/>
    </a:ln>
  </c:spPr>
  <c:txPr>
    <a:bodyPr/>
    <a:lstStyle/>
    <a:p>
      <a:pPr>
        <a:defRPr>
          <a:latin typeface="Calibri" panose="020F0502020204030204" pitchFamily="34" charset="0"/>
          <a:cs typeface="Calibri" panose="020F0502020204030204" pitchFamily="34" charset="0"/>
        </a:defRPr>
      </a:pPr>
      <a:endParaRPr lang="en-US"/>
    </a:p>
  </c:txPr>
  <c:externalData r:id="rId1">
    <c:autoUpdate val="0"/>
  </c:externalData>
  <c:userShapes r:id="rId2"/>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83075498227053"/>
          <c:y val="3.9793402777777778E-2"/>
          <c:w val="0.80441427937561527"/>
          <c:h val="0.70242048611111108"/>
        </c:manualLayout>
      </c:layout>
      <c:barChart>
        <c:barDir val="col"/>
        <c:grouping val="stacked"/>
        <c:varyColors val="0"/>
        <c:ser>
          <c:idx val="0"/>
          <c:order val="0"/>
          <c:tx>
            <c:strRef>
              <c:f>Chart_NetDebtToGSP!$K$31</c:f>
              <c:strCache>
                <c:ptCount val="1"/>
                <c:pt idx="0">
                  <c:v>General government sector net debt (LHS)</c:v>
                </c:pt>
              </c:strCache>
            </c:strRef>
          </c:tx>
          <c:spPr>
            <a:solidFill>
              <a:schemeClr val="bg1">
                <a:lumMod val="50000"/>
              </a:schemeClr>
            </a:solidFill>
            <a:ln>
              <a:noFill/>
            </a:ln>
            <a:effectLst/>
          </c:spPr>
          <c:invertIfNegative val="0"/>
          <c:dPt>
            <c:idx val="9"/>
            <c:invertIfNegative val="0"/>
            <c:bubble3D val="0"/>
            <c:spPr>
              <a:solidFill>
                <a:schemeClr val="bg1">
                  <a:lumMod val="50000"/>
                </a:schemeClr>
              </a:solidFill>
              <a:ln>
                <a:noFill/>
              </a:ln>
              <a:effectLst/>
            </c:spPr>
            <c:extLst>
              <c:ext xmlns:c16="http://schemas.microsoft.com/office/drawing/2014/chart" uri="{C3380CC4-5D6E-409C-BE32-E72D297353CC}">
                <c16:uniqueId val="{00000001-6A76-44DA-AE72-34C9C6EA90A3}"/>
              </c:ext>
            </c:extLst>
          </c:dPt>
          <c:dPt>
            <c:idx val="10"/>
            <c:invertIfNegative val="0"/>
            <c:bubble3D val="0"/>
            <c:spPr>
              <a:solidFill>
                <a:schemeClr val="bg1">
                  <a:lumMod val="50000"/>
                </a:schemeClr>
              </a:solidFill>
              <a:ln>
                <a:noFill/>
              </a:ln>
              <a:effectLst/>
            </c:spPr>
            <c:extLst>
              <c:ext xmlns:c16="http://schemas.microsoft.com/office/drawing/2014/chart" uri="{C3380CC4-5D6E-409C-BE32-E72D297353CC}">
                <c16:uniqueId val="{00000003-6A76-44DA-AE72-34C9C6EA90A3}"/>
              </c:ext>
            </c:extLst>
          </c:dPt>
          <c:dPt>
            <c:idx val="11"/>
            <c:invertIfNegative val="0"/>
            <c:bubble3D val="0"/>
            <c:spPr>
              <a:solidFill>
                <a:schemeClr val="bg1">
                  <a:lumMod val="50000"/>
                </a:schemeClr>
              </a:solidFill>
              <a:ln>
                <a:noFill/>
              </a:ln>
              <a:effectLst/>
            </c:spPr>
            <c:extLst>
              <c:ext xmlns:c16="http://schemas.microsoft.com/office/drawing/2014/chart" uri="{C3380CC4-5D6E-409C-BE32-E72D297353CC}">
                <c16:uniqueId val="{00000005-6A76-44DA-AE72-34C9C6EA90A3}"/>
              </c:ext>
            </c:extLst>
          </c:dPt>
          <c:dPt>
            <c:idx val="12"/>
            <c:invertIfNegative val="0"/>
            <c:bubble3D val="0"/>
            <c:spPr>
              <a:solidFill>
                <a:schemeClr val="bg1">
                  <a:lumMod val="50000"/>
                </a:schemeClr>
              </a:solidFill>
              <a:ln>
                <a:solidFill>
                  <a:schemeClr val="bg1">
                    <a:lumMod val="50000"/>
                  </a:schemeClr>
                </a:solidFill>
              </a:ln>
              <a:effectLst/>
            </c:spPr>
            <c:extLst>
              <c:ext xmlns:c16="http://schemas.microsoft.com/office/drawing/2014/chart" uri="{C3380CC4-5D6E-409C-BE32-E72D297353CC}">
                <c16:uniqueId val="{00000007-6A76-44DA-AE72-34C9C6EA90A3}"/>
              </c:ext>
            </c:extLst>
          </c:dPt>
          <c:dPt>
            <c:idx val="13"/>
            <c:invertIfNegative val="0"/>
            <c:bubble3D val="0"/>
            <c:spPr>
              <a:solidFill>
                <a:schemeClr val="bg1">
                  <a:lumMod val="50000"/>
                </a:schemeClr>
              </a:solidFill>
              <a:ln>
                <a:solidFill>
                  <a:schemeClr val="bg1">
                    <a:lumMod val="50000"/>
                  </a:schemeClr>
                </a:solidFill>
              </a:ln>
              <a:effectLst/>
            </c:spPr>
            <c:extLst>
              <c:ext xmlns:c16="http://schemas.microsoft.com/office/drawing/2014/chart" uri="{C3380CC4-5D6E-409C-BE32-E72D297353CC}">
                <c16:uniqueId val="{00000009-6A76-44DA-AE72-34C9C6EA90A3}"/>
              </c:ext>
            </c:extLst>
          </c:dPt>
          <c:dPt>
            <c:idx val="14"/>
            <c:invertIfNegative val="0"/>
            <c:bubble3D val="0"/>
            <c:spPr>
              <a:solidFill>
                <a:schemeClr val="bg1">
                  <a:lumMod val="50000"/>
                </a:schemeClr>
              </a:solidFill>
              <a:ln>
                <a:solidFill>
                  <a:schemeClr val="bg1">
                    <a:lumMod val="50000"/>
                  </a:schemeClr>
                </a:solidFill>
              </a:ln>
              <a:effectLst/>
            </c:spPr>
            <c:extLst>
              <c:ext xmlns:c16="http://schemas.microsoft.com/office/drawing/2014/chart" uri="{C3380CC4-5D6E-409C-BE32-E72D297353CC}">
                <c16:uniqueId val="{0000000B-6A76-44DA-AE72-34C9C6EA90A3}"/>
              </c:ext>
            </c:extLst>
          </c:dPt>
          <c:dPt>
            <c:idx val="15"/>
            <c:invertIfNegative val="0"/>
            <c:bubble3D val="0"/>
            <c:spPr>
              <a:solidFill>
                <a:schemeClr val="bg1">
                  <a:lumMod val="50000"/>
                </a:schemeClr>
              </a:solidFill>
              <a:ln>
                <a:noFill/>
              </a:ln>
              <a:effectLst/>
            </c:spPr>
            <c:extLst>
              <c:ext xmlns:c16="http://schemas.microsoft.com/office/drawing/2014/chart" uri="{C3380CC4-5D6E-409C-BE32-E72D297353CC}">
                <c16:uniqueId val="{0000000D-6A76-44DA-AE72-34C9C6EA90A3}"/>
              </c:ext>
            </c:extLst>
          </c:dPt>
          <c:dPt>
            <c:idx val="16"/>
            <c:invertIfNegative val="0"/>
            <c:bubble3D val="0"/>
            <c:spPr>
              <a:solidFill>
                <a:srgbClr val="C0C0C0"/>
              </a:solidFill>
              <a:ln>
                <a:noFill/>
              </a:ln>
              <a:effectLst/>
            </c:spPr>
            <c:extLst>
              <c:ext xmlns:c16="http://schemas.microsoft.com/office/drawing/2014/chart" uri="{C3380CC4-5D6E-409C-BE32-E72D297353CC}">
                <c16:uniqueId val="{0000000F-6A76-44DA-AE72-34C9C6EA90A3}"/>
              </c:ext>
            </c:extLst>
          </c:dPt>
          <c:dPt>
            <c:idx val="17"/>
            <c:invertIfNegative val="0"/>
            <c:bubble3D val="0"/>
            <c:spPr>
              <a:solidFill>
                <a:srgbClr val="C0C0C0"/>
              </a:solidFill>
              <a:ln>
                <a:noFill/>
              </a:ln>
              <a:effectLst/>
            </c:spPr>
            <c:extLst>
              <c:ext xmlns:c16="http://schemas.microsoft.com/office/drawing/2014/chart" uri="{C3380CC4-5D6E-409C-BE32-E72D297353CC}">
                <c16:uniqueId val="{00000011-6A76-44DA-AE72-34C9C6EA90A3}"/>
              </c:ext>
            </c:extLst>
          </c:dPt>
          <c:dPt>
            <c:idx val="18"/>
            <c:invertIfNegative val="0"/>
            <c:bubble3D val="0"/>
            <c:spPr>
              <a:solidFill>
                <a:srgbClr val="C0C0C0"/>
              </a:solidFill>
              <a:ln>
                <a:noFill/>
              </a:ln>
              <a:effectLst/>
            </c:spPr>
            <c:extLst>
              <c:ext xmlns:c16="http://schemas.microsoft.com/office/drawing/2014/chart" uri="{C3380CC4-5D6E-409C-BE32-E72D297353CC}">
                <c16:uniqueId val="{00000013-6A76-44DA-AE72-34C9C6EA90A3}"/>
              </c:ext>
            </c:extLst>
          </c:dPt>
          <c:dPt>
            <c:idx val="19"/>
            <c:invertIfNegative val="0"/>
            <c:bubble3D val="0"/>
            <c:spPr>
              <a:solidFill>
                <a:srgbClr val="C0C0C0"/>
              </a:solidFill>
              <a:ln>
                <a:noFill/>
              </a:ln>
              <a:effectLst/>
            </c:spPr>
            <c:extLst>
              <c:ext xmlns:c16="http://schemas.microsoft.com/office/drawing/2014/chart" uri="{C3380CC4-5D6E-409C-BE32-E72D297353CC}">
                <c16:uniqueId val="{00000015-6A76-44DA-AE72-34C9C6EA90A3}"/>
              </c:ext>
            </c:extLst>
          </c:dPt>
          <c:cat>
            <c:strRef>
              <c:f>Chart_NetDebtToGSP!$AG$26:$AZ$26</c:f>
              <c:strCache>
                <c:ptCount val="20"/>
                <c:pt idx="0">
                  <c:v>2010-11</c:v>
                </c:pt>
                <c:pt idx="1">
                  <c:v>2011-12</c:v>
                </c:pt>
                <c:pt idx="2">
                  <c:v>2012-13</c:v>
                </c:pt>
                <c:pt idx="3">
                  <c:v>2013-14</c:v>
                </c:pt>
                <c:pt idx="4">
                  <c:v>2014-15</c:v>
                </c:pt>
                <c:pt idx="5">
                  <c:v>2015-16</c:v>
                </c:pt>
                <c:pt idx="6">
                  <c:v>2016-17</c:v>
                </c:pt>
                <c:pt idx="7">
                  <c:v>2017-18</c:v>
                </c:pt>
                <c:pt idx="8">
                  <c:v>2018-19</c:v>
                </c:pt>
                <c:pt idx="9">
                  <c:v>2019-20</c:v>
                </c:pt>
                <c:pt idx="10">
                  <c:v>2020-21</c:v>
                </c:pt>
                <c:pt idx="11">
                  <c:v>2021-22</c:v>
                </c:pt>
                <c:pt idx="12">
                  <c:v>2022-23</c:v>
                </c:pt>
                <c:pt idx="13">
                  <c:v>2023-24</c:v>
                </c:pt>
                <c:pt idx="14">
                  <c:v>2024-25</c:v>
                </c:pt>
                <c:pt idx="15">
                  <c:v>2025-26</c:v>
                </c:pt>
                <c:pt idx="16">
                  <c:v>2026-27</c:v>
                </c:pt>
                <c:pt idx="17">
                  <c:v>2027-28</c:v>
                </c:pt>
                <c:pt idx="18">
                  <c:v>2028-29</c:v>
                </c:pt>
                <c:pt idx="19">
                  <c:v>2029-30</c:v>
                </c:pt>
              </c:strCache>
            </c:strRef>
          </c:cat>
          <c:val>
            <c:numRef>
              <c:f>Chart_NetDebtToGSP!$AG$31:$AZ$31</c:f>
              <c:numCache>
                <c:formatCode>0.0</c:formatCode>
                <c:ptCount val="20"/>
                <c:pt idx="0">
                  <c:v>11.836799999999998</c:v>
                </c:pt>
                <c:pt idx="1">
                  <c:v>15.2369</c:v>
                </c:pt>
                <c:pt idx="2">
                  <c:v>19.822093563689908</c:v>
                </c:pt>
                <c:pt idx="3">
                  <c:v>21.174640962519998</c:v>
                </c:pt>
                <c:pt idx="4">
                  <c:v>22.327407946640001</c:v>
                </c:pt>
                <c:pt idx="5">
                  <c:v>22.308648581659998</c:v>
                </c:pt>
                <c:pt idx="6">
                  <c:v>15.762336128040001</c:v>
                </c:pt>
                <c:pt idx="7">
                  <c:v>21.632282750629997</c:v>
                </c:pt>
                <c:pt idx="8">
                  <c:v>25.49172759611</c:v>
                </c:pt>
                <c:pt idx="9">
                  <c:v>44.3117138665</c:v>
                </c:pt>
                <c:pt idx="10">
                  <c:v>72.734365754500004</c:v>
                </c:pt>
                <c:pt idx="11">
                  <c:v>99.978043263399996</c:v>
                </c:pt>
                <c:pt idx="12">
                  <c:v>115.04413180182</c:v>
                </c:pt>
                <c:pt idx="13">
                  <c:v>133.24124258849997</c:v>
                </c:pt>
                <c:pt idx="14">
                  <c:v>150.86685313627001</c:v>
                </c:pt>
                <c:pt idx="15">
                  <c:v>165.34486670526999</c:v>
                </c:pt>
                <c:pt idx="16">
                  <c:v>175.55961567138999</c:v>
                </c:pt>
                <c:pt idx="17">
                  <c:v>183.16977825660999</c:v>
                </c:pt>
                <c:pt idx="18">
                  <c:v>191.12559086888001</c:v>
                </c:pt>
                <c:pt idx="19">
                  <c:v>199.30572022909999</c:v>
                </c:pt>
              </c:numCache>
            </c:numRef>
          </c:val>
          <c:extLst>
            <c:ext xmlns:c16="http://schemas.microsoft.com/office/drawing/2014/chart" uri="{C3380CC4-5D6E-409C-BE32-E72D297353CC}">
              <c16:uniqueId val="{00000016-6A76-44DA-AE72-34C9C6EA90A3}"/>
            </c:ext>
          </c:extLst>
        </c:ser>
        <c:dLbls>
          <c:showLegendKey val="0"/>
          <c:showVal val="0"/>
          <c:showCatName val="0"/>
          <c:showSerName val="0"/>
          <c:showPercent val="0"/>
          <c:showBubbleSize val="0"/>
        </c:dLbls>
        <c:gapWidth val="150"/>
        <c:overlap val="100"/>
        <c:axId val="680510152"/>
        <c:axId val="680510480"/>
      </c:barChart>
      <c:lineChart>
        <c:grouping val="standard"/>
        <c:varyColors val="0"/>
        <c:ser>
          <c:idx val="1"/>
          <c:order val="1"/>
          <c:tx>
            <c:strRef>
              <c:f>Chart_NetDebtToGSP!$K$28</c:f>
              <c:strCache>
                <c:ptCount val="1"/>
                <c:pt idx="0">
                  <c:v>General government sector net debt to GSP (RHS)</c:v>
                </c:pt>
              </c:strCache>
            </c:strRef>
          </c:tx>
          <c:spPr>
            <a:ln w="19050" cap="rnd">
              <a:solidFill>
                <a:sysClr val="windowText" lastClr="000000"/>
              </a:solidFill>
              <a:prstDash val="solid"/>
              <a:round/>
            </a:ln>
            <a:effectLst/>
          </c:spPr>
          <c:marker>
            <c:symbol val="none"/>
          </c:marker>
          <c:dPt>
            <c:idx val="9"/>
            <c:marker>
              <c:symbol val="none"/>
            </c:marker>
            <c:bubble3D val="0"/>
            <c:spPr>
              <a:ln w="19050" cap="rnd">
                <a:solidFill>
                  <a:sysClr val="windowText" lastClr="000000"/>
                </a:solidFill>
                <a:prstDash val="solid"/>
                <a:round/>
              </a:ln>
              <a:effectLst/>
            </c:spPr>
            <c:extLst>
              <c:ext xmlns:c16="http://schemas.microsoft.com/office/drawing/2014/chart" uri="{C3380CC4-5D6E-409C-BE32-E72D297353CC}">
                <c16:uniqueId val="{00000018-6A76-44DA-AE72-34C9C6EA90A3}"/>
              </c:ext>
            </c:extLst>
          </c:dPt>
          <c:dPt>
            <c:idx val="10"/>
            <c:marker>
              <c:symbol val="none"/>
            </c:marker>
            <c:bubble3D val="0"/>
            <c:spPr>
              <a:ln w="19050" cap="rnd">
                <a:solidFill>
                  <a:sysClr val="windowText" lastClr="000000"/>
                </a:solidFill>
                <a:prstDash val="solid"/>
                <a:round/>
              </a:ln>
              <a:effectLst/>
            </c:spPr>
            <c:extLst>
              <c:ext xmlns:c16="http://schemas.microsoft.com/office/drawing/2014/chart" uri="{C3380CC4-5D6E-409C-BE32-E72D297353CC}">
                <c16:uniqueId val="{0000001A-6A76-44DA-AE72-34C9C6EA90A3}"/>
              </c:ext>
            </c:extLst>
          </c:dPt>
          <c:dPt>
            <c:idx val="11"/>
            <c:marker>
              <c:symbol val="none"/>
            </c:marker>
            <c:bubble3D val="0"/>
            <c:spPr>
              <a:ln w="19050" cap="rnd">
                <a:solidFill>
                  <a:sysClr val="windowText" lastClr="000000"/>
                </a:solidFill>
                <a:prstDash val="solid"/>
                <a:round/>
              </a:ln>
              <a:effectLst/>
            </c:spPr>
            <c:extLst>
              <c:ext xmlns:c16="http://schemas.microsoft.com/office/drawing/2014/chart" uri="{C3380CC4-5D6E-409C-BE32-E72D297353CC}">
                <c16:uniqueId val="{0000001C-6A76-44DA-AE72-34C9C6EA90A3}"/>
              </c:ext>
            </c:extLst>
          </c:dPt>
          <c:dPt>
            <c:idx val="12"/>
            <c:marker>
              <c:symbol val="none"/>
            </c:marker>
            <c:bubble3D val="0"/>
            <c:spPr>
              <a:ln w="19050" cap="rnd">
                <a:solidFill>
                  <a:sysClr val="windowText" lastClr="000000"/>
                </a:solidFill>
                <a:prstDash val="solid"/>
                <a:round/>
              </a:ln>
              <a:effectLst/>
            </c:spPr>
            <c:extLst>
              <c:ext xmlns:c16="http://schemas.microsoft.com/office/drawing/2014/chart" uri="{C3380CC4-5D6E-409C-BE32-E72D297353CC}">
                <c16:uniqueId val="{0000001E-6A76-44DA-AE72-34C9C6EA90A3}"/>
              </c:ext>
            </c:extLst>
          </c:dPt>
          <c:dPt>
            <c:idx val="13"/>
            <c:marker>
              <c:symbol val="none"/>
            </c:marker>
            <c:bubble3D val="0"/>
            <c:spPr>
              <a:ln w="19050" cap="rnd">
                <a:solidFill>
                  <a:sysClr val="windowText" lastClr="000000"/>
                </a:solidFill>
                <a:prstDash val="solid"/>
                <a:round/>
              </a:ln>
              <a:effectLst/>
            </c:spPr>
            <c:extLst>
              <c:ext xmlns:c16="http://schemas.microsoft.com/office/drawing/2014/chart" uri="{C3380CC4-5D6E-409C-BE32-E72D297353CC}">
                <c16:uniqueId val="{00000020-6A76-44DA-AE72-34C9C6EA90A3}"/>
              </c:ext>
            </c:extLst>
          </c:dPt>
          <c:dPt>
            <c:idx val="14"/>
            <c:marker>
              <c:symbol val="none"/>
            </c:marker>
            <c:bubble3D val="0"/>
            <c:spPr>
              <a:ln w="19050" cap="rnd">
                <a:solidFill>
                  <a:sysClr val="windowText" lastClr="000000"/>
                </a:solidFill>
                <a:prstDash val="solid"/>
                <a:round/>
              </a:ln>
              <a:effectLst/>
            </c:spPr>
            <c:extLst>
              <c:ext xmlns:c16="http://schemas.microsoft.com/office/drawing/2014/chart" uri="{C3380CC4-5D6E-409C-BE32-E72D297353CC}">
                <c16:uniqueId val="{00000022-6A76-44DA-AE72-34C9C6EA90A3}"/>
              </c:ext>
            </c:extLst>
          </c:dPt>
          <c:dPt>
            <c:idx val="15"/>
            <c:marker>
              <c:symbol val="none"/>
            </c:marker>
            <c:bubble3D val="0"/>
            <c:spPr>
              <a:ln w="19050" cap="rnd">
                <a:solidFill>
                  <a:sysClr val="windowText" lastClr="000000"/>
                </a:solidFill>
                <a:prstDash val="dash"/>
                <a:round/>
              </a:ln>
              <a:effectLst/>
            </c:spPr>
            <c:extLst>
              <c:ext xmlns:c16="http://schemas.microsoft.com/office/drawing/2014/chart" uri="{C3380CC4-5D6E-409C-BE32-E72D297353CC}">
                <c16:uniqueId val="{00000024-6A76-44DA-AE72-34C9C6EA90A3}"/>
              </c:ext>
            </c:extLst>
          </c:dPt>
          <c:dPt>
            <c:idx val="16"/>
            <c:marker>
              <c:symbol val="none"/>
            </c:marker>
            <c:bubble3D val="0"/>
            <c:spPr>
              <a:ln w="19050" cap="rnd">
                <a:solidFill>
                  <a:sysClr val="windowText" lastClr="000000"/>
                </a:solidFill>
                <a:prstDash val="sysDash"/>
                <a:round/>
              </a:ln>
              <a:effectLst/>
            </c:spPr>
            <c:extLst>
              <c:ext xmlns:c16="http://schemas.microsoft.com/office/drawing/2014/chart" uri="{C3380CC4-5D6E-409C-BE32-E72D297353CC}">
                <c16:uniqueId val="{00000026-6A76-44DA-AE72-34C9C6EA90A3}"/>
              </c:ext>
            </c:extLst>
          </c:dPt>
          <c:dPt>
            <c:idx val="17"/>
            <c:marker>
              <c:symbol val="none"/>
            </c:marker>
            <c:bubble3D val="0"/>
            <c:spPr>
              <a:ln w="19050" cap="rnd">
                <a:solidFill>
                  <a:sysClr val="windowText" lastClr="000000"/>
                </a:solidFill>
                <a:prstDash val="sysDash"/>
                <a:round/>
              </a:ln>
              <a:effectLst/>
            </c:spPr>
            <c:extLst>
              <c:ext xmlns:c16="http://schemas.microsoft.com/office/drawing/2014/chart" uri="{C3380CC4-5D6E-409C-BE32-E72D297353CC}">
                <c16:uniqueId val="{00000028-6A76-44DA-AE72-34C9C6EA90A3}"/>
              </c:ext>
            </c:extLst>
          </c:dPt>
          <c:dPt>
            <c:idx val="18"/>
            <c:marker>
              <c:symbol val="none"/>
            </c:marker>
            <c:bubble3D val="0"/>
            <c:spPr>
              <a:ln w="19050" cap="rnd">
                <a:solidFill>
                  <a:sysClr val="windowText" lastClr="000000"/>
                </a:solidFill>
                <a:prstDash val="sysDash"/>
                <a:round/>
              </a:ln>
              <a:effectLst/>
            </c:spPr>
            <c:extLst>
              <c:ext xmlns:c16="http://schemas.microsoft.com/office/drawing/2014/chart" uri="{C3380CC4-5D6E-409C-BE32-E72D297353CC}">
                <c16:uniqueId val="{0000002A-6A76-44DA-AE72-34C9C6EA90A3}"/>
              </c:ext>
            </c:extLst>
          </c:dPt>
          <c:dPt>
            <c:idx val="19"/>
            <c:marker>
              <c:symbol val="none"/>
            </c:marker>
            <c:bubble3D val="0"/>
            <c:spPr>
              <a:ln w="19050" cap="rnd">
                <a:solidFill>
                  <a:sysClr val="windowText" lastClr="000000"/>
                </a:solidFill>
                <a:prstDash val="sysDash"/>
                <a:round/>
                <a:headEnd type="none"/>
                <a:tailEnd type="none" w="med" len="med"/>
              </a:ln>
              <a:effectLst/>
            </c:spPr>
            <c:extLst>
              <c:ext xmlns:c16="http://schemas.microsoft.com/office/drawing/2014/chart" uri="{C3380CC4-5D6E-409C-BE32-E72D297353CC}">
                <c16:uniqueId val="{0000002C-6A76-44DA-AE72-34C9C6EA90A3}"/>
              </c:ext>
            </c:extLst>
          </c:dPt>
          <c:cat>
            <c:strRef>
              <c:f>Chart_NetDebtToGSP!$AG$26:$AZ$26</c:f>
              <c:strCache>
                <c:ptCount val="20"/>
                <c:pt idx="0">
                  <c:v>2010-11</c:v>
                </c:pt>
                <c:pt idx="1">
                  <c:v>2011-12</c:v>
                </c:pt>
                <c:pt idx="2">
                  <c:v>2012-13</c:v>
                </c:pt>
                <c:pt idx="3">
                  <c:v>2013-14</c:v>
                </c:pt>
                <c:pt idx="4">
                  <c:v>2014-15</c:v>
                </c:pt>
                <c:pt idx="5">
                  <c:v>2015-16</c:v>
                </c:pt>
                <c:pt idx="6">
                  <c:v>2016-17</c:v>
                </c:pt>
                <c:pt idx="7">
                  <c:v>2017-18</c:v>
                </c:pt>
                <c:pt idx="8">
                  <c:v>2018-19</c:v>
                </c:pt>
                <c:pt idx="9">
                  <c:v>2019-20</c:v>
                </c:pt>
                <c:pt idx="10">
                  <c:v>2020-21</c:v>
                </c:pt>
                <c:pt idx="11">
                  <c:v>2021-22</c:v>
                </c:pt>
                <c:pt idx="12">
                  <c:v>2022-23</c:v>
                </c:pt>
                <c:pt idx="13">
                  <c:v>2023-24</c:v>
                </c:pt>
                <c:pt idx="14">
                  <c:v>2024-25</c:v>
                </c:pt>
                <c:pt idx="15">
                  <c:v>2025-26</c:v>
                </c:pt>
                <c:pt idx="16">
                  <c:v>2026-27</c:v>
                </c:pt>
                <c:pt idx="17">
                  <c:v>2027-28</c:v>
                </c:pt>
                <c:pt idx="18">
                  <c:v>2028-29</c:v>
                </c:pt>
                <c:pt idx="19">
                  <c:v>2029-30</c:v>
                </c:pt>
              </c:strCache>
            </c:strRef>
          </c:cat>
          <c:val>
            <c:numRef>
              <c:f>Chart_NetDebtToGSP!$AG$28:$AZ$28</c:f>
              <c:numCache>
                <c:formatCode>0.0</c:formatCode>
                <c:ptCount val="20"/>
                <c:pt idx="0">
                  <c:v>3.5502447451770798</c:v>
                </c:pt>
                <c:pt idx="1">
                  <c:v>4.3790361286502986</c:v>
                </c:pt>
                <c:pt idx="2">
                  <c:v>5.570914456342333</c:v>
                </c:pt>
                <c:pt idx="3">
                  <c:v>5.7538065336416571</c:v>
                </c:pt>
                <c:pt idx="4">
                  <c:v>5.8319706269221232</c:v>
                </c:pt>
                <c:pt idx="5">
                  <c:v>5.613043526155951</c:v>
                </c:pt>
                <c:pt idx="6">
                  <c:v>3.7499729090433278</c:v>
                </c:pt>
                <c:pt idx="7">
                  <c:v>4.8796750724384967</c:v>
                </c:pt>
                <c:pt idx="8">
                  <c:v>5.4833891019617544</c:v>
                </c:pt>
                <c:pt idx="9">
                  <c:v>9.3974325846711775</c:v>
                </c:pt>
                <c:pt idx="10">
                  <c:v>15.228373313422276</c:v>
                </c:pt>
                <c:pt idx="11">
                  <c:v>19.072244984023484</c:v>
                </c:pt>
                <c:pt idx="12">
                  <c:v>20.036108947971382</c:v>
                </c:pt>
                <c:pt idx="13">
                  <c:v>21.89494379876361</c:v>
                </c:pt>
                <c:pt idx="14">
                  <c:v>23.667801914904299</c:v>
                </c:pt>
                <c:pt idx="15">
                  <c:v>24.650976329108101</c:v>
                </c:pt>
                <c:pt idx="16">
                  <c:v>24.938597864046901</c:v>
                </c:pt>
                <c:pt idx="17">
                  <c:v>24.833845584717</c:v>
                </c:pt>
                <c:pt idx="18">
                  <c:v>24.633823247561502</c:v>
                </c:pt>
                <c:pt idx="19">
                  <c:v>24.4170910832662</c:v>
                </c:pt>
              </c:numCache>
            </c:numRef>
          </c:val>
          <c:smooth val="0"/>
          <c:extLst>
            <c:ext xmlns:c16="http://schemas.microsoft.com/office/drawing/2014/chart" uri="{C3380CC4-5D6E-409C-BE32-E72D297353CC}">
              <c16:uniqueId val="{0000002D-6A76-44DA-AE72-34C9C6EA90A3}"/>
            </c:ext>
          </c:extLst>
        </c:ser>
        <c:dLbls>
          <c:showLegendKey val="0"/>
          <c:showVal val="0"/>
          <c:showCatName val="0"/>
          <c:showSerName val="0"/>
          <c:showPercent val="0"/>
          <c:showBubbleSize val="0"/>
        </c:dLbls>
        <c:marker val="1"/>
        <c:smooth val="0"/>
        <c:axId val="776155232"/>
        <c:axId val="776158184"/>
      </c:lineChart>
      <c:catAx>
        <c:axId val="680510152"/>
        <c:scaling>
          <c:orientation val="minMax"/>
        </c:scaling>
        <c:delete val="0"/>
        <c:axPos val="b"/>
        <c:numFmt formatCode="General" sourceLinked="1"/>
        <c:majorTickMark val="none"/>
        <c:minorTickMark val="none"/>
        <c:tickLblPos val="nextTo"/>
        <c:spPr>
          <a:noFill/>
          <a:ln w="9525" cap="flat" cmpd="sng" algn="ctr">
            <a:solidFill>
              <a:schemeClr val="bg1">
                <a:lumMod val="50000"/>
              </a:schemeClr>
            </a:solidFill>
            <a:round/>
          </a:ln>
          <a:effectLst/>
        </c:spPr>
        <c:txPr>
          <a:bodyPr rot="-5400000" spcFirstLastPara="1" vertOverflow="ellipsis" wrap="square" anchor="ctr" anchorCtr="1"/>
          <a:lstStyle/>
          <a:p>
            <a:pPr>
              <a:defRPr sz="9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en-US"/>
          </a:p>
        </c:txPr>
        <c:crossAx val="680510480"/>
        <c:crosses val="autoZero"/>
        <c:auto val="1"/>
        <c:lblAlgn val="ctr"/>
        <c:lblOffset val="100"/>
        <c:tickLblSkip val="1"/>
        <c:noMultiLvlLbl val="0"/>
      </c:catAx>
      <c:valAx>
        <c:axId val="680510480"/>
        <c:scaling>
          <c:orientation val="minMax"/>
          <c:max val="200"/>
        </c:scaling>
        <c:delete val="0"/>
        <c:axPos val="l"/>
        <c:majorGridlines>
          <c:spPr>
            <a:ln w="6350" cap="flat" cmpd="sng" algn="ctr">
              <a:solidFill>
                <a:schemeClr val="bg1">
                  <a:lumMod val="85000"/>
                </a:schemeClr>
              </a:solidFill>
              <a:prstDash val="dash"/>
              <a:round/>
            </a:ln>
            <a:effectLst/>
          </c:spPr>
        </c:majorGridlines>
        <c:title>
          <c:tx>
            <c:rich>
              <a:bodyPr rot="-5400000" spcFirstLastPara="1" vertOverflow="ellipsis" vert="horz" wrap="square" anchor="ctr" anchorCtr="1"/>
              <a:lstStyle/>
              <a:p>
                <a:pPr>
                  <a:defRPr sz="900" b="0" i="1" u="none" strike="noStrike" kern="1200" baseline="0">
                    <a:solidFill>
                      <a:sysClr val="windowText" lastClr="000000"/>
                    </a:solidFill>
                    <a:latin typeface="Calibri" panose="020F0502020204030204" pitchFamily="34" charset="0"/>
                    <a:ea typeface="+mn-ea"/>
                    <a:cs typeface="Calibri" panose="020F0502020204030204" pitchFamily="34" charset="0"/>
                  </a:defRPr>
                </a:pPr>
                <a:r>
                  <a:rPr lang="en-AU" sz="900" i="1"/>
                  <a:t>$ billion</a:t>
                </a:r>
              </a:p>
            </c:rich>
          </c:tx>
          <c:layout>
            <c:manualLayout>
              <c:xMode val="edge"/>
              <c:yMode val="edge"/>
              <c:x val="4.6891525121370049E-3"/>
              <c:y val="0.35072082961740014"/>
            </c:manualLayout>
          </c:layout>
          <c:overlay val="0"/>
          <c:spPr>
            <a:noFill/>
            <a:ln>
              <a:noFill/>
            </a:ln>
            <a:effectLst/>
          </c:spPr>
          <c:txPr>
            <a:bodyPr rot="-5400000" spcFirstLastPara="1" vertOverflow="ellipsis" vert="horz" wrap="square" anchor="ctr" anchorCtr="1"/>
            <a:lstStyle/>
            <a:p>
              <a:pPr>
                <a:defRPr sz="900" b="0" i="1"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en-US"/>
            </a:p>
          </c:txPr>
        </c:title>
        <c:numFmt formatCode="0" sourceLinked="0"/>
        <c:majorTickMark val="none"/>
        <c:minorTickMark val="none"/>
        <c:tickLblPos val="nextTo"/>
        <c:spPr>
          <a:noFill/>
          <a:ln>
            <a:solidFill>
              <a:schemeClr val="bg1">
                <a:lumMod val="65000"/>
              </a:schemeClr>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en-US"/>
          </a:p>
        </c:txPr>
        <c:crossAx val="680510152"/>
        <c:crosses val="autoZero"/>
        <c:crossBetween val="between"/>
        <c:majorUnit val="20"/>
      </c:valAx>
      <c:valAx>
        <c:axId val="776158184"/>
        <c:scaling>
          <c:orientation val="minMax"/>
          <c:max val="30"/>
        </c:scaling>
        <c:delete val="0"/>
        <c:axPos val="r"/>
        <c:title>
          <c:tx>
            <c:rich>
              <a:bodyPr rot="-5400000" spcFirstLastPara="1" vertOverflow="ellipsis" vert="horz" wrap="square" anchor="ctr" anchorCtr="1"/>
              <a:lstStyle/>
              <a:p>
                <a:pPr>
                  <a:defRPr sz="900" b="0" i="1" u="none" strike="noStrike" kern="1200" baseline="0">
                    <a:solidFill>
                      <a:sysClr val="windowText" lastClr="000000"/>
                    </a:solidFill>
                    <a:latin typeface="Calibri" panose="020F0502020204030204" pitchFamily="34" charset="0"/>
                    <a:ea typeface="+mn-ea"/>
                    <a:cs typeface="Calibri" panose="020F0502020204030204" pitchFamily="34" charset="0"/>
                  </a:defRPr>
                </a:pPr>
                <a:r>
                  <a:rPr lang="en-AU" sz="900" i="1"/>
                  <a:t>per cent</a:t>
                </a:r>
              </a:p>
            </c:rich>
          </c:tx>
          <c:layout>
            <c:manualLayout>
              <c:xMode val="edge"/>
              <c:yMode val="edge"/>
              <c:x val="0.95982638260363129"/>
              <c:y val="0.32133194444444446"/>
            </c:manualLayout>
          </c:layout>
          <c:overlay val="0"/>
          <c:spPr>
            <a:noFill/>
            <a:ln>
              <a:noFill/>
            </a:ln>
            <a:effectLst/>
          </c:spPr>
          <c:txPr>
            <a:bodyPr rot="-5400000" spcFirstLastPara="1" vertOverflow="ellipsis" vert="horz" wrap="square" anchor="ctr" anchorCtr="1"/>
            <a:lstStyle/>
            <a:p>
              <a:pPr>
                <a:defRPr sz="900" b="0" i="1"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en-US"/>
            </a:p>
          </c:txPr>
        </c:title>
        <c:numFmt formatCode="0" sourceLinked="0"/>
        <c:majorTickMark val="none"/>
        <c:minorTickMark val="none"/>
        <c:tickLblPos val="nextTo"/>
        <c:spPr>
          <a:noFill/>
          <a:ln>
            <a:solidFill>
              <a:schemeClr val="bg1">
                <a:lumMod val="50000"/>
              </a:schemeClr>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en-US"/>
          </a:p>
        </c:txPr>
        <c:crossAx val="776155232"/>
        <c:crosses val="max"/>
        <c:crossBetween val="between"/>
        <c:majorUnit val="10"/>
      </c:valAx>
      <c:catAx>
        <c:axId val="776155232"/>
        <c:scaling>
          <c:orientation val="minMax"/>
        </c:scaling>
        <c:delete val="1"/>
        <c:axPos val="b"/>
        <c:numFmt formatCode="General" sourceLinked="1"/>
        <c:majorTickMark val="out"/>
        <c:minorTickMark val="none"/>
        <c:tickLblPos val="nextTo"/>
        <c:crossAx val="776158184"/>
        <c:crosses val="autoZero"/>
        <c:auto val="1"/>
        <c:lblAlgn val="ctr"/>
        <c:lblOffset val="100"/>
        <c:noMultiLvlLbl val="0"/>
      </c:catAx>
      <c:spPr>
        <a:noFill/>
        <a:ln>
          <a:noFill/>
        </a:ln>
        <a:effectLst/>
      </c:spPr>
    </c:plotArea>
    <c:legend>
      <c:legendPos val="b"/>
      <c:layout>
        <c:manualLayout>
          <c:xMode val="edge"/>
          <c:yMode val="edge"/>
          <c:x val="0"/>
          <c:y val="0.93680947074191134"/>
          <c:w val="1"/>
          <c:h val="5.9536693644152948E-2"/>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ysClr val="windowText" lastClr="000000"/>
          </a:solidFill>
          <a:latin typeface="Calibri" panose="020F0502020204030204" pitchFamily="34" charset="0"/>
          <a:cs typeface="Calibri" panose="020F0502020204030204" pitchFamily="34" charset="0"/>
        </a:defRPr>
      </a:pPr>
      <a:endParaRPr lang="en-US"/>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0361351050804814"/>
          <c:y val="3.0374984179096464E-2"/>
          <c:w val="0.85173487116927282"/>
          <c:h val="0.75796011981697609"/>
        </c:manualLayout>
      </c:layout>
      <c:lineChart>
        <c:grouping val="standard"/>
        <c:varyColors val="0"/>
        <c:ser>
          <c:idx val="3"/>
          <c:order val="0"/>
          <c:tx>
            <c:strRef>
              <c:f>Scenario!$C$58</c:f>
              <c:strCache>
                <c:ptCount val="1"/>
                <c:pt idx="0">
                  <c:v>Real GSP </c:v>
                </c:pt>
              </c:strCache>
            </c:strRef>
          </c:tx>
          <c:spPr>
            <a:ln w="22225" cap="rnd">
              <a:solidFill>
                <a:srgbClr val="E7E6E6">
                  <a:lumMod val="25000"/>
                </a:srgbClr>
              </a:solidFill>
              <a:round/>
            </a:ln>
            <a:effectLst/>
          </c:spPr>
          <c:marker>
            <c:symbol val="none"/>
          </c:marker>
          <c:cat>
            <c:numRef>
              <c:f>Scenario!$F$2:$W$2</c:f>
              <c:numCache>
                <c:formatCode>m/d/yyyy</c:formatCode>
                <c:ptCount val="18"/>
                <c:pt idx="0">
                  <c:v>46082</c:v>
                </c:pt>
                <c:pt idx="1">
                  <c:v>46174</c:v>
                </c:pt>
                <c:pt idx="2">
                  <c:v>46266</c:v>
                </c:pt>
                <c:pt idx="3">
                  <c:v>46357</c:v>
                </c:pt>
                <c:pt idx="4">
                  <c:v>46447</c:v>
                </c:pt>
                <c:pt idx="5">
                  <c:v>46539</c:v>
                </c:pt>
                <c:pt idx="6">
                  <c:v>46631</c:v>
                </c:pt>
                <c:pt idx="7">
                  <c:v>46722</c:v>
                </c:pt>
                <c:pt idx="8">
                  <c:v>46813</c:v>
                </c:pt>
                <c:pt idx="9">
                  <c:v>46905</c:v>
                </c:pt>
                <c:pt idx="10">
                  <c:v>46997</c:v>
                </c:pt>
                <c:pt idx="11">
                  <c:v>47088</c:v>
                </c:pt>
                <c:pt idx="12">
                  <c:v>47178</c:v>
                </c:pt>
                <c:pt idx="13">
                  <c:v>47270</c:v>
                </c:pt>
                <c:pt idx="14">
                  <c:v>47362</c:v>
                </c:pt>
                <c:pt idx="15">
                  <c:v>47453</c:v>
                </c:pt>
                <c:pt idx="16">
                  <c:v>47543</c:v>
                </c:pt>
              </c:numCache>
            </c:numRef>
          </c:cat>
          <c:val>
            <c:numRef>
              <c:f>Scenario!$F$58:$W$58</c:f>
              <c:numCache>
                <c:formatCode>0.0</c:formatCode>
                <c:ptCount val="18"/>
                <c:pt idx="0">
                  <c:v>0</c:v>
                </c:pt>
                <c:pt idx="1">
                  <c:v>-0.75452600000000003</c:v>
                </c:pt>
                <c:pt idx="2">
                  <c:v>-1.15184</c:v>
                </c:pt>
                <c:pt idx="3">
                  <c:v>-0.93821600000000005</c:v>
                </c:pt>
                <c:pt idx="4">
                  <c:v>-0.71513599999999999</c:v>
                </c:pt>
                <c:pt idx="5">
                  <c:v>-0.49591600000000002</c:v>
                </c:pt>
                <c:pt idx="6">
                  <c:v>-0.36988199999999999</c:v>
                </c:pt>
                <c:pt idx="7">
                  <c:v>-0.26255899999999999</c:v>
                </c:pt>
                <c:pt idx="8">
                  <c:v>-0.183027</c:v>
                </c:pt>
                <c:pt idx="9">
                  <c:v>-0.139627</c:v>
                </c:pt>
                <c:pt idx="10">
                  <c:v>-8.4518099999999999E-2</c:v>
                </c:pt>
                <c:pt idx="11">
                  <c:v>-4.1707479999999998E-2</c:v>
                </c:pt>
                <c:pt idx="12">
                  <c:v>-1.9729639999999998E-3</c:v>
                </c:pt>
                <c:pt idx="13">
                  <c:v>3.6009190000000003E-2</c:v>
                </c:pt>
                <c:pt idx="14">
                  <c:v>7.2155520000000001E-2</c:v>
                </c:pt>
                <c:pt idx="15">
                  <c:v>5.1938909999999998E-2</c:v>
                </c:pt>
                <c:pt idx="16">
                  <c:v>3.4411990000000003E-2</c:v>
                </c:pt>
              </c:numCache>
            </c:numRef>
          </c:val>
          <c:smooth val="0"/>
          <c:extLst>
            <c:ext xmlns:c16="http://schemas.microsoft.com/office/drawing/2014/chart" uri="{C3380CC4-5D6E-409C-BE32-E72D297353CC}">
              <c16:uniqueId val="{00000000-0642-4A41-A06B-D6BC091EA7FD}"/>
            </c:ext>
          </c:extLst>
        </c:ser>
        <c:ser>
          <c:idx val="4"/>
          <c:order val="1"/>
          <c:tx>
            <c:v>Real household consumption</c:v>
          </c:tx>
          <c:spPr>
            <a:ln>
              <a:solidFill>
                <a:sysClr val="windowText" lastClr="000000">
                  <a:lumMod val="50000"/>
                  <a:lumOff val="50000"/>
                </a:sysClr>
              </a:solidFill>
            </a:ln>
          </c:spPr>
          <c:marker>
            <c:symbol val="none"/>
          </c:marker>
          <c:cat>
            <c:numRef>
              <c:f>Scenario!$F$2:$W$2</c:f>
              <c:numCache>
                <c:formatCode>m/d/yyyy</c:formatCode>
                <c:ptCount val="18"/>
                <c:pt idx="0">
                  <c:v>46082</c:v>
                </c:pt>
                <c:pt idx="1">
                  <c:v>46174</c:v>
                </c:pt>
                <c:pt idx="2">
                  <c:v>46266</c:v>
                </c:pt>
                <c:pt idx="3">
                  <c:v>46357</c:v>
                </c:pt>
                <c:pt idx="4">
                  <c:v>46447</c:v>
                </c:pt>
                <c:pt idx="5">
                  <c:v>46539</c:v>
                </c:pt>
                <c:pt idx="6">
                  <c:v>46631</c:v>
                </c:pt>
                <c:pt idx="7">
                  <c:v>46722</c:v>
                </c:pt>
                <c:pt idx="8">
                  <c:v>46813</c:v>
                </c:pt>
                <c:pt idx="9">
                  <c:v>46905</c:v>
                </c:pt>
                <c:pt idx="10">
                  <c:v>46997</c:v>
                </c:pt>
                <c:pt idx="11">
                  <c:v>47088</c:v>
                </c:pt>
                <c:pt idx="12">
                  <c:v>47178</c:v>
                </c:pt>
                <c:pt idx="13">
                  <c:v>47270</c:v>
                </c:pt>
                <c:pt idx="14">
                  <c:v>47362</c:v>
                </c:pt>
                <c:pt idx="15">
                  <c:v>47453</c:v>
                </c:pt>
                <c:pt idx="16">
                  <c:v>47543</c:v>
                </c:pt>
              </c:numCache>
            </c:numRef>
          </c:cat>
          <c:val>
            <c:numRef>
              <c:f>Scenario!$F$59:$W$59</c:f>
              <c:numCache>
                <c:formatCode>0.00</c:formatCode>
                <c:ptCount val="18"/>
                <c:pt idx="0" formatCode="0">
                  <c:v>0</c:v>
                </c:pt>
                <c:pt idx="1">
                  <c:v>-0.68525800000000003</c:v>
                </c:pt>
                <c:pt idx="2">
                  <c:v>-1.0685800000000001</c:v>
                </c:pt>
                <c:pt idx="3">
                  <c:v>-0.84892699999999999</c:v>
                </c:pt>
                <c:pt idx="4">
                  <c:v>-0.61526899999999995</c:v>
                </c:pt>
                <c:pt idx="5" formatCode="0">
                  <c:v>-0.39442899999999997</c:v>
                </c:pt>
                <c:pt idx="6" formatCode="0">
                  <c:v>-0.27626600000000001</c:v>
                </c:pt>
                <c:pt idx="7" formatCode="0">
                  <c:v>-0.182197</c:v>
                </c:pt>
                <c:pt idx="8" formatCode="0">
                  <c:v>-0.1129</c:v>
                </c:pt>
                <c:pt idx="9" formatCode="0">
                  <c:v>-7.8261730000000002E-2</c:v>
                </c:pt>
                <c:pt idx="10" formatCode="0">
                  <c:v>-3.8051729999999999E-2</c:v>
                </c:pt>
                <c:pt idx="11" formatCode="0">
                  <c:v>-1.230127E-2</c:v>
                </c:pt>
                <c:pt idx="12" formatCode="0">
                  <c:v>7.605044E-3</c:v>
                </c:pt>
                <c:pt idx="13" formatCode="0">
                  <c:v>2.2118079999999998E-2</c:v>
                </c:pt>
                <c:pt idx="14" formatCode="0">
                  <c:v>3.072364E-2</c:v>
                </c:pt>
                <c:pt idx="15" formatCode="0">
                  <c:v>4.9371830000000004E-3</c:v>
                </c:pt>
                <c:pt idx="16" formatCode="0">
                  <c:v>-1.7081329999999999E-2</c:v>
                </c:pt>
              </c:numCache>
            </c:numRef>
          </c:val>
          <c:smooth val="0"/>
          <c:extLst>
            <c:ext xmlns:c16="http://schemas.microsoft.com/office/drawing/2014/chart" uri="{C3380CC4-5D6E-409C-BE32-E72D297353CC}">
              <c16:uniqueId val="{00000001-0642-4A41-A06B-D6BC091EA7FD}"/>
            </c:ext>
          </c:extLst>
        </c:ser>
        <c:ser>
          <c:idx val="0"/>
          <c:order val="2"/>
          <c:tx>
            <c:strRef>
              <c:f>Scenario!$C$62</c:f>
              <c:strCache>
                <c:ptCount val="1"/>
                <c:pt idx="0">
                  <c:v>Real investment </c:v>
                </c:pt>
              </c:strCache>
            </c:strRef>
          </c:tx>
          <c:spPr>
            <a:ln>
              <a:solidFill>
                <a:sysClr val="window" lastClr="FFFFFF">
                  <a:lumMod val="85000"/>
                </a:sysClr>
              </a:solidFill>
            </a:ln>
          </c:spPr>
          <c:marker>
            <c:symbol val="none"/>
          </c:marker>
          <c:cat>
            <c:numRef>
              <c:f>Scenario!$F$2:$W$2</c:f>
              <c:numCache>
                <c:formatCode>m/d/yyyy</c:formatCode>
                <c:ptCount val="18"/>
                <c:pt idx="0">
                  <c:v>46082</c:v>
                </c:pt>
                <c:pt idx="1">
                  <c:v>46174</c:v>
                </c:pt>
                <c:pt idx="2">
                  <c:v>46266</c:v>
                </c:pt>
                <c:pt idx="3">
                  <c:v>46357</c:v>
                </c:pt>
                <c:pt idx="4">
                  <c:v>46447</c:v>
                </c:pt>
                <c:pt idx="5">
                  <c:v>46539</c:v>
                </c:pt>
                <c:pt idx="6">
                  <c:v>46631</c:v>
                </c:pt>
                <c:pt idx="7">
                  <c:v>46722</c:v>
                </c:pt>
                <c:pt idx="8">
                  <c:v>46813</c:v>
                </c:pt>
                <c:pt idx="9">
                  <c:v>46905</c:v>
                </c:pt>
                <c:pt idx="10">
                  <c:v>46997</c:v>
                </c:pt>
                <c:pt idx="11">
                  <c:v>47088</c:v>
                </c:pt>
                <c:pt idx="12">
                  <c:v>47178</c:v>
                </c:pt>
                <c:pt idx="13">
                  <c:v>47270</c:v>
                </c:pt>
                <c:pt idx="14">
                  <c:v>47362</c:v>
                </c:pt>
                <c:pt idx="15">
                  <c:v>47453</c:v>
                </c:pt>
                <c:pt idx="16">
                  <c:v>47543</c:v>
                </c:pt>
              </c:numCache>
            </c:numRef>
          </c:cat>
          <c:val>
            <c:numRef>
              <c:f>Scenario!$F$62:$W$62</c:f>
              <c:numCache>
                <c:formatCode>0</c:formatCode>
                <c:ptCount val="18"/>
                <c:pt idx="0">
                  <c:v>0</c:v>
                </c:pt>
                <c:pt idx="1">
                  <c:v>-0.83087100000000003</c:v>
                </c:pt>
                <c:pt idx="2">
                  <c:v>-1.19554</c:v>
                </c:pt>
                <c:pt idx="3">
                  <c:v>-0.86438199999999998</c:v>
                </c:pt>
                <c:pt idx="4">
                  <c:v>-0.60091799999999995</c:v>
                </c:pt>
                <c:pt idx="5">
                  <c:v>-0.34397299999999997</c:v>
                </c:pt>
                <c:pt idx="6">
                  <c:v>-0.18848699999999999</c:v>
                </c:pt>
                <c:pt idx="7">
                  <c:v>-7.2577310000000006E-2</c:v>
                </c:pt>
                <c:pt idx="8">
                  <c:v>-1.88748E-3</c:v>
                </c:pt>
                <c:pt idx="9">
                  <c:v>2.9762759999999999E-2</c:v>
                </c:pt>
                <c:pt idx="10">
                  <c:v>7.3612670000000005E-2</c:v>
                </c:pt>
                <c:pt idx="11">
                  <c:v>0.100004</c:v>
                </c:pt>
                <c:pt idx="12">
                  <c:v>0.120575</c:v>
                </c:pt>
                <c:pt idx="13">
                  <c:v>0.13677900000000001</c:v>
                </c:pt>
                <c:pt idx="14">
                  <c:v>0.148011</c:v>
                </c:pt>
                <c:pt idx="15">
                  <c:v>0.108149</c:v>
                </c:pt>
                <c:pt idx="16">
                  <c:v>7.5321299999999994E-2</c:v>
                </c:pt>
              </c:numCache>
            </c:numRef>
          </c:val>
          <c:smooth val="0"/>
          <c:extLst>
            <c:ext xmlns:c16="http://schemas.microsoft.com/office/drawing/2014/chart" uri="{C3380CC4-5D6E-409C-BE32-E72D297353CC}">
              <c16:uniqueId val="{00000002-0642-4A41-A06B-D6BC091EA7FD}"/>
            </c:ext>
          </c:extLst>
        </c:ser>
        <c:dLbls>
          <c:showLegendKey val="0"/>
          <c:showVal val="0"/>
          <c:showCatName val="0"/>
          <c:showSerName val="0"/>
          <c:showPercent val="0"/>
          <c:showBubbleSize val="0"/>
        </c:dLbls>
        <c:smooth val="0"/>
        <c:axId val="1032676440"/>
        <c:axId val="1032677424"/>
        <c:extLst/>
      </c:lineChart>
      <c:dateAx>
        <c:axId val="1032676440"/>
        <c:scaling>
          <c:orientation val="minMax"/>
          <c:min val="45809"/>
        </c:scaling>
        <c:delete val="0"/>
        <c:axPos val="b"/>
        <c:numFmt formatCode="yyyy" sourceLinked="0"/>
        <c:majorTickMark val="out"/>
        <c:minorTickMark val="none"/>
        <c:tickLblPos val="low"/>
        <c:spPr>
          <a:noFill/>
          <a:ln>
            <a:solidFill>
              <a:sysClr val="window" lastClr="FFFFFF">
                <a:lumMod val="50000"/>
              </a:sysClr>
            </a:solidFill>
          </a:ln>
          <a:effectLst/>
        </c:spPr>
        <c:txPr>
          <a:bodyPr rot="-60000000" vert="horz"/>
          <a:lstStyle/>
          <a:p>
            <a:pPr>
              <a:defRPr/>
            </a:pPr>
            <a:endParaRPr lang="en-US"/>
          </a:p>
        </c:txPr>
        <c:crossAx val="1032677424"/>
        <c:crosses val="autoZero"/>
        <c:auto val="0"/>
        <c:lblOffset val="100"/>
        <c:baseTimeUnit val="months"/>
        <c:majorUnit val="12"/>
        <c:majorTimeUnit val="months"/>
        <c:minorUnit val="1"/>
      </c:dateAx>
      <c:valAx>
        <c:axId val="1032677424"/>
        <c:scaling>
          <c:orientation val="minMax"/>
          <c:min val="-1.4"/>
        </c:scaling>
        <c:delete val="0"/>
        <c:axPos val="l"/>
        <c:majorGridlines>
          <c:spPr>
            <a:ln w="6350">
              <a:solidFill>
                <a:sysClr val="window" lastClr="FFFFFF">
                  <a:lumMod val="65000"/>
                </a:sysClr>
              </a:solidFill>
              <a:prstDash val="dash"/>
            </a:ln>
          </c:spPr>
        </c:majorGridlines>
        <c:title>
          <c:tx>
            <c:rich>
              <a:bodyPr/>
              <a:lstStyle/>
              <a:p>
                <a:pPr>
                  <a:defRPr/>
                </a:pPr>
                <a:r>
                  <a:rPr lang="en-AU" b="0" i="1"/>
                  <a:t>Percentage deviation from baseline</a:t>
                </a:r>
              </a:p>
            </c:rich>
          </c:tx>
          <c:overlay val="0"/>
        </c:title>
        <c:numFmt formatCode="#,##0.0" sourceLinked="0"/>
        <c:majorTickMark val="out"/>
        <c:minorTickMark val="none"/>
        <c:tickLblPos val="nextTo"/>
        <c:spPr>
          <a:noFill/>
          <a:ln>
            <a:solidFill>
              <a:sysClr val="window" lastClr="FFFFFF">
                <a:lumMod val="50000"/>
              </a:sysClr>
            </a:solidFill>
          </a:ln>
          <a:effectLst/>
        </c:spPr>
        <c:txPr>
          <a:bodyPr rot="-60000000" vert="horz"/>
          <a:lstStyle/>
          <a:p>
            <a:pPr>
              <a:defRPr/>
            </a:pPr>
            <a:endParaRPr lang="en-US"/>
          </a:p>
        </c:txPr>
        <c:crossAx val="1032676440"/>
        <c:crossesAt val="1"/>
        <c:crossBetween val="between"/>
      </c:valAx>
      <c:spPr>
        <a:noFill/>
        <a:ln>
          <a:noFill/>
        </a:ln>
        <a:effectLst/>
      </c:spPr>
    </c:plotArea>
    <c:legend>
      <c:legendPos val="b"/>
      <c:overlay val="0"/>
    </c:legend>
    <c:plotVisOnly val="1"/>
    <c:dispBlanksAs val="gap"/>
    <c:showDLblsOverMax val="0"/>
    <c:extLst/>
  </c:chart>
  <c:spPr>
    <a:solidFill>
      <a:sysClr val="window" lastClr="FFFFFF"/>
    </a:solidFill>
    <a:ln w="9525" cap="flat" cmpd="sng" algn="ctr">
      <a:noFill/>
      <a:round/>
    </a:ln>
    <a:effectLst/>
  </c:spPr>
  <c:txPr>
    <a:bodyPr/>
    <a:lstStyle/>
    <a:p>
      <a:pPr>
        <a:defRPr sz="900">
          <a:solidFill>
            <a:schemeClr val="tx1">
              <a:lumMod val="65000"/>
              <a:lumOff val="35000"/>
            </a:schemeClr>
          </a:solidFill>
        </a:defRPr>
      </a:pPr>
      <a:endParaRPr lang="en-US"/>
    </a:p>
  </c:txPr>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4236538346920279E-2"/>
          <c:y val="5.3671627226152721E-2"/>
          <c:w val="0.87492522223620295"/>
          <c:h val="0.72152531921555674"/>
        </c:manualLayout>
      </c:layout>
      <c:lineChart>
        <c:grouping val="standard"/>
        <c:varyColors val="0"/>
        <c:ser>
          <c:idx val="0"/>
          <c:order val="0"/>
          <c:tx>
            <c:strRef>
              <c:f>'Unemployment rate'!$B$2</c:f>
              <c:strCache>
                <c:ptCount val="1"/>
                <c:pt idx="0">
                  <c:v>Less than 4 weeks</c:v>
                </c:pt>
              </c:strCache>
            </c:strRef>
          </c:tx>
          <c:spPr>
            <a:ln w="19050" cap="rnd">
              <a:solidFill>
                <a:sysClr val="window" lastClr="FFFFFF">
                  <a:lumMod val="85000"/>
                </a:sysClr>
              </a:solidFill>
              <a:round/>
            </a:ln>
            <a:effectLst/>
          </c:spPr>
          <c:marker>
            <c:symbol val="none"/>
          </c:marker>
          <c:cat>
            <c:numRef>
              <c:f>'Unemployment rate'!$A$3:$A$423</c:f>
              <c:numCache>
                <c:formatCode>m/d/yyyy</c:formatCode>
                <c:ptCount val="421"/>
                <c:pt idx="0">
                  <c:v>46054</c:v>
                </c:pt>
                <c:pt idx="1">
                  <c:v>46023</c:v>
                </c:pt>
                <c:pt idx="2">
                  <c:v>45992</c:v>
                </c:pt>
                <c:pt idx="3">
                  <c:v>45962</c:v>
                </c:pt>
                <c:pt idx="4">
                  <c:v>45931</c:v>
                </c:pt>
                <c:pt idx="5">
                  <c:v>45901</c:v>
                </c:pt>
                <c:pt idx="6">
                  <c:v>45870</c:v>
                </c:pt>
                <c:pt idx="7">
                  <c:v>45839</c:v>
                </c:pt>
                <c:pt idx="8">
                  <c:v>45809</c:v>
                </c:pt>
                <c:pt idx="9">
                  <c:v>45778</c:v>
                </c:pt>
                <c:pt idx="10">
                  <c:v>45748</c:v>
                </c:pt>
                <c:pt idx="11">
                  <c:v>45717</c:v>
                </c:pt>
                <c:pt idx="12">
                  <c:v>45689</c:v>
                </c:pt>
                <c:pt idx="13">
                  <c:v>45658</c:v>
                </c:pt>
                <c:pt idx="14">
                  <c:v>45627</c:v>
                </c:pt>
                <c:pt idx="15">
                  <c:v>45597</c:v>
                </c:pt>
                <c:pt idx="16">
                  <c:v>45566</c:v>
                </c:pt>
                <c:pt idx="17">
                  <c:v>45536</c:v>
                </c:pt>
                <c:pt idx="18">
                  <c:v>45505</c:v>
                </c:pt>
                <c:pt idx="19">
                  <c:v>45474</c:v>
                </c:pt>
                <c:pt idx="20">
                  <c:v>45444</c:v>
                </c:pt>
                <c:pt idx="21">
                  <c:v>45413</c:v>
                </c:pt>
                <c:pt idx="22">
                  <c:v>45383</c:v>
                </c:pt>
                <c:pt idx="23">
                  <c:v>45352</c:v>
                </c:pt>
                <c:pt idx="24">
                  <c:v>45323</c:v>
                </c:pt>
                <c:pt idx="25">
                  <c:v>45292</c:v>
                </c:pt>
                <c:pt idx="26">
                  <c:v>45261</c:v>
                </c:pt>
                <c:pt idx="27">
                  <c:v>45231</c:v>
                </c:pt>
                <c:pt idx="28">
                  <c:v>45200</c:v>
                </c:pt>
                <c:pt idx="29">
                  <c:v>45170</c:v>
                </c:pt>
                <c:pt idx="30">
                  <c:v>45139</c:v>
                </c:pt>
                <c:pt idx="31">
                  <c:v>45108</c:v>
                </c:pt>
                <c:pt idx="32">
                  <c:v>45078</c:v>
                </c:pt>
                <c:pt idx="33">
                  <c:v>45047</c:v>
                </c:pt>
                <c:pt idx="34">
                  <c:v>45017</c:v>
                </c:pt>
                <c:pt idx="35">
                  <c:v>44986</c:v>
                </c:pt>
                <c:pt idx="36">
                  <c:v>44958</c:v>
                </c:pt>
                <c:pt idx="37">
                  <c:v>44927</c:v>
                </c:pt>
                <c:pt idx="38">
                  <c:v>44896</c:v>
                </c:pt>
                <c:pt idx="39">
                  <c:v>44866</c:v>
                </c:pt>
                <c:pt idx="40">
                  <c:v>44835</c:v>
                </c:pt>
                <c:pt idx="41">
                  <c:v>44805</c:v>
                </c:pt>
                <c:pt idx="42">
                  <c:v>44774</c:v>
                </c:pt>
                <c:pt idx="43">
                  <c:v>44743</c:v>
                </c:pt>
                <c:pt idx="44">
                  <c:v>44713</c:v>
                </c:pt>
                <c:pt idx="45">
                  <c:v>44682</c:v>
                </c:pt>
                <c:pt idx="46">
                  <c:v>44652</c:v>
                </c:pt>
                <c:pt idx="47">
                  <c:v>44621</c:v>
                </c:pt>
                <c:pt idx="48">
                  <c:v>44593</c:v>
                </c:pt>
                <c:pt idx="49">
                  <c:v>44562</c:v>
                </c:pt>
                <c:pt idx="50">
                  <c:v>44531</c:v>
                </c:pt>
                <c:pt idx="51">
                  <c:v>44501</c:v>
                </c:pt>
                <c:pt idx="52">
                  <c:v>44470</c:v>
                </c:pt>
                <c:pt idx="53">
                  <c:v>44440</c:v>
                </c:pt>
                <c:pt idx="54">
                  <c:v>44409</c:v>
                </c:pt>
                <c:pt idx="55">
                  <c:v>44378</c:v>
                </c:pt>
                <c:pt idx="56">
                  <c:v>44348</c:v>
                </c:pt>
                <c:pt idx="57">
                  <c:v>44317</c:v>
                </c:pt>
                <c:pt idx="58">
                  <c:v>44287</c:v>
                </c:pt>
                <c:pt idx="59">
                  <c:v>44256</c:v>
                </c:pt>
                <c:pt idx="60">
                  <c:v>44228</c:v>
                </c:pt>
                <c:pt idx="61">
                  <c:v>44197</c:v>
                </c:pt>
                <c:pt idx="62">
                  <c:v>44166</c:v>
                </c:pt>
                <c:pt idx="63">
                  <c:v>44136</c:v>
                </c:pt>
                <c:pt idx="64">
                  <c:v>44105</c:v>
                </c:pt>
                <c:pt idx="65">
                  <c:v>44075</c:v>
                </c:pt>
                <c:pt idx="66">
                  <c:v>44044</c:v>
                </c:pt>
                <c:pt idx="67">
                  <c:v>44013</c:v>
                </c:pt>
                <c:pt idx="68">
                  <c:v>43983</c:v>
                </c:pt>
                <c:pt idx="69">
                  <c:v>43952</c:v>
                </c:pt>
                <c:pt idx="70">
                  <c:v>43922</c:v>
                </c:pt>
                <c:pt idx="71">
                  <c:v>43891</c:v>
                </c:pt>
                <c:pt idx="72">
                  <c:v>43862</c:v>
                </c:pt>
                <c:pt idx="73">
                  <c:v>43831</c:v>
                </c:pt>
                <c:pt idx="74">
                  <c:v>43800</c:v>
                </c:pt>
                <c:pt idx="75">
                  <c:v>43770</c:v>
                </c:pt>
                <c:pt idx="76">
                  <c:v>43739</c:v>
                </c:pt>
                <c:pt idx="77">
                  <c:v>43709</c:v>
                </c:pt>
                <c:pt idx="78">
                  <c:v>43678</c:v>
                </c:pt>
                <c:pt idx="79">
                  <c:v>43647</c:v>
                </c:pt>
                <c:pt idx="80">
                  <c:v>43617</c:v>
                </c:pt>
                <c:pt idx="81">
                  <c:v>43586</c:v>
                </c:pt>
                <c:pt idx="82">
                  <c:v>43556</c:v>
                </c:pt>
                <c:pt idx="83">
                  <c:v>43525</c:v>
                </c:pt>
                <c:pt idx="84">
                  <c:v>43497</c:v>
                </c:pt>
                <c:pt idx="85">
                  <c:v>43466</c:v>
                </c:pt>
                <c:pt idx="86">
                  <c:v>43435</c:v>
                </c:pt>
                <c:pt idx="87">
                  <c:v>43405</c:v>
                </c:pt>
                <c:pt idx="88">
                  <c:v>43374</c:v>
                </c:pt>
                <c:pt idx="89">
                  <c:v>43344</c:v>
                </c:pt>
                <c:pt idx="90">
                  <c:v>43313</c:v>
                </c:pt>
                <c:pt idx="91">
                  <c:v>43282</c:v>
                </c:pt>
                <c:pt idx="92">
                  <c:v>43252</c:v>
                </c:pt>
                <c:pt idx="93">
                  <c:v>43221</c:v>
                </c:pt>
                <c:pt idx="94">
                  <c:v>43191</c:v>
                </c:pt>
                <c:pt idx="95">
                  <c:v>43160</c:v>
                </c:pt>
                <c:pt idx="96">
                  <c:v>43132</c:v>
                </c:pt>
                <c:pt idx="97">
                  <c:v>43101</c:v>
                </c:pt>
                <c:pt idx="98">
                  <c:v>43070</c:v>
                </c:pt>
                <c:pt idx="99">
                  <c:v>43040</c:v>
                </c:pt>
                <c:pt idx="100">
                  <c:v>43009</c:v>
                </c:pt>
                <c:pt idx="101">
                  <c:v>42979</c:v>
                </c:pt>
                <c:pt idx="102">
                  <c:v>42948</c:v>
                </c:pt>
                <c:pt idx="103">
                  <c:v>42917</c:v>
                </c:pt>
                <c:pt idx="104">
                  <c:v>42887</c:v>
                </c:pt>
                <c:pt idx="105">
                  <c:v>42856</c:v>
                </c:pt>
                <c:pt idx="106">
                  <c:v>42826</c:v>
                </c:pt>
                <c:pt idx="107">
                  <c:v>42795</c:v>
                </c:pt>
                <c:pt idx="108">
                  <c:v>42767</c:v>
                </c:pt>
                <c:pt idx="109">
                  <c:v>42736</c:v>
                </c:pt>
                <c:pt idx="110">
                  <c:v>42705</c:v>
                </c:pt>
                <c:pt idx="111">
                  <c:v>42675</c:v>
                </c:pt>
                <c:pt idx="112">
                  <c:v>42644</c:v>
                </c:pt>
                <c:pt idx="113">
                  <c:v>42614</c:v>
                </c:pt>
                <c:pt idx="114">
                  <c:v>42583</c:v>
                </c:pt>
                <c:pt idx="115">
                  <c:v>42552</c:v>
                </c:pt>
                <c:pt idx="116">
                  <c:v>42522</c:v>
                </c:pt>
                <c:pt idx="117">
                  <c:v>42491</c:v>
                </c:pt>
                <c:pt idx="118">
                  <c:v>42461</c:v>
                </c:pt>
                <c:pt idx="119">
                  <c:v>42430</c:v>
                </c:pt>
                <c:pt idx="120">
                  <c:v>42401</c:v>
                </c:pt>
                <c:pt idx="121">
                  <c:v>42370</c:v>
                </c:pt>
                <c:pt idx="122">
                  <c:v>42339</c:v>
                </c:pt>
                <c:pt idx="123">
                  <c:v>42309</c:v>
                </c:pt>
                <c:pt idx="124">
                  <c:v>42278</c:v>
                </c:pt>
                <c:pt idx="125">
                  <c:v>42248</c:v>
                </c:pt>
                <c:pt idx="126">
                  <c:v>42217</c:v>
                </c:pt>
                <c:pt idx="127">
                  <c:v>42186</c:v>
                </c:pt>
                <c:pt idx="128">
                  <c:v>42156</c:v>
                </c:pt>
                <c:pt idx="129">
                  <c:v>42125</c:v>
                </c:pt>
                <c:pt idx="130">
                  <c:v>42095</c:v>
                </c:pt>
                <c:pt idx="131">
                  <c:v>42064</c:v>
                </c:pt>
                <c:pt idx="132">
                  <c:v>42036</c:v>
                </c:pt>
                <c:pt idx="133">
                  <c:v>42005</c:v>
                </c:pt>
                <c:pt idx="134">
                  <c:v>41974</c:v>
                </c:pt>
                <c:pt idx="135">
                  <c:v>41944</c:v>
                </c:pt>
                <c:pt idx="136">
                  <c:v>41913</c:v>
                </c:pt>
                <c:pt idx="137">
                  <c:v>41883</c:v>
                </c:pt>
                <c:pt idx="138">
                  <c:v>41852</c:v>
                </c:pt>
                <c:pt idx="139">
                  <c:v>41821</c:v>
                </c:pt>
                <c:pt idx="140">
                  <c:v>41791</c:v>
                </c:pt>
                <c:pt idx="141">
                  <c:v>41760</c:v>
                </c:pt>
                <c:pt idx="142">
                  <c:v>41730</c:v>
                </c:pt>
                <c:pt idx="143">
                  <c:v>41699</c:v>
                </c:pt>
                <c:pt idx="144">
                  <c:v>41671</c:v>
                </c:pt>
                <c:pt idx="145">
                  <c:v>41640</c:v>
                </c:pt>
                <c:pt idx="146">
                  <c:v>41609</c:v>
                </c:pt>
                <c:pt idx="147">
                  <c:v>41579</c:v>
                </c:pt>
                <c:pt idx="148">
                  <c:v>41548</c:v>
                </c:pt>
                <c:pt idx="149">
                  <c:v>41518</c:v>
                </c:pt>
                <c:pt idx="150">
                  <c:v>41487</c:v>
                </c:pt>
                <c:pt idx="151">
                  <c:v>41456</c:v>
                </c:pt>
                <c:pt idx="152">
                  <c:v>41426</c:v>
                </c:pt>
                <c:pt idx="153">
                  <c:v>41395</c:v>
                </c:pt>
                <c:pt idx="154">
                  <c:v>41365</c:v>
                </c:pt>
                <c:pt idx="155">
                  <c:v>41334</c:v>
                </c:pt>
                <c:pt idx="156">
                  <c:v>41306</c:v>
                </c:pt>
                <c:pt idx="157">
                  <c:v>41275</c:v>
                </c:pt>
                <c:pt idx="158">
                  <c:v>41244</c:v>
                </c:pt>
                <c:pt idx="159">
                  <c:v>41214</c:v>
                </c:pt>
                <c:pt idx="160">
                  <c:v>41183</c:v>
                </c:pt>
                <c:pt idx="161">
                  <c:v>41153</c:v>
                </c:pt>
                <c:pt idx="162">
                  <c:v>41122</c:v>
                </c:pt>
                <c:pt idx="163">
                  <c:v>41091</c:v>
                </c:pt>
                <c:pt idx="164">
                  <c:v>41061</c:v>
                </c:pt>
                <c:pt idx="165">
                  <c:v>41030</c:v>
                </c:pt>
                <c:pt idx="166">
                  <c:v>41000</c:v>
                </c:pt>
                <c:pt idx="167">
                  <c:v>40969</c:v>
                </c:pt>
                <c:pt idx="168">
                  <c:v>40940</c:v>
                </c:pt>
                <c:pt idx="169">
                  <c:v>40909</c:v>
                </c:pt>
                <c:pt idx="170">
                  <c:v>40878</c:v>
                </c:pt>
                <c:pt idx="171">
                  <c:v>40848</c:v>
                </c:pt>
                <c:pt idx="172">
                  <c:v>40817</c:v>
                </c:pt>
                <c:pt idx="173">
                  <c:v>40787</c:v>
                </c:pt>
                <c:pt idx="174">
                  <c:v>40756</c:v>
                </c:pt>
                <c:pt idx="175">
                  <c:v>40725</c:v>
                </c:pt>
                <c:pt idx="176">
                  <c:v>40695</c:v>
                </c:pt>
                <c:pt idx="177">
                  <c:v>40664</c:v>
                </c:pt>
                <c:pt idx="178">
                  <c:v>40634</c:v>
                </c:pt>
                <c:pt idx="179">
                  <c:v>40603</c:v>
                </c:pt>
                <c:pt idx="180">
                  <c:v>40575</c:v>
                </c:pt>
                <c:pt idx="181">
                  <c:v>40544</c:v>
                </c:pt>
                <c:pt idx="182">
                  <c:v>40513</c:v>
                </c:pt>
                <c:pt idx="183">
                  <c:v>40483</c:v>
                </c:pt>
                <c:pt idx="184">
                  <c:v>40452</c:v>
                </c:pt>
                <c:pt idx="185">
                  <c:v>40422</c:v>
                </c:pt>
                <c:pt idx="186">
                  <c:v>40391</c:v>
                </c:pt>
                <c:pt idx="187">
                  <c:v>40360</c:v>
                </c:pt>
                <c:pt idx="188">
                  <c:v>40330</c:v>
                </c:pt>
                <c:pt idx="189">
                  <c:v>40299</c:v>
                </c:pt>
                <c:pt idx="190">
                  <c:v>40269</c:v>
                </c:pt>
                <c:pt idx="191">
                  <c:v>40238</c:v>
                </c:pt>
                <c:pt idx="192">
                  <c:v>40210</c:v>
                </c:pt>
                <c:pt idx="193">
                  <c:v>40179</c:v>
                </c:pt>
                <c:pt idx="194">
                  <c:v>40148</c:v>
                </c:pt>
                <c:pt idx="195">
                  <c:v>40118</c:v>
                </c:pt>
                <c:pt idx="196">
                  <c:v>40087</c:v>
                </c:pt>
                <c:pt idx="197">
                  <c:v>40057</c:v>
                </c:pt>
                <c:pt idx="198">
                  <c:v>40026</c:v>
                </c:pt>
                <c:pt idx="199">
                  <c:v>39995</c:v>
                </c:pt>
                <c:pt idx="200">
                  <c:v>39965</c:v>
                </c:pt>
                <c:pt idx="201">
                  <c:v>39934</c:v>
                </c:pt>
                <c:pt idx="202">
                  <c:v>39904</c:v>
                </c:pt>
                <c:pt idx="203">
                  <c:v>39873</c:v>
                </c:pt>
                <c:pt idx="204">
                  <c:v>39845</c:v>
                </c:pt>
                <c:pt idx="205">
                  <c:v>39814</c:v>
                </c:pt>
                <c:pt idx="206">
                  <c:v>39783</c:v>
                </c:pt>
                <c:pt idx="207">
                  <c:v>39753</c:v>
                </c:pt>
                <c:pt idx="208">
                  <c:v>39722</c:v>
                </c:pt>
                <c:pt idx="209">
                  <c:v>39692</c:v>
                </c:pt>
                <c:pt idx="210">
                  <c:v>39661</c:v>
                </c:pt>
                <c:pt idx="211">
                  <c:v>39630</c:v>
                </c:pt>
                <c:pt idx="212">
                  <c:v>39600</c:v>
                </c:pt>
                <c:pt idx="213">
                  <c:v>39569</c:v>
                </c:pt>
                <c:pt idx="214">
                  <c:v>39539</c:v>
                </c:pt>
                <c:pt idx="215">
                  <c:v>39508</c:v>
                </c:pt>
                <c:pt idx="216">
                  <c:v>39479</c:v>
                </c:pt>
                <c:pt idx="217">
                  <c:v>39448</c:v>
                </c:pt>
                <c:pt idx="218">
                  <c:v>39417</c:v>
                </c:pt>
                <c:pt idx="219">
                  <c:v>39387</c:v>
                </c:pt>
                <c:pt idx="220">
                  <c:v>39356</c:v>
                </c:pt>
                <c:pt idx="221">
                  <c:v>39326</c:v>
                </c:pt>
                <c:pt idx="222">
                  <c:v>39295</c:v>
                </c:pt>
                <c:pt idx="223">
                  <c:v>39264</c:v>
                </c:pt>
                <c:pt idx="224">
                  <c:v>39234</c:v>
                </c:pt>
                <c:pt idx="225">
                  <c:v>39203</c:v>
                </c:pt>
                <c:pt idx="226">
                  <c:v>39173</c:v>
                </c:pt>
                <c:pt idx="227">
                  <c:v>39142</c:v>
                </c:pt>
                <c:pt idx="228">
                  <c:v>39114</c:v>
                </c:pt>
                <c:pt idx="229">
                  <c:v>39083</c:v>
                </c:pt>
                <c:pt idx="230">
                  <c:v>39052</c:v>
                </c:pt>
                <c:pt idx="231">
                  <c:v>39022</c:v>
                </c:pt>
                <c:pt idx="232">
                  <c:v>38991</c:v>
                </c:pt>
                <c:pt idx="233">
                  <c:v>38961</c:v>
                </c:pt>
                <c:pt idx="234">
                  <c:v>38930</c:v>
                </c:pt>
                <c:pt idx="235">
                  <c:v>38899</c:v>
                </c:pt>
                <c:pt idx="236">
                  <c:v>38869</c:v>
                </c:pt>
                <c:pt idx="237">
                  <c:v>38838</c:v>
                </c:pt>
                <c:pt idx="238">
                  <c:v>38808</c:v>
                </c:pt>
                <c:pt idx="239">
                  <c:v>38777</c:v>
                </c:pt>
                <c:pt idx="240">
                  <c:v>38749</c:v>
                </c:pt>
                <c:pt idx="241">
                  <c:v>38718</c:v>
                </c:pt>
                <c:pt idx="242">
                  <c:v>38687</c:v>
                </c:pt>
                <c:pt idx="243">
                  <c:v>38657</c:v>
                </c:pt>
                <c:pt idx="244">
                  <c:v>38626</c:v>
                </c:pt>
                <c:pt idx="245">
                  <c:v>38596</c:v>
                </c:pt>
                <c:pt idx="246">
                  <c:v>38565</c:v>
                </c:pt>
                <c:pt idx="247">
                  <c:v>38534</c:v>
                </c:pt>
                <c:pt idx="248">
                  <c:v>38504</c:v>
                </c:pt>
                <c:pt idx="249">
                  <c:v>38473</c:v>
                </c:pt>
                <c:pt idx="250">
                  <c:v>38443</c:v>
                </c:pt>
                <c:pt idx="251">
                  <c:v>38412</c:v>
                </c:pt>
                <c:pt idx="252">
                  <c:v>38384</c:v>
                </c:pt>
                <c:pt idx="253">
                  <c:v>38353</c:v>
                </c:pt>
                <c:pt idx="254">
                  <c:v>38322</c:v>
                </c:pt>
                <c:pt idx="255">
                  <c:v>38292</c:v>
                </c:pt>
                <c:pt idx="256">
                  <c:v>38261</c:v>
                </c:pt>
                <c:pt idx="257">
                  <c:v>38231</c:v>
                </c:pt>
                <c:pt idx="258">
                  <c:v>38200</c:v>
                </c:pt>
                <c:pt idx="259">
                  <c:v>38169</c:v>
                </c:pt>
                <c:pt idx="260">
                  <c:v>38139</c:v>
                </c:pt>
                <c:pt idx="261">
                  <c:v>38108</c:v>
                </c:pt>
                <c:pt idx="262">
                  <c:v>38078</c:v>
                </c:pt>
                <c:pt idx="263">
                  <c:v>38047</c:v>
                </c:pt>
                <c:pt idx="264">
                  <c:v>38018</c:v>
                </c:pt>
                <c:pt idx="265">
                  <c:v>37987</c:v>
                </c:pt>
                <c:pt idx="266">
                  <c:v>37956</c:v>
                </c:pt>
                <c:pt idx="267">
                  <c:v>37926</c:v>
                </c:pt>
                <c:pt idx="268">
                  <c:v>37895</c:v>
                </c:pt>
                <c:pt idx="269">
                  <c:v>37865</c:v>
                </c:pt>
                <c:pt idx="270">
                  <c:v>37834</c:v>
                </c:pt>
                <c:pt idx="271">
                  <c:v>37803</c:v>
                </c:pt>
                <c:pt idx="272">
                  <c:v>37773</c:v>
                </c:pt>
                <c:pt idx="273">
                  <c:v>37742</c:v>
                </c:pt>
                <c:pt idx="274">
                  <c:v>37712</c:v>
                </c:pt>
                <c:pt idx="275">
                  <c:v>37681</c:v>
                </c:pt>
                <c:pt idx="276">
                  <c:v>37653</c:v>
                </c:pt>
                <c:pt idx="277">
                  <c:v>37622</c:v>
                </c:pt>
                <c:pt idx="278">
                  <c:v>37591</c:v>
                </c:pt>
                <c:pt idx="279">
                  <c:v>37561</c:v>
                </c:pt>
                <c:pt idx="280">
                  <c:v>37530</c:v>
                </c:pt>
                <c:pt idx="281">
                  <c:v>37500</c:v>
                </c:pt>
                <c:pt idx="282">
                  <c:v>37469</c:v>
                </c:pt>
                <c:pt idx="283">
                  <c:v>37438</c:v>
                </c:pt>
                <c:pt idx="284">
                  <c:v>37408</c:v>
                </c:pt>
                <c:pt idx="285">
                  <c:v>37377</c:v>
                </c:pt>
                <c:pt idx="286">
                  <c:v>37347</c:v>
                </c:pt>
                <c:pt idx="287">
                  <c:v>37316</c:v>
                </c:pt>
                <c:pt idx="288">
                  <c:v>37288</c:v>
                </c:pt>
                <c:pt idx="289">
                  <c:v>37257</c:v>
                </c:pt>
                <c:pt idx="290">
                  <c:v>37226</c:v>
                </c:pt>
                <c:pt idx="291">
                  <c:v>37196</c:v>
                </c:pt>
                <c:pt idx="292">
                  <c:v>37165</c:v>
                </c:pt>
                <c:pt idx="293">
                  <c:v>37135</c:v>
                </c:pt>
                <c:pt idx="294">
                  <c:v>37104</c:v>
                </c:pt>
                <c:pt idx="295">
                  <c:v>37073</c:v>
                </c:pt>
                <c:pt idx="296">
                  <c:v>37043</c:v>
                </c:pt>
                <c:pt idx="297">
                  <c:v>37012</c:v>
                </c:pt>
                <c:pt idx="298">
                  <c:v>36982</c:v>
                </c:pt>
                <c:pt idx="299">
                  <c:v>36951</c:v>
                </c:pt>
                <c:pt idx="300">
                  <c:v>36923</c:v>
                </c:pt>
                <c:pt idx="301">
                  <c:v>36892</c:v>
                </c:pt>
                <c:pt idx="302">
                  <c:v>36861</c:v>
                </c:pt>
                <c:pt idx="303">
                  <c:v>36831</c:v>
                </c:pt>
                <c:pt idx="304">
                  <c:v>36800</c:v>
                </c:pt>
                <c:pt idx="305">
                  <c:v>36770</c:v>
                </c:pt>
                <c:pt idx="306">
                  <c:v>36739</c:v>
                </c:pt>
                <c:pt idx="307">
                  <c:v>36708</c:v>
                </c:pt>
                <c:pt idx="308">
                  <c:v>36678</c:v>
                </c:pt>
                <c:pt idx="309">
                  <c:v>36647</c:v>
                </c:pt>
                <c:pt idx="310">
                  <c:v>36617</c:v>
                </c:pt>
                <c:pt idx="311">
                  <c:v>36586</c:v>
                </c:pt>
                <c:pt idx="312">
                  <c:v>36557</c:v>
                </c:pt>
                <c:pt idx="313">
                  <c:v>36526</c:v>
                </c:pt>
                <c:pt idx="314">
                  <c:v>36495</c:v>
                </c:pt>
                <c:pt idx="315">
                  <c:v>36465</c:v>
                </c:pt>
                <c:pt idx="316">
                  <c:v>36434</c:v>
                </c:pt>
                <c:pt idx="317">
                  <c:v>36404</c:v>
                </c:pt>
                <c:pt idx="318">
                  <c:v>36373</c:v>
                </c:pt>
                <c:pt idx="319">
                  <c:v>36342</c:v>
                </c:pt>
                <c:pt idx="320">
                  <c:v>36312</c:v>
                </c:pt>
                <c:pt idx="321">
                  <c:v>36281</c:v>
                </c:pt>
                <c:pt idx="322">
                  <c:v>36251</c:v>
                </c:pt>
                <c:pt idx="323">
                  <c:v>36220</c:v>
                </c:pt>
                <c:pt idx="324">
                  <c:v>36192</c:v>
                </c:pt>
                <c:pt idx="325">
                  <c:v>36161</c:v>
                </c:pt>
                <c:pt idx="326">
                  <c:v>36130</c:v>
                </c:pt>
                <c:pt idx="327">
                  <c:v>36100</c:v>
                </c:pt>
                <c:pt idx="328">
                  <c:v>36069</c:v>
                </c:pt>
                <c:pt idx="329">
                  <c:v>36039</c:v>
                </c:pt>
                <c:pt idx="330">
                  <c:v>36008</c:v>
                </c:pt>
                <c:pt idx="331">
                  <c:v>35977</c:v>
                </c:pt>
                <c:pt idx="332">
                  <c:v>35947</c:v>
                </c:pt>
                <c:pt idx="333">
                  <c:v>35916</c:v>
                </c:pt>
                <c:pt idx="334">
                  <c:v>35886</c:v>
                </c:pt>
                <c:pt idx="335">
                  <c:v>35855</c:v>
                </c:pt>
                <c:pt idx="336">
                  <c:v>35827</c:v>
                </c:pt>
                <c:pt idx="337">
                  <c:v>35796</c:v>
                </c:pt>
                <c:pt idx="338">
                  <c:v>35765</c:v>
                </c:pt>
                <c:pt idx="339">
                  <c:v>35735</c:v>
                </c:pt>
                <c:pt idx="340">
                  <c:v>35704</c:v>
                </c:pt>
                <c:pt idx="341">
                  <c:v>35674</c:v>
                </c:pt>
                <c:pt idx="342">
                  <c:v>35643</c:v>
                </c:pt>
                <c:pt idx="343">
                  <c:v>35612</c:v>
                </c:pt>
                <c:pt idx="344">
                  <c:v>35582</c:v>
                </c:pt>
                <c:pt idx="345">
                  <c:v>35551</c:v>
                </c:pt>
                <c:pt idx="346">
                  <c:v>35521</c:v>
                </c:pt>
                <c:pt idx="347">
                  <c:v>35490</c:v>
                </c:pt>
                <c:pt idx="348">
                  <c:v>35462</c:v>
                </c:pt>
                <c:pt idx="349">
                  <c:v>35431</c:v>
                </c:pt>
                <c:pt idx="350">
                  <c:v>35400</c:v>
                </c:pt>
                <c:pt idx="351">
                  <c:v>35370</c:v>
                </c:pt>
                <c:pt idx="352">
                  <c:v>35339</c:v>
                </c:pt>
                <c:pt idx="353">
                  <c:v>35309</c:v>
                </c:pt>
                <c:pt idx="354">
                  <c:v>35278</c:v>
                </c:pt>
                <c:pt idx="355">
                  <c:v>35247</c:v>
                </c:pt>
                <c:pt idx="356">
                  <c:v>35217</c:v>
                </c:pt>
                <c:pt idx="357">
                  <c:v>35186</c:v>
                </c:pt>
                <c:pt idx="358">
                  <c:v>35156</c:v>
                </c:pt>
                <c:pt idx="359">
                  <c:v>35125</c:v>
                </c:pt>
                <c:pt idx="360">
                  <c:v>35096</c:v>
                </c:pt>
                <c:pt idx="361">
                  <c:v>35065</c:v>
                </c:pt>
                <c:pt idx="362">
                  <c:v>35034</c:v>
                </c:pt>
                <c:pt idx="363">
                  <c:v>35004</c:v>
                </c:pt>
                <c:pt idx="364">
                  <c:v>34973</c:v>
                </c:pt>
                <c:pt idx="365">
                  <c:v>34943</c:v>
                </c:pt>
                <c:pt idx="366">
                  <c:v>34912</c:v>
                </c:pt>
                <c:pt idx="367">
                  <c:v>34881</c:v>
                </c:pt>
                <c:pt idx="368">
                  <c:v>34851</c:v>
                </c:pt>
                <c:pt idx="369">
                  <c:v>34820</c:v>
                </c:pt>
                <c:pt idx="370">
                  <c:v>34790</c:v>
                </c:pt>
                <c:pt idx="371">
                  <c:v>34759</c:v>
                </c:pt>
                <c:pt idx="372">
                  <c:v>34731</c:v>
                </c:pt>
                <c:pt idx="373">
                  <c:v>34700</c:v>
                </c:pt>
                <c:pt idx="374">
                  <c:v>34669</c:v>
                </c:pt>
                <c:pt idx="375">
                  <c:v>34639</c:v>
                </c:pt>
                <c:pt idx="376">
                  <c:v>34608</c:v>
                </c:pt>
                <c:pt idx="377">
                  <c:v>34578</c:v>
                </c:pt>
                <c:pt idx="378">
                  <c:v>34547</c:v>
                </c:pt>
                <c:pt idx="379">
                  <c:v>34516</c:v>
                </c:pt>
                <c:pt idx="380">
                  <c:v>34486</c:v>
                </c:pt>
                <c:pt idx="381">
                  <c:v>34455</c:v>
                </c:pt>
                <c:pt idx="382">
                  <c:v>34425</c:v>
                </c:pt>
                <c:pt idx="383">
                  <c:v>34394</c:v>
                </c:pt>
                <c:pt idx="384">
                  <c:v>34366</c:v>
                </c:pt>
                <c:pt idx="385">
                  <c:v>34335</c:v>
                </c:pt>
                <c:pt idx="386">
                  <c:v>34304</c:v>
                </c:pt>
                <c:pt idx="387">
                  <c:v>34274</c:v>
                </c:pt>
                <c:pt idx="388">
                  <c:v>34243</c:v>
                </c:pt>
                <c:pt idx="389">
                  <c:v>34213</c:v>
                </c:pt>
                <c:pt idx="390">
                  <c:v>34182</c:v>
                </c:pt>
                <c:pt idx="391">
                  <c:v>34151</c:v>
                </c:pt>
                <c:pt idx="392">
                  <c:v>34121</c:v>
                </c:pt>
                <c:pt idx="393">
                  <c:v>34090</c:v>
                </c:pt>
                <c:pt idx="394">
                  <c:v>34060</c:v>
                </c:pt>
                <c:pt idx="395">
                  <c:v>34029</c:v>
                </c:pt>
                <c:pt idx="396">
                  <c:v>34001</c:v>
                </c:pt>
                <c:pt idx="397">
                  <c:v>33970</c:v>
                </c:pt>
                <c:pt idx="398">
                  <c:v>33939</c:v>
                </c:pt>
                <c:pt idx="399">
                  <c:v>33909</c:v>
                </c:pt>
                <c:pt idx="400">
                  <c:v>33878</c:v>
                </c:pt>
                <c:pt idx="401">
                  <c:v>33848</c:v>
                </c:pt>
                <c:pt idx="402">
                  <c:v>33817</c:v>
                </c:pt>
                <c:pt idx="403">
                  <c:v>33786</c:v>
                </c:pt>
                <c:pt idx="404">
                  <c:v>33756</c:v>
                </c:pt>
                <c:pt idx="405">
                  <c:v>33725</c:v>
                </c:pt>
                <c:pt idx="406">
                  <c:v>33695</c:v>
                </c:pt>
                <c:pt idx="407">
                  <c:v>33664</c:v>
                </c:pt>
                <c:pt idx="408">
                  <c:v>33635</c:v>
                </c:pt>
                <c:pt idx="409">
                  <c:v>33604</c:v>
                </c:pt>
                <c:pt idx="410">
                  <c:v>33573</c:v>
                </c:pt>
                <c:pt idx="411">
                  <c:v>33543</c:v>
                </c:pt>
                <c:pt idx="412">
                  <c:v>33512</c:v>
                </c:pt>
                <c:pt idx="413">
                  <c:v>33482</c:v>
                </c:pt>
                <c:pt idx="414">
                  <c:v>33451</c:v>
                </c:pt>
                <c:pt idx="415">
                  <c:v>33420</c:v>
                </c:pt>
                <c:pt idx="416">
                  <c:v>33390</c:v>
                </c:pt>
                <c:pt idx="417">
                  <c:v>33359</c:v>
                </c:pt>
                <c:pt idx="418">
                  <c:v>33329</c:v>
                </c:pt>
                <c:pt idx="419">
                  <c:v>33298</c:v>
                </c:pt>
                <c:pt idx="420">
                  <c:v>33270</c:v>
                </c:pt>
              </c:numCache>
            </c:numRef>
          </c:cat>
          <c:val>
            <c:numRef>
              <c:f>'Unemployment rate'!$B$3:$B$423</c:f>
              <c:numCache>
                <c:formatCode>0.00</c:formatCode>
                <c:ptCount val="421"/>
                <c:pt idx="0">
                  <c:v>0.96724826946717357</c:v>
                </c:pt>
                <c:pt idx="1">
                  <c:v>1.0117943713168642</c:v>
                </c:pt>
                <c:pt idx="2">
                  <c:v>1.0141186997629918</c:v>
                </c:pt>
                <c:pt idx="3">
                  <c:v>1.0162566697566513</c:v>
                </c:pt>
                <c:pt idx="4">
                  <c:v>1.0035777193345163</c:v>
                </c:pt>
                <c:pt idx="5">
                  <c:v>0.99906353842126794</c:v>
                </c:pt>
                <c:pt idx="6">
                  <c:v>0.99457201563115938</c:v>
                </c:pt>
                <c:pt idx="7">
                  <c:v>1.0293127541462015</c:v>
                </c:pt>
                <c:pt idx="8">
                  <c:v>1.0408990767525792</c:v>
                </c:pt>
                <c:pt idx="9">
                  <c:v>1.0380503522551714</c:v>
                </c:pt>
                <c:pt idx="10">
                  <c:v>1.0241863386335215</c:v>
                </c:pt>
                <c:pt idx="11">
                  <c:v>1.0240469413572126</c:v>
                </c:pt>
                <c:pt idx="12">
                  <c:v>1.0210182745270233</c:v>
                </c:pt>
                <c:pt idx="13">
                  <c:v>0.99872211027980506</c:v>
                </c:pt>
                <c:pt idx="14">
                  <c:v>0.98827482201417061</c:v>
                </c:pt>
                <c:pt idx="15">
                  <c:v>1.0148113911739611</c:v>
                </c:pt>
                <c:pt idx="16">
                  <c:v>1.0162025977339637</c:v>
                </c:pt>
                <c:pt idx="17">
                  <c:v>1.0135883590754706</c:v>
                </c:pt>
                <c:pt idx="18">
                  <c:v>1.0169816665514926</c:v>
                </c:pt>
                <c:pt idx="19">
                  <c:v>0.96930493163646869</c:v>
                </c:pt>
                <c:pt idx="20">
                  <c:v>0.95849063358940745</c:v>
                </c:pt>
                <c:pt idx="21">
                  <c:v>0.94115004807969738</c:v>
                </c:pt>
                <c:pt idx="22">
                  <c:v>0.93942402094724964</c:v>
                </c:pt>
                <c:pt idx="23">
                  <c:v>0.94991792218856796</c:v>
                </c:pt>
                <c:pt idx="24">
                  <c:v>0.94103414478040948</c:v>
                </c:pt>
                <c:pt idx="25">
                  <c:v>0.93712795431782092</c:v>
                </c:pt>
                <c:pt idx="26">
                  <c:v>0.95802074664656511</c:v>
                </c:pt>
                <c:pt idx="27">
                  <c:v>0.93056309918351765</c:v>
                </c:pt>
                <c:pt idx="28">
                  <c:v>0.94824107179564632</c:v>
                </c:pt>
                <c:pt idx="29">
                  <c:v>0.96857014533560026</c:v>
                </c:pt>
                <c:pt idx="30">
                  <c:v>0.96902051433585956</c:v>
                </c:pt>
                <c:pt idx="31">
                  <c:v>0.97224414875677567</c:v>
                </c:pt>
                <c:pt idx="32">
                  <c:v>0.96928801328716874</c:v>
                </c:pt>
                <c:pt idx="33">
                  <c:v>0.97247532091649369</c:v>
                </c:pt>
                <c:pt idx="34">
                  <c:v>0.97921495665547009</c:v>
                </c:pt>
                <c:pt idx="35">
                  <c:v>0.99027980722627573</c:v>
                </c:pt>
                <c:pt idx="36">
                  <c:v>0.99894214612321464</c:v>
                </c:pt>
                <c:pt idx="37">
                  <c:v>1.0037110003915155</c:v>
                </c:pt>
                <c:pt idx="38">
                  <c:v>0.99310562622254495</c:v>
                </c:pt>
                <c:pt idx="39">
                  <c:v>0.99714691604344063</c:v>
                </c:pt>
                <c:pt idx="40">
                  <c:v>1.0100623665294131</c:v>
                </c:pt>
                <c:pt idx="41">
                  <c:v>1.0235640129704193</c:v>
                </c:pt>
                <c:pt idx="42">
                  <c:v>1.0307838416075641</c:v>
                </c:pt>
                <c:pt idx="43">
                  <c:v>1.0340687282771628</c:v>
                </c:pt>
                <c:pt idx="44">
                  <c:v>1.0542725909333175</c:v>
                </c:pt>
                <c:pt idx="45">
                  <c:v>1.0729810715632273</c:v>
                </c:pt>
                <c:pt idx="46">
                  <c:v>1.0741414375474441</c:v>
                </c:pt>
                <c:pt idx="47">
                  <c:v>1.0654024217955687</c:v>
                </c:pt>
                <c:pt idx="48">
                  <c:v>1.0830188817954087</c:v>
                </c:pt>
                <c:pt idx="49">
                  <c:v>1.0802666598081283</c:v>
                </c:pt>
                <c:pt idx="50">
                  <c:v>1.0951779936312949</c:v>
                </c:pt>
                <c:pt idx="51">
                  <c:v>1.1121344399791924</c:v>
                </c:pt>
                <c:pt idx="52">
                  <c:v>1.1213383392817393</c:v>
                </c:pt>
                <c:pt idx="53">
                  <c:v>1.1294324397283249</c:v>
                </c:pt>
                <c:pt idx="54">
                  <c:v>1.1017743131031001</c:v>
                </c:pt>
                <c:pt idx="55">
                  <c:v>1.1032004157173048</c:v>
                </c:pt>
                <c:pt idx="56">
                  <c:v>1.1090932137885936</c:v>
                </c:pt>
                <c:pt idx="57">
                  <c:v>1.1339810015156828</c:v>
                </c:pt>
                <c:pt idx="58">
                  <c:v>1.1610735250648507</c:v>
                </c:pt>
                <c:pt idx="59">
                  <c:v>1.228589774618092</c:v>
                </c:pt>
                <c:pt idx="60">
                  <c:v>1.2512235040631297</c:v>
                </c:pt>
                <c:pt idx="61">
                  <c:v>1.2751712715621992</c:v>
                </c:pt>
                <c:pt idx="62">
                  <c:v>1.2829014610747165</c:v>
                </c:pt>
                <c:pt idx="63">
                  <c:v>1.2724135221882333</c:v>
                </c:pt>
                <c:pt idx="64">
                  <c:v>1.2211159680443513</c:v>
                </c:pt>
                <c:pt idx="65">
                  <c:v>1.18057998298425</c:v>
                </c:pt>
                <c:pt idx="66">
                  <c:v>1.203785379655339</c:v>
                </c:pt>
                <c:pt idx="67">
                  <c:v>1.2263814646160616</c:v>
                </c:pt>
                <c:pt idx="68">
                  <c:v>1.238803200100002</c:v>
                </c:pt>
                <c:pt idx="69">
                  <c:v>1.2328412589179978</c:v>
                </c:pt>
                <c:pt idx="70">
                  <c:v>1.2092686799461114</c:v>
                </c:pt>
                <c:pt idx="71">
                  <c:v>1.1399604547966879</c:v>
                </c:pt>
                <c:pt idx="72">
                  <c:v>1.1047513161419231</c:v>
                </c:pt>
                <c:pt idx="73">
                  <c:v>1.0844571281795119</c:v>
                </c:pt>
                <c:pt idx="74">
                  <c:v>1.0821246213544167</c:v>
                </c:pt>
                <c:pt idx="75">
                  <c:v>1.0707096337394071</c:v>
                </c:pt>
                <c:pt idx="76">
                  <c:v>1.0951607920599438</c:v>
                </c:pt>
                <c:pt idx="77">
                  <c:v>1.1031272987552634</c:v>
                </c:pt>
                <c:pt idx="78">
                  <c:v>1.09182081794801</c:v>
                </c:pt>
                <c:pt idx="79">
                  <c:v>1.0717494262404028</c:v>
                </c:pt>
                <c:pt idx="80">
                  <c:v>1.0543021596494508</c:v>
                </c:pt>
                <c:pt idx="81">
                  <c:v>1.0599873838849014</c:v>
                </c:pt>
                <c:pt idx="82">
                  <c:v>1.0637122597425268</c:v>
                </c:pt>
                <c:pt idx="83">
                  <c:v>1.0664878605891956</c:v>
                </c:pt>
                <c:pt idx="84">
                  <c:v>1.0808078426969159</c:v>
                </c:pt>
                <c:pt idx="85">
                  <c:v>1.0885637241580335</c:v>
                </c:pt>
                <c:pt idx="86">
                  <c:v>1.0940665603742072</c:v>
                </c:pt>
                <c:pt idx="87">
                  <c:v>1.1195768244226754</c:v>
                </c:pt>
                <c:pt idx="88">
                  <c:v>1.1143073394584964</c:v>
                </c:pt>
                <c:pt idx="89">
                  <c:v>1.1490183865540891</c:v>
                </c:pt>
                <c:pt idx="90">
                  <c:v>1.1920022152523011</c:v>
                </c:pt>
                <c:pt idx="91">
                  <c:v>1.2260819701091807</c:v>
                </c:pt>
                <c:pt idx="92">
                  <c:v>1.2461405082629995</c:v>
                </c:pt>
                <c:pt idx="93">
                  <c:v>1.2614467129971596</c:v>
                </c:pt>
                <c:pt idx="94">
                  <c:v>1.275687155672582</c:v>
                </c:pt>
                <c:pt idx="95">
                  <c:v>1.3024756301635099</c:v>
                </c:pt>
                <c:pt idx="96">
                  <c:v>1.3131332380401202</c:v>
                </c:pt>
                <c:pt idx="97">
                  <c:v>1.3279333284352342</c:v>
                </c:pt>
                <c:pt idx="98">
                  <c:v>1.312647712412355</c:v>
                </c:pt>
                <c:pt idx="99">
                  <c:v>1.3169409754948092</c:v>
                </c:pt>
                <c:pt idx="100">
                  <c:v>1.3378983349217473</c:v>
                </c:pt>
                <c:pt idx="101">
                  <c:v>1.315051976218951</c:v>
                </c:pt>
                <c:pt idx="102">
                  <c:v>1.292070956896187</c:v>
                </c:pt>
                <c:pt idx="103">
                  <c:v>1.269660045655846</c:v>
                </c:pt>
                <c:pt idx="104">
                  <c:v>1.2594958701783401</c:v>
                </c:pt>
                <c:pt idx="105">
                  <c:v>1.2181645823543852</c:v>
                </c:pt>
                <c:pt idx="106">
                  <c:v>1.2002749978879508</c:v>
                </c:pt>
                <c:pt idx="107">
                  <c:v>1.1732172940410845</c:v>
                </c:pt>
                <c:pt idx="108">
                  <c:v>1.1672371633519476</c:v>
                </c:pt>
                <c:pt idx="109">
                  <c:v>1.1431572800950971</c:v>
                </c:pt>
                <c:pt idx="110">
                  <c:v>1.1596076622687801</c:v>
                </c:pt>
                <c:pt idx="111">
                  <c:v>1.148854068498889</c:v>
                </c:pt>
                <c:pt idx="112">
                  <c:v>1.1545538400662534</c:v>
                </c:pt>
                <c:pt idx="113">
                  <c:v>1.1568202977971991</c:v>
                </c:pt>
                <c:pt idx="114">
                  <c:v>1.1593289683414558</c:v>
                </c:pt>
                <c:pt idx="115">
                  <c:v>1.1719328717255657</c:v>
                </c:pt>
                <c:pt idx="116">
                  <c:v>1.1793854508627406</c:v>
                </c:pt>
                <c:pt idx="117">
                  <c:v>1.196453814860994</c:v>
                </c:pt>
                <c:pt idx="118">
                  <c:v>1.2170029960852777</c:v>
                </c:pt>
                <c:pt idx="119">
                  <c:v>1.2207840885459944</c:v>
                </c:pt>
                <c:pt idx="120">
                  <c:v>1.2319188542879664</c:v>
                </c:pt>
                <c:pt idx="121">
                  <c:v>1.2431240592177071</c:v>
                </c:pt>
                <c:pt idx="122">
                  <c:v>1.2532954806169798</c:v>
                </c:pt>
                <c:pt idx="123">
                  <c:v>1.2680033062862446</c:v>
                </c:pt>
                <c:pt idx="124">
                  <c:v>1.2634310565919502</c:v>
                </c:pt>
                <c:pt idx="125">
                  <c:v>1.2927781003130123</c:v>
                </c:pt>
                <c:pt idx="126">
                  <c:v>1.3390731169183656</c:v>
                </c:pt>
                <c:pt idx="127">
                  <c:v>1.3427662234243165</c:v>
                </c:pt>
                <c:pt idx="128">
                  <c:v>1.3408408608337843</c:v>
                </c:pt>
                <c:pt idx="129">
                  <c:v>1.3506029570807834</c:v>
                </c:pt>
                <c:pt idx="130">
                  <c:v>1.3553051230783331</c:v>
                </c:pt>
                <c:pt idx="131">
                  <c:v>1.3609494514017202</c:v>
                </c:pt>
                <c:pt idx="132">
                  <c:v>1.3751998576698057</c:v>
                </c:pt>
                <c:pt idx="133">
                  <c:v>1.4177686641737357</c:v>
                </c:pt>
                <c:pt idx="134">
                  <c:v>1.4237402255919756</c:v>
                </c:pt>
                <c:pt idx="135">
                  <c:v>1.4010169168933295</c:v>
                </c:pt>
                <c:pt idx="136">
                  <c:v>1.3921368909769563</c:v>
                </c:pt>
                <c:pt idx="137">
                  <c:v>1.37720746466098</c:v>
                </c:pt>
                <c:pt idx="138">
                  <c:v>1.3371207338698221</c:v>
                </c:pt>
                <c:pt idx="139">
                  <c:v>1.3398193086645724</c:v>
                </c:pt>
                <c:pt idx="140">
                  <c:v>1.3357990143282057</c:v>
                </c:pt>
                <c:pt idx="141">
                  <c:v>1.3435607076935747</c:v>
                </c:pt>
                <c:pt idx="142">
                  <c:v>1.3337118720791079</c:v>
                </c:pt>
                <c:pt idx="143">
                  <c:v>1.3406948170233584</c:v>
                </c:pt>
                <c:pt idx="144">
                  <c:v>1.3407425315108814</c:v>
                </c:pt>
                <c:pt idx="145">
                  <c:v>1.3276385096611367</c:v>
                </c:pt>
                <c:pt idx="146">
                  <c:v>1.2851678329068179</c:v>
                </c:pt>
                <c:pt idx="147">
                  <c:v>1.3061795431156176</c:v>
                </c:pt>
                <c:pt idx="148">
                  <c:v>1.2999429150714119</c:v>
                </c:pt>
                <c:pt idx="149">
                  <c:v>1.2896862918090695</c:v>
                </c:pt>
                <c:pt idx="150">
                  <c:v>1.3024262528426216</c:v>
                </c:pt>
                <c:pt idx="151">
                  <c:v>1.3044078548290801</c:v>
                </c:pt>
                <c:pt idx="152">
                  <c:v>1.320529910201458</c:v>
                </c:pt>
                <c:pt idx="153">
                  <c:v>1.3327915619870208</c:v>
                </c:pt>
                <c:pt idx="154">
                  <c:v>1.3352403030635556</c:v>
                </c:pt>
                <c:pt idx="155">
                  <c:v>1.3305955212045679</c:v>
                </c:pt>
                <c:pt idx="156">
                  <c:v>1.3471227851516656</c:v>
                </c:pt>
                <c:pt idx="157">
                  <c:v>1.3479425771750493</c:v>
                </c:pt>
                <c:pt idx="158">
                  <c:v>1.3607927962779915</c:v>
                </c:pt>
                <c:pt idx="159">
                  <c:v>1.349300078418362</c:v>
                </c:pt>
                <c:pt idx="160">
                  <c:v>1.3582761373551564</c:v>
                </c:pt>
                <c:pt idx="161">
                  <c:v>1.3571766224922657</c:v>
                </c:pt>
                <c:pt idx="162">
                  <c:v>1.3765997937264471</c:v>
                </c:pt>
                <c:pt idx="163">
                  <c:v>1.3777324951059473</c:v>
                </c:pt>
                <c:pt idx="164">
                  <c:v>1.3642953100880841</c:v>
                </c:pt>
                <c:pt idx="165">
                  <c:v>1.3169281429926283</c:v>
                </c:pt>
                <c:pt idx="166">
                  <c:v>1.3288934506030934</c:v>
                </c:pt>
                <c:pt idx="167">
                  <c:v>1.3387378625274051</c:v>
                </c:pt>
                <c:pt idx="168">
                  <c:v>1.291589955655247</c:v>
                </c:pt>
                <c:pt idx="169">
                  <c:v>1.2802717512873016</c:v>
                </c:pt>
                <c:pt idx="170">
                  <c:v>1.2799010690896635</c:v>
                </c:pt>
                <c:pt idx="171">
                  <c:v>1.2869997852744437</c:v>
                </c:pt>
                <c:pt idx="172">
                  <c:v>1.2933235902063918</c:v>
                </c:pt>
                <c:pt idx="173">
                  <c:v>1.3043932018593902</c:v>
                </c:pt>
                <c:pt idx="174">
                  <c:v>1.26496709153113</c:v>
                </c:pt>
                <c:pt idx="175">
                  <c:v>1.2793542949891021</c:v>
                </c:pt>
                <c:pt idx="176">
                  <c:v>1.2963528802724484</c:v>
                </c:pt>
                <c:pt idx="177">
                  <c:v>1.3233099423506334</c:v>
                </c:pt>
                <c:pt idx="178">
                  <c:v>1.3296361432205808</c:v>
                </c:pt>
                <c:pt idx="179">
                  <c:v>1.3275769601218217</c:v>
                </c:pt>
                <c:pt idx="180">
                  <c:v>1.3508166399562758</c:v>
                </c:pt>
                <c:pt idx="181">
                  <c:v>1.3456418222976427</c:v>
                </c:pt>
                <c:pt idx="182">
                  <c:v>1.3417768794730338</c:v>
                </c:pt>
                <c:pt idx="183">
                  <c:v>1.3474124321134933</c:v>
                </c:pt>
                <c:pt idx="184">
                  <c:v>1.3222118271117096</c:v>
                </c:pt>
                <c:pt idx="185">
                  <c:v>1.3187033043234069</c:v>
                </c:pt>
                <c:pt idx="186">
                  <c:v>1.3382554879673019</c:v>
                </c:pt>
                <c:pt idx="187">
                  <c:v>1.3291641708282078</c:v>
                </c:pt>
                <c:pt idx="188">
                  <c:v>1.3332980225582538</c:v>
                </c:pt>
                <c:pt idx="189">
                  <c:v>1.3439024846459404</c:v>
                </c:pt>
                <c:pt idx="190">
                  <c:v>1.3383993501918612</c:v>
                </c:pt>
                <c:pt idx="191">
                  <c:v>1.3251924920970086</c:v>
                </c:pt>
                <c:pt idx="192">
                  <c:v>1.3494066188736502</c:v>
                </c:pt>
                <c:pt idx="193">
                  <c:v>1.3702516931665041</c:v>
                </c:pt>
                <c:pt idx="194">
                  <c:v>1.376395684011622</c:v>
                </c:pt>
                <c:pt idx="195">
                  <c:v>1.3831941789436737</c:v>
                </c:pt>
                <c:pt idx="196">
                  <c:v>1.3967451405383984</c:v>
                </c:pt>
                <c:pt idx="197">
                  <c:v>1.3717258732393744</c:v>
                </c:pt>
                <c:pt idx="198">
                  <c:v>1.3766661788419492</c:v>
                </c:pt>
                <c:pt idx="199">
                  <c:v>1.3637331032148696</c:v>
                </c:pt>
                <c:pt idx="200">
                  <c:v>1.3621494524281945</c:v>
                </c:pt>
                <c:pt idx="201">
                  <c:v>1.3519605271232806</c:v>
                </c:pt>
                <c:pt idx="202">
                  <c:v>1.3428028606992617</c:v>
                </c:pt>
                <c:pt idx="203">
                  <c:v>1.3587064988074311</c:v>
                </c:pt>
                <c:pt idx="204">
                  <c:v>1.320882404945527</c:v>
                </c:pt>
                <c:pt idx="205">
                  <c:v>1.301299369366838</c:v>
                </c:pt>
                <c:pt idx="206">
                  <c:v>1.2822057242680085</c:v>
                </c:pt>
                <c:pt idx="207">
                  <c:v>1.2890961369634846</c:v>
                </c:pt>
                <c:pt idx="208">
                  <c:v>1.3148568572489083</c:v>
                </c:pt>
                <c:pt idx="209">
                  <c:v>1.3414699479189769</c:v>
                </c:pt>
                <c:pt idx="210">
                  <c:v>1.3139177716604225</c:v>
                </c:pt>
                <c:pt idx="211">
                  <c:v>1.329857435500881</c:v>
                </c:pt>
                <c:pt idx="212">
                  <c:v>1.2997824034160721</c:v>
                </c:pt>
                <c:pt idx="213">
                  <c:v>1.2871820669122116</c:v>
                </c:pt>
                <c:pt idx="214">
                  <c:v>1.2736446693126422</c:v>
                </c:pt>
                <c:pt idx="215">
                  <c:v>1.2787509217292627</c:v>
                </c:pt>
                <c:pt idx="216">
                  <c:v>1.2900532584416662</c:v>
                </c:pt>
                <c:pt idx="217">
                  <c:v>1.2763640517822012</c:v>
                </c:pt>
                <c:pt idx="218">
                  <c:v>1.303808929437084</c:v>
                </c:pt>
                <c:pt idx="219">
                  <c:v>1.3026656216947912</c:v>
                </c:pt>
                <c:pt idx="220">
                  <c:v>1.3061035967523467</c:v>
                </c:pt>
                <c:pt idx="221">
                  <c:v>1.3105514742097648</c:v>
                </c:pt>
                <c:pt idx="222">
                  <c:v>1.3271284017997793</c:v>
                </c:pt>
                <c:pt idx="223">
                  <c:v>1.3000862964116098</c:v>
                </c:pt>
                <c:pt idx="224">
                  <c:v>1.2979101414559822</c:v>
                </c:pt>
                <c:pt idx="225">
                  <c:v>1.3188986012300712</c:v>
                </c:pt>
                <c:pt idx="226">
                  <c:v>1.3463193613147266</c:v>
                </c:pt>
                <c:pt idx="227">
                  <c:v>1.3479364005502463</c:v>
                </c:pt>
                <c:pt idx="228">
                  <c:v>1.3454498574031366</c:v>
                </c:pt>
                <c:pt idx="229">
                  <c:v>1.3761644901046486</c:v>
                </c:pt>
                <c:pt idx="230">
                  <c:v>1.3713474515330348</c:v>
                </c:pt>
                <c:pt idx="231">
                  <c:v>1.3508499802882867</c:v>
                </c:pt>
                <c:pt idx="232">
                  <c:v>1.3211230648483743</c:v>
                </c:pt>
                <c:pt idx="233">
                  <c:v>1.3122967242119996</c:v>
                </c:pt>
                <c:pt idx="234">
                  <c:v>1.3271072111418016</c:v>
                </c:pt>
                <c:pt idx="235">
                  <c:v>1.347305417411341</c:v>
                </c:pt>
                <c:pt idx="236">
                  <c:v>1.3498611194858334</c:v>
                </c:pt>
                <c:pt idx="237">
                  <c:v>1.3504697309341562</c:v>
                </c:pt>
                <c:pt idx="238">
                  <c:v>1.3531487569588299</c:v>
                </c:pt>
                <c:pt idx="239">
                  <c:v>1.3699006374424696</c:v>
                </c:pt>
                <c:pt idx="240">
                  <c:v>1.3834576952454547</c:v>
                </c:pt>
                <c:pt idx="241">
                  <c:v>1.3782863523507092</c:v>
                </c:pt>
                <c:pt idx="242">
                  <c:v>1.3767044548197449</c:v>
                </c:pt>
                <c:pt idx="243">
                  <c:v>1.4015314790540467</c:v>
                </c:pt>
                <c:pt idx="244">
                  <c:v>1.4228554269844598</c:v>
                </c:pt>
                <c:pt idx="245">
                  <c:v>1.432475275907821</c:v>
                </c:pt>
                <c:pt idx="246">
                  <c:v>1.4419650381668949</c:v>
                </c:pt>
                <c:pt idx="247">
                  <c:v>1.4604757056923179</c:v>
                </c:pt>
                <c:pt idx="248">
                  <c:v>1.4642812677081085</c:v>
                </c:pt>
                <c:pt idx="249">
                  <c:v>1.4519159955812735</c:v>
                </c:pt>
                <c:pt idx="250">
                  <c:v>1.4202300151574088</c:v>
                </c:pt>
                <c:pt idx="251">
                  <c:v>1.4091163130111981</c:v>
                </c:pt>
                <c:pt idx="252">
                  <c:v>1.3997622261390994</c:v>
                </c:pt>
                <c:pt idx="253">
                  <c:v>1.4032558307162477</c:v>
                </c:pt>
                <c:pt idx="254">
                  <c:v>1.4044379304013168</c:v>
                </c:pt>
                <c:pt idx="255">
                  <c:v>1.404713242489632</c:v>
                </c:pt>
                <c:pt idx="256">
                  <c:v>1.4077354739365324</c:v>
                </c:pt>
                <c:pt idx="257">
                  <c:v>1.3954251065824401</c:v>
                </c:pt>
                <c:pt idx="258">
                  <c:v>1.3581272889522076</c:v>
                </c:pt>
                <c:pt idx="259">
                  <c:v>1.3296340555082575</c:v>
                </c:pt>
                <c:pt idx="260">
                  <c:v>1.3189123521926964</c:v>
                </c:pt>
                <c:pt idx="261">
                  <c:v>1.3358258910178071</c:v>
                </c:pt>
                <c:pt idx="262">
                  <c:v>1.3740896267280391</c:v>
                </c:pt>
                <c:pt idx="263">
                  <c:v>1.3423199783036517</c:v>
                </c:pt>
                <c:pt idx="264">
                  <c:v>1.3482012898586837</c:v>
                </c:pt>
                <c:pt idx="265">
                  <c:v>1.3190698826159122</c:v>
                </c:pt>
                <c:pt idx="266">
                  <c:v>1.2905800792938051</c:v>
                </c:pt>
                <c:pt idx="267">
                  <c:v>1.2748894269993356</c:v>
                </c:pt>
                <c:pt idx="268">
                  <c:v>1.275288408092037</c:v>
                </c:pt>
                <c:pt idx="269">
                  <c:v>1.2740177076125545</c:v>
                </c:pt>
                <c:pt idx="270">
                  <c:v>1.2967385870168819</c:v>
                </c:pt>
                <c:pt idx="271">
                  <c:v>1.3391150178692606</c:v>
                </c:pt>
                <c:pt idx="272">
                  <c:v>1.3568569144392901</c:v>
                </c:pt>
                <c:pt idx="273">
                  <c:v>1.3617565871185626</c:v>
                </c:pt>
                <c:pt idx="274">
                  <c:v>1.3388000791482462</c:v>
                </c:pt>
                <c:pt idx="275">
                  <c:v>1.3423786731641891</c:v>
                </c:pt>
                <c:pt idx="276">
                  <c:v>1.3088388401910731</c:v>
                </c:pt>
                <c:pt idx="277">
                  <c:v>1.3437285280319644</c:v>
                </c:pt>
                <c:pt idx="278">
                  <c:v>1.3599720398072317</c:v>
                </c:pt>
                <c:pt idx="279">
                  <c:v>1.3722143209801922</c:v>
                </c:pt>
                <c:pt idx="280">
                  <c:v>1.3737041466975533</c:v>
                </c:pt>
                <c:pt idx="281">
                  <c:v>1.399758332315217</c:v>
                </c:pt>
                <c:pt idx="282">
                  <c:v>1.4056771323885553</c:v>
                </c:pt>
                <c:pt idx="283">
                  <c:v>1.3894231336832392</c:v>
                </c:pt>
                <c:pt idx="284">
                  <c:v>1.3879166632483873</c:v>
                </c:pt>
                <c:pt idx="285">
                  <c:v>1.3721148844540925</c:v>
                </c:pt>
                <c:pt idx="286">
                  <c:v>1.3872404114666006</c:v>
                </c:pt>
                <c:pt idx="287">
                  <c:v>1.409126623515103</c:v>
                </c:pt>
                <c:pt idx="288">
                  <c:v>1.4147922030961337</c:v>
                </c:pt>
                <c:pt idx="289">
                  <c:v>1.3769269405201205</c:v>
                </c:pt>
                <c:pt idx="290">
                  <c:v>1.3585925099188354</c:v>
                </c:pt>
                <c:pt idx="291">
                  <c:v>1.3337628222270552</c:v>
                </c:pt>
                <c:pt idx="292">
                  <c:v>1.3028391369405943</c:v>
                </c:pt>
                <c:pt idx="293">
                  <c:v>1.2664875545737413</c:v>
                </c:pt>
                <c:pt idx="294">
                  <c:v>1.2424990818713852</c:v>
                </c:pt>
                <c:pt idx="295">
                  <c:v>1.2005714120999547</c:v>
                </c:pt>
                <c:pt idx="296">
                  <c:v>1.1869230577974836</c:v>
                </c:pt>
                <c:pt idx="297">
                  <c:v>1.1566365462276238</c:v>
                </c:pt>
                <c:pt idx="298">
                  <c:v>1.143364258327064</c:v>
                </c:pt>
                <c:pt idx="299">
                  <c:v>1.1230233749434444</c:v>
                </c:pt>
                <c:pt idx="300">
                  <c:v>1.1143920853188876</c:v>
                </c:pt>
                <c:pt idx="301">
                  <c:v>1.1504932483515464</c:v>
                </c:pt>
                <c:pt idx="302">
                  <c:v>1.1783391827413687</c:v>
                </c:pt>
                <c:pt idx="303">
                  <c:v>1.1714420236154381</c:v>
                </c:pt>
                <c:pt idx="304">
                  <c:v>1.1760432677470354</c:v>
                </c:pt>
                <c:pt idx="305">
                  <c:v>1.1738384220676317</c:v>
                </c:pt>
                <c:pt idx="306">
                  <c:v>1.1743675928993518</c:v>
                </c:pt>
                <c:pt idx="307">
                  <c:v>1.1961048964687819</c:v>
                </c:pt>
                <c:pt idx="308">
                  <c:v>1.2105787678647448</c:v>
                </c:pt>
                <c:pt idx="309">
                  <c:v>1.2295424431706643</c:v>
                </c:pt>
                <c:pt idx="310">
                  <c:v>1.2226495918666045</c:v>
                </c:pt>
                <c:pt idx="311">
                  <c:v>1.2340105710146678</c:v>
                </c:pt>
                <c:pt idx="312">
                  <c:v>1.2269343007391609</c:v>
                </c:pt>
                <c:pt idx="313">
                  <c:v>1.2028899124756738</c:v>
                </c:pt>
                <c:pt idx="314">
                  <c:v>1.1896968616714589</c:v>
                </c:pt>
                <c:pt idx="315">
                  <c:v>1.1889106003306062</c:v>
                </c:pt>
                <c:pt idx="316">
                  <c:v>1.2040198173485026</c:v>
                </c:pt>
                <c:pt idx="317">
                  <c:v>1.21868198131262</c:v>
                </c:pt>
                <c:pt idx="318">
                  <c:v>1.2223265367515803</c:v>
                </c:pt>
                <c:pt idx="319">
                  <c:v>1.21803748406513</c:v>
                </c:pt>
                <c:pt idx="320">
                  <c:v>1.203118671402841</c:v>
                </c:pt>
                <c:pt idx="321">
                  <c:v>1.2168441704477098</c:v>
                </c:pt>
                <c:pt idx="322">
                  <c:v>1.2185052872719297</c:v>
                </c:pt>
                <c:pt idx="323">
                  <c:v>1.2160504628248396</c:v>
                </c:pt>
                <c:pt idx="324">
                  <c:v>1.2361102327933773</c:v>
                </c:pt>
                <c:pt idx="325">
                  <c:v>1.2083813416713369</c:v>
                </c:pt>
                <c:pt idx="326">
                  <c:v>1.2034997067058182</c:v>
                </c:pt>
                <c:pt idx="327">
                  <c:v>1.2408013012201287</c:v>
                </c:pt>
                <c:pt idx="328">
                  <c:v>1.2219517046335622</c:v>
                </c:pt>
                <c:pt idx="329">
                  <c:v>1.1972165346128933</c:v>
                </c:pt>
                <c:pt idx="330">
                  <c:v>1.1901441236699974</c:v>
                </c:pt>
                <c:pt idx="331">
                  <c:v>1.2196608670605569</c:v>
                </c:pt>
                <c:pt idx="332">
                  <c:v>1.2478179463526069</c:v>
                </c:pt>
                <c:pt idx="333">
                  <c:v>1.2557949682656611</c:v>
                </c:pt>
                <c:pt idx="334">
                  <c:v>1.293885391762013</c:v>
                </c:pt>
                <c:pt idx="335">
                  <c:v>1.3109206402320992</c:v>
                </c:pt>
                <c:pt idx="336">
                  <c:v>1.3398251130981624</c:v>
                </c:pt>
                <c:pt idx="337">
                  <c:v>1.3575603982282081</c:v>
                </c:pt>
                <c:pt idx="338">
                  <c:v>1.3656754191074625</c:v>
                </c:pt>
                <c:pt idx="339">
                  <c:v>1.3883528044999123</c:v>
                </c:pt>
                <c:pt idx="340">
                  <c:v>1.4430131849435712</c:v>
                </c:pt>
                <c:pt idx="341">
                  <c:v>1.4824145980156116</c:v>
                </c:pt>
                <c:pt idx="342">
                  <c:v>1.5102340657851301</c:v>
                </c:pt>
                <c:pt idx="343">
                  <c:v>1.5077094321155087</c:v>
                </c:pt>
                <c:pt idx="344">
                  <c:v>1.5038600131522257</c:v>
                </c:pt>
                <c:pt idx="345">
                  <c:v>1.4935868355263451</c:v>
                </c:pt>
                <c:pt idx="346">
                  <c:v>1.4870882501749352</c:v>
                </c:pt>
                <c:pt idx="347">
                  <c:v>1.5108002726726237</c:v>
                </c:pt>
                <c:pt idx="348">
                  <c:v>1.4969750914421869</c:v>
                </c:pt>
                <c:pt idx="349">
                  <c:v>1.5138960925716882</c:v>
                </c:pt>
                <c:pt idx="350">
                  <c:v>1.5189965370044627</c:v>
                </c:pt>
                <c:pt idx="351">
                  <c:v>1.4858571754553342</c:v>
                </c:pt>
                <c:pt idx="352">
                  <c:v>1.442955243864039</c:v>
                </c:pt>
                <c:pt idx="353">
                  <c:v>1.4484181901688362</c:v>
                </c:pt>
                <c:pt idx="354">
                  <c:v>1.4483139782244474</c:v>
                </c:pt>
                <c:pt idx="355">
                  <c:v>1.4306593224403998</c:v>
                </c:pt>
                <c:pt idx="356">
                  <c:v>1.4251719526051621</c:v>
                </c:pt>
                <c:pt idx="357">
                  <c:v>1.4250632391458702</c:v>
                </c:pt>
                <c:pt idx="358">
                  <c:v>1.4106194056154246</c:v>
                </c:pt>
                <c:pt idx="359">
                  <c:v>1.372456332143978</c:v>
                </c:pt>
                <c:pt idx="360">
                  <c:v>1.3588996698500972</c:v>
                </c:pt>
                <c:pt idx="361">
                  <c:v>1.3498740891015657</c:v>
                </c:pt>
                <c:pt idx="362">
                  <c:v>1.3733426547823251</c:v>
                </c:pt>
                <c:pt idx="363">
                  <c:v>1.3729705304018334</c:v>
                </c:pt>
                <c:pt idx="364">
                  <c:v>1.3868122752480045</c:v>
                </c:pt>
                <c:pt idx="365">
                  <c:v>1.3771565420456229</c:v>
                </c:pt>
                <c:pt idx="366">
                  <c:v>1.3844499508652341</c:v>
                </c:pt>
                <c:pt idx="367">
                  <c:v>1.3953729707600944</c:v>
                </c:pt>
                <c:pt idx="368">
                  <c:v>1.4105374180725572</c:v>
                </c:pt>
                <c:pt idx="369">
                  <c:v>1.4590598310764844</c:v>
                </c:pt>
                <c:pt idx="370">
                  <c:v>1.4808401911435716</c:v>
                </c:pt>
                <c:pt idx="371">
                  <c:v>1.5009170868192119</c:v>
                </c:pt>
                <c:pt idx="372">
                  <c:v>1.5339777819653164</c:v>
                </c:pt>
                <c:pt idx="373">
                  <c:v>1.5616221525053817</c:v>
                </c:pt>
                <c:pt idx="374">
                  <c:v>1.5464031589652532</c:v>
                </c:pt>
                <c:pt idx="375">
                  <c:v>1.5640252727031378</c:v>
                </c:pt>
                <c:pt idx="376">
                  <c:v>1.5777270670425223</c:v>
                </c:pt>
                <c:pt idx="377">
                  <c:v>1.580217869843983</c:v>
                </c:pt>
                <c:pt idx="378">
                  <c:v>1.5661902125595268</c:v>
                </c:pt>
                <c:pt idx="379">
                  <c:v>1.55866680516381</c:v>
                </c:pt>
                <c:pt idx="380">
                  <c:v>1.5548155239720822</c:v>
                </c:pt>
                <c:pt idx="381">
                  <c:v>1.5179348358447209</c:v>
                </c:pt>
                <c:pt idx="382">
                  <c:v>1.5146073091569006</c:v>
                </c:pt>
                <c:pt idx="383">
                  <c:v>1.5047378222357291</c:v>
                </c:pt>
                <c:pt idx="384">
                  <c:v>1.483280905635566</c:v>
                </c:pt>
                <c:pt idx="385">
                  <c:v>1.4673840059891228</c:v>
                </c:pt>
                <c:pt idx="386">
                  <c:v>1.4505314416434738</c:v>
                </c:pt>
                <c:pt idx="387">
                  <c:v>1.4598012878607491</c:v>
                </c:pt>
                <c:pt idx="388">
                  <c:v>1.435352447172076</c:v>
                </c:pt>
                <c:pt idx="389">
                  <c:v>1.4302736363753226</c:v>
                </c:pt>
                <c:pt idx="390">
                  <c:v>1.4289530001259778</c:v>
                </c:pt>
                <c:pt idx="391">
                  <c:v>1.4223404671318656</c:v>
                </c:pt>
                <c:pt idx="392">
                  <c:v>1.404472610737411</c:v>
                </c:pt>
                <c:pt idx="393">
                  <c:v>1.3919417095405173</c:v>
                </c:pt>
                <c:pt idx="394">
                  <c:v>1.3820600790881787</c:v>
                </c:pt>
                <c:pt idx="395">
                  <c:v>1.378599833768275</c:v>
                </c:pt>
                <c:pt idx="396">
                  <c:v>1.3869559014738029</c:v>
                </c:pt>
                <c:pt idx="397">
                  <c:v>1.3587397604153204</c:v>
                </c:pt>
                <c:pt idx="398">
                  <c:v>1.3579475309723958</c:v>
                </c:pt>
                <c:pt idx="399">
                  <c:v>1.375749649429207</c:v>
                </c:pt>
                <c:pt idx="400">
                  <c:v>1.395640153287897</c:v>
                </c:pt>
                <c:pt idx="401">
                  <c:v>1.3926461918335085</c:v>
                </c:pt>
                <c:pt idx="402">
                  <c:v>1.4286235818753743</c:v>
                </c:pt>
                <c:pt idx="403">
                  <c:v>1.4343639625934179</c:v>
                </c:pt>
                <c:pt idx="404">
                  <c:v>1.4560866393669767</c:v>
                </c:pt>
                <c:pt idx="405">
                  <c:v>1.4640099051291302</c:v>
                </c:pt>
                <c:pt idx="406">
                  <c:v>1.4514739886063284</c:v>
                </c:pt>
                <c:pt idx="407">
                  <c:v>1.4903796867805514</c:v>
                </c:pt>
                <c:pt idx="408">
                  <c:v>1.4920028220757284</c:v>
                </c:pt>
                <c:pt idx="409">
                  <c:v>1.5431960070803918</c:v>
                </c:pt>
                <c:pt idx="410">
                  <c:v>1.5649715586668362</c:v>
                </c:pt>
                <c:pt idx="411">
                  <c:v>1.5005833370954336</c:v>
                </c:pt>
                <c:pt idx="412">
                  <c:v>1.5084656525407376</c:v>
                </c:pt>
                <c:pt idx="413">
                  <c:v>1.5340209241805318</c:v>
                </c:pt>
                <c:pt idx="414">
                  <c:v>1.5069398658947846</c:v>
                </c:pt>
                <c:pt idx="415">
                  <c:v>1.5531109999687738</c:v>
                </c:pt>
                <c:pt idx="416">
                  <c:v>1.5690467110174653</c:v>
                </c:pt>
                <c:pt idx="417">
                  <c:v>1.6359353391330447</c:v>
                </c:pt>
                <c:pt idx="418">
                  <c:v>1.7459048245905229</c:v>
                </c:pt>
                <c:pt idx="419">
                  <c:v>1.7486637310954749</c:v>
                </c:pt>
                <c:pt idx="420">
                  <c:v>1.8414619173787528</c:v>
                </c:pt>
              </c:numCache>
            </c:numRef>
          </c:val>
          <c:smooth val="0"/>
          <c:extLst>
            <c:ext xmlns:c16="http://schemas.microsoft.com/office/drawing/2014/chart" uri="{C3380CC4-5D6E-409C-BE32-E72D297353CC}">
              <c16:uniqueId val="{00000000-94B2-4752-B8ED-1EE1365619B3}"/>
            </c:ext>
          </c:extLst>
        </c:ser>
        <c:ser>
          <c:idx val="1"/>
          <c:order val="1"/>
          <c:tx>
            <c:strRef>
              <c:f>'Unemployment rate'!$C$2</c:f>
              <c:strCache>
                <c:ptCount val="1"/>
                <c:pt idx="0">
                  <c:v>4 weeks to 1 year</c:v>
                </c:pt>
              </c:strCache>
            </c:strRef>
          </c:tx>
          <c:spPr>
            <a:ln w="19050" cap="rnd">
              <a:solidFill>
                <a:srgbClr val="E7E6E6">
                  <a:lumMod val="75000"/>
                </a:srgbClr>
              </a:solidFill>
              <a:round/>
            </a:ln>
            <a:effectLst/>
          </c:spPr>
          <c:marker>
            <c:symbol val="none"/>
          </c:marker>
          <c:cat>
            <c:numRef>
              <c:f>'Unemployment rate'!$A$3:$A$423</c:f>
              <c:numCache>
                <c:formatCode>m/d/yyyy</c:formatCode>
                <c:ptCount val="421"/>
                <c:pt idx="0">
                  <c:v>46054</c:v>
                </c:pt>
                <c:pt idx="1">
                  <c:v>46023</c:v>
                </c:pt>
                <c:pt idx="2">
                  <c:v>45992</c:v>
                </c:pt>
                <c:pt idx="3">
                  <c:v>45962</c:v>
                </c:pt>
                <c:pt idx="4">
                  <c:v>45931</c:v>
                </c:pt>
                <c:pt idx="5">
                  <c:v>45901</c:v>
                </c:pt>
                <c:pt idx="6">
                  <c:v>45870</c:v>
                </c:pt>
                <c:pt idx="7">
                  <c:v>45839</c:v>
                </c:pt>
                <c:pt idx="8">
                  <c:v>45809</c:v>
                </c:pt>
                <c:pt idx="9">
                  <c:v>45778</c:v>
                </c:pt>
                <c:pt idx="10">
                  <c:v>45748</c:v>
                </c:pt>
                <c:pt idx="11">
                  <c:v>45717</c:v>
                </c:pt>
                <c:pt idx="12">
                  <c:v>45689</c:v>
                </c:pt>
                <c:pt idx="13">
                  <c:v>45658</c:v>
                </c:pt>
                <c:pt idx="14">
                  <c:v>45627</c:v>
                </c:pt>
                <c:pt idx="15">
                  <c:v>45597</c:v>
                </c:pt>
                <c:pt idx="16">
                  <c:v>45566</c:v>
                </c:pt>
                <c:pt idx="17">
                  <c:v>45536</c:v>
                </c:pt>
                <c:pt idx="18">
                  <c:v>45505</c:v>
                </c:pt>
                <c:pt idx="19">
                  <c:v>45474</c:v>
                </c:pt>
                <c:pt idx="20">
                  <c:v>45444</c:v>
                </c:pt>
                <c:pt idx="21">
                  <c:v>45413</c:v>
                </c:pt>
                <c:pt idx="22">
                  <c:v>45383</c:v>
                </c:pt>
                <c:pt idx="23">
                  <c:v>45352</c:v>
                </c:pt>
                <c:pt idx="24">
                  <c:v>45323</c:v>
                </c:pt>
                <c:pt idx="25">
                  <c:v>45292</c:v>
                </c:pt>
                <c:pt idx="26">
                  <c:v>45261</c:v>
                </c:pt>
                <c:pt idx="27">
                  <c:v>45231</c:v>
                </c:pt>
                <c:pt idx="28">
                  <c:v>45200</c:v>
                </c:pt>
                <c:pt idx="29">
                  <c:v>45170</c:v>
                </c:pt>
                <c:pt idx="30">
                  <c:v>45139</c:v>
                </c:pt>
                <c:pt idx="31">
                  <c:v>45108</c:v>
                </c:pt>
                <c:pt idx="32">
                  <c:v>45078</c:v>
                </c:pt>
                <c:pt idx="33">
                  <c:v>45047</c:v>
                </c:pt>
                <c:pt idx="34">
                  <c:v>45017</c:v>
                </c:pt>
                <c:pt idx="35">
                  <c:v>44986</c:v>
                </c:pt>
                <c:pt idx="36">
                  <c:v>44958</c:v>
                </c:pt>
                <c:pt idx="37">
                  <c:v>44927</c:v>
                </c:pt>
                <c:pt idx="38">
                  <c:v>44896</c:v>
                </c:pt>
                <c:pt idx="39">
                  <c:v>44866</c:v>
                </c:pt>
                <c:pt idx="40">
                  <c:v>44835</c:v>
                </c:pt>
                <c:pt idx="41">
                  <c:v>44805</c:v>
                </c:pt>
                <c:pt idx="42">
                  <c:v>44774</c:v>
                </c:pt>
                <c:pt idx="43">
                  <c:v>44743</c:v>
                </c:pt>
                <c:pt idx="44">
                  <c:v>44713</c:v>
                </c:pt>
                <c:pt idx="45">
                  <c:v>44682</c:v>
                </c:pt>
                <c:pt idx="46">
                  <c:v>44652</c:v>
                </c:pt>
                <c:pt idx="47">
                  <c:v>44621</c:v>
                </c:pt>
                <c:pt idx="48">
                  <c:v>44593</c:v>
                </c:pt>
                <c:pt idx="49">
                  <c:v>44562</c:v>
                </c:pt>
                <c:pt idx="50">
                  <c:v>44531</c:v>
                </c:pt>
                <c:pt idx="51">
                  <c:v>44501</c:v>
                </c:pt>
                <c:pt idx="52">
                  <c:v>44470</c:v>
                </c:pt>
                <c:pt idx="53">
                  <c:v>44440</c:v>
                </c:pt>
                <c:pt idx="54">
                  <c:v>44409</c:v>
                </c:pt>
                <c:pt idx="55">
                  <c:v>44378</c:v>
                </c:pt>
                <c:pt idx="56">
                  <c:v>44348</c:v>
                </c:pt>
                <c:pt idx="57">
                  <c:v>44317</c:v>
                </c:pt>
                <c:pt idx="58">
                  <c:v>44287</c:v>
                </c:pt>
                <c:pt idx="59">
                  <c:v>44256</c:v>
                </c:pt>
                <c:pt idx="60">
                  <c:v>44228</c:v>
                </c:pt>
                <c:pt idx="61">
                  <c:v>44197</c:v>
                </c:pt>
                <c:pt idx="62">
                  <c:v>44166</c:v>
                </c:pt>
                <c:pt idx="63">
                  <c:v>44136</c:v>
                </c:pt>
                <c:pt idx="64">
                  <c:v>44105</c:v>
                </c:pt>
                <c:pt idx="65">
                  <c:v>44075</c:v>
                </c:pt>
                <c:pt idx="66">
                  <c:v>44044</c:v>
                </c:pt>
                <c:pt idx="67">
                  <c:v>44013</c:v>
                </c:pt>
                <c:pt idx="68">
                  <c:v>43983</c:v>
                </c:pt>
                <c:pt idx="69">
                  <c:v>43952</c:v>
                </c:pt>
                <c:pt idx="70">
                  <c:v>43922</c:v>
                </c:pt>
                <c:pt idx="71">
                  <c:v>43891</c:v>
                </c:pt>
                <c:pt idx="72">
                  <c:v>43862</c:v>
                </c:pt>
                <c:pt idx="73">
                  <c:v>43831</c:v>
                </c:pt>
                <c:pt idx="74">
                  <c:v>43800</c:v>
                </c:pt>
                <c:pt idx="75">
                  <c:v>43770</c:v>
                </c:pt>
                <c:pt idx="76">
                  <c:v>43739</c:v>
                </c:pt>
                <c:pt idx="77">
                  <c:v>43709</c:v>
                </c:pt>
                <c:pt idx="78">
                  <c:v>43678</c:v>
                </c:pt>
                <c:pt idx="79">
                  <c:v>43647</c:v>
                </c:pt>
                <c:pt idx="80">
                  <c:v>43617</c:v>
                </c:pt>
                <c:pt idx="81">
                  <c:v>43586</c:v>
                </c:pt>
                <c:pt idx="82">
                  <c:v>43556</c:v>
                </c:pt>
                <c:pt idx="83">
                  <c:v>43525</c:v>
                </c:pt>
                <c:pt idx="84">
                  <c:v>43497</c:v>
                </c:pt>
                <c:pt idx="85">
                  <c:v>43466</c:v>
                </c:pt>
                <c:pt idx="86">
                  <c:v>43435</c:v>
                </c:pt>
                <c:pt idx="87">
                  <c:v>43405</c:v>
                </c:pt>
                <c:pt idx="88">
                  <c:v>43374</c:v>
                </c:pt>
                <c:pt idx="89">
                  <c:v>43344</c:v>
                </c:pt>
                <c:pt idx="90">
                  <c:v>43313</c:v>
                </c:pt>
                <c:pt idx="91">
                  <c:v>43282</c:v>
                </c:pt>
                <c:pt idx="92">
                  <c:v>43252</c:v>
                </c:pt>
                <c:pt idx="93">
                  <c:v>43221</c:v>
                </c:pt>
                <c:pt idx="94">
                  <c:v>43191</c:v>
                </c:pt>
                <c:pt idx="95">
                  <c:v>43160</c:v>
                </c:pt>
                <c:pt idx="96">
                  <c:v>43132</c:v>
                </c:pt>
                <c:pt idx="97">
                  <c:v>43101</c:v>
                </c:pt>
                <c:pt idx="98">
                  <c:v>43070</c:v>
                </c:pt>
                <c:pt idx="99">
                  <c:v>43040</c:v>
                </c:pt>
                <c:pt idx="100">
                  <c:v>43009</c:v>
                </c:pt>
                <c:pt idx="101">
                  <c:v>42979</c:v>
                </c:pt>
                <c:pt idx="102">
                  <c:v>42948</c:v>
                </c:pt>
                <c:pt idx="103">
                  <c:v>42917</c:v>
                </c:pt>
                <c:pt idx="104">
                  <c:v>42887</c:v>
                </c:pt>
                <c:pt idx="105">
                  <c:v>42856</c:v>
                </c:pt>
                <c:pt idx="106">
                  <c:v>42826</c:v>
                </c:pt>
                <c:pt idx="107">
                  <c:v>42795</c:v>
                </c:pt>
                <c:pt idx="108">
                  <c:v>42767</c:v>
                </c:pt>
                <c:pt idx="109">
                  <c:v>42736</c:v>
                </c:pt>
                <c:pt idx="110">
                  <c:v>42705</c:v>
                </c:pt>
                <c:pt idx="111">
                  <c:v>42675</c:v>
                </c:pt>
                <c:pt idx="112">
                  <c:v>42644</c:v>
                </c:pt>
                <c:pt idx="113">
                  <c:v>42614</c:v>
                </c:pt>
                <c:pt idx="114">
                  <c:v>42583</c:v>
                </c:pt>
                <c:pt idx="115">
                  <c:v>42552</c:v>
                </c:pt>
                <c:pt idx="116">
                  <c:v>42522</c:v>
                </c:pt>
                <c:pt idx="117">
                  <c:v>42491</c:v>
                </c:pt>
                <c:pt idx="118">
                  <c:v>42461</c:v>
                </c:pt>
                <c:pt idx="119">
                  <c:v>42430</c:v>
                </c:pt>
                <c:pt idx="120">
                  <c:v>42401</c:v>
                </c:pt>
                <c:pt idx="121">
                  <c:v>42370</c:v>
                </c:pt>
                <c:pt idx="122">
                  <c:v>42339</c:v>
                </c:pt>
                <c:pt idx="123">
                  <c:v>42309</c:v>
                </c:pt>
                <c:pt idx="124">
                  <c:v>42278</c:v>
                </c:pt>
                <c:pt idx="125">
                  <c:v>42248</c:v>
                </c:pt>
                <c:pt idx="126">
                  <c:v>42217</c:v>
                </c:pt>
                <c:pt idx="127">
                  <c:v>42186</c:v>
                </c:pt>
                <c:pt idx="128">
                  <c:v>42156</c:v>
                </c:pt>
                <c:pt idx="129">
                  <c:v>42125</c:v>
                </c:pt>
                <c:pt idx="130">
                  <c:v>42095</c:v>
                </c:pt>
                <c:pt idx="131">
                  <c:v>42064</c:v>
                </c:pt>
                <c:pt idx="132">
                  <c:v>42036</c:v>
                </c:pt>
                <c:pt idx="133">
                  <c:v>42005</c:v>
                </c:pt>
                <c:pt idx="134">
                  <c:v>41974</c:v>
                </c:pt>
                <c:pt idx="135">
                  <c:v>41944</c:v>
                </c:pt>
                <c:pt idx="136">
                  <c:v>41913</c:v>
                </c:pt>
                <c:pt idx="137">
                  <c:v>41883</c:v>
                </c:pt>
                <c:pt idx="138">
                  <c:v>41852</c:v>
                </c:pt>
                <c:pt idx="139">
                  <c:v>41821</c:v>
                </c:pt>
                <c:pt idx="140">
                  <c:v>41791</c:v>
                </c:pt>
                <c:pt idx="141">
                  <c:v>41760</c:v>
                </c:pt>
                <c:pt idx="142">
                  <c:v>41730</c:v>
                </c:pt>
                <c:pt idx="143">
                  <c:v>41699</c:v>
                </c:pt>
                <c:pt idx="144">
                  <c:v>41671</c:v>
                </c:pt>
                <c:pt idx="145">
                  <c:v>41640</c:v>
                </c:pt>
                <c:pt idx="146">
                  <c:v>41609</c:v>
                </c:pt>
                <c:pt idx="147">
                  <c:v>41579</c:v>
                </c:pt>
                <c:pt idx="148">
                  <c:v>41548</c:v>
                </c:pt>
                <c:pt idx="149">
                  <c:v>41518</c:v>
                </c:pt>
                <c:pt idx="150">
                  <c:v>41487</c:v>
                </c:pt>
                <c:pt idx="151">
                  <c:v>41456</c:v>
                </c:pt>
                <c:pt idx="152">
                  <c:v>41426</c:v>
                </c:pt>
                <c:pt idx="153">
                  <c:v>41395</c:v>
                </c:pt>
                <c:pt idx="154">
                  <c:v>41365</c:v>
                </c:pt>
                <c:pt idx="155">
                  <c:v>41334</c:v>
                </c:pt>
                <c:pt idx="156">
                  <c:v>41306</c:v>
                </c:pt>
                <c:pt idx="157">
                  <c:v>41275</c:v>
                </c:pt>
                <c:pt idx="158">
                  <c:v>41244</c:v>
                </c:pt>
                <c:pt idx="159">
                  <c:v>41214</c:v>
                </c:pt>
                <c:pt idx="160">
                  <c:v>41183</c:v>
                </c:pt>
                <c:pt idx="161">
                  <c:v>41153</c:v>
                </c:pt>
                <c:pt idx="162">
                  <c:v>41122</c:v>
                </c:pt>
                <c:pt idx="163">
                  <c:v>41091</c:v>
                </c:pt>
                <c:pt idx="164">
                  <c:v>41061</c:v>
                </c:pt>
                <c:pt idx="165">
                  <c:v>41030</c:v>
                </c:pt>
                <c:pt idx="166">
                  <c:v>41000</c:v>
                </c:pt>
                <c:pt idx="167">
                  <c:v>40969</c:v>
                </c:pt>
                <c:pt idx="168">
                  <c:v>40940</c:v>
                </c:pt>
                <c:pt idx="169">
                  <c:v>40909</c:v>
                </c:pt>
                <c:pt idx="170">
                  <c:v>40878</c:v>
                </c:pt>
                <c:pt idx="171">
                  <c:v>40848</c:v>
                </c:pt>
                <c:pt idx="172">
                  <c:v>40817</c:v>
                </c:pt>
                <c:pt idx="173">
                  <c:v>40787</c:v>
                </c:pt>
                <c:pt idx="174">
                  <c:v>40756</c:v>
                </c:pt>
                <c:pt idx="175">
                  <c:v>40725</c:v>
                </c:pt>
                <c:pt idx="176">
                  <c:v>40695</c:v>
                </c:pt>
                <c:pt idx="177">
                  <c:v>40664</c:v>
                </c:pt>
                <c:pt idx="178">
                  <c:v>40634</c:v>
                </c:pt>
                <c:pt idx="179">
                  <c:v>40603</c:v>
                </c:pt>
                <c:pt idx="180">
                  <c:v>40575</c:v>
                </c:pt>
                <c:pt idx="181">
                  <c:v>40544</c:v>
                </c:pt>
                <c:pt idx="182">
                  <c:v>40513</c:v>
                </c:pt>
                <c:pt idx="183">
                  <c:v>40483</c:v>
                </c:pt>
                <c:pt idx="184">
                  <c:v>40452</c:v>
                </c:pt>
                <c:pt idx="185">
                  <c:v>40422</c:v>
                </c:pt>
                <c:pt idx="186">
                  <c:v>40391</c:v>
                </c:pt>
                <c:pt idx="187">
                  <c:v>40360</c:v>
                </c:pt>
                <c:pt idx="188">
                  <c:v>40330</c:v>
                </c:pt>
                <c:pt idx="189">
                  <c:v>40299</c:v>
                </c:pt>
                <c:pt idx="190">
                  <c:v>40269</c:v>
                </c:pt>
                <c:pt idx="191">
                  <c:v>40238</c:v>
                </c:pt>
                <c:pt idx="192">
                  <c:v>40210</c:v>
                </c:pt>
                <c:pt idx="193">
                  <c:v>40179</c:v>
                </c:pt>
                <c:pt idx="194">
                  <c:v>40148</c:v>
                </c:pt>
                <c:pt idx="195">
                  <c:v>40118</c:v>
                </c:pt>
                <c:pt idx="196">
                  <c:v>40087</c:v>
                </c:pt>
                <c:pt idx="197">
                  <c:v>40057</c:v>
                </c:pt>
                <c:pt idx="198">
                  <c:v>40026</c:v>
                </c:pt>
                <c:pt idx="199">
                  <c:v>39995</c:v>
                </c:pt>
                <c:pt idx="200">
                  <c:v>39965</c:v>
                </c:pt>
                <c:pt idx="201">
                  <c:v>39934</c:v>
                </c:pt>
                <c:pt idx="202">
                  <c:v>39904</c:v>
                </c:pt>
                <c:pt idx="203">
                  <c:v>39873</c:v>
                </c:pt>
                <c:pt idx="204">
                  <c:v>39845</c:v>
                </c:pt>
                <c:pt idx="205">
                  <c:v>39814</c:v>
                </c:pt>
                <c:pt idx="206">
                  <c:v>39783</c:v>
                </c:pt>
                <c:pt idx="207">
                  <c:v>39753</c:v>
                </c:pt>
                <c:pt idx="208">
                  <c:v>39722</c:v>
                </c:pt>
                <c:pt idx="209">
                  <c:v>39692</c:v>
                </c:pt>
                <c:pt idx="210">
                  <c:v>39661</c:v>
                </c:pt>
                <c:pt idx="211">
                  <c:v>39630</c:v>
                </c:pt>
                <c:pt idx="212">
                  <c:v>39600</c:v>
                </c:pt>
                <c:pt idx="213">
                  <c:v>39569</c:v>
                </c:pt>
                <c:pt idx="214">
                  <c:v>39539</c:v>
                </c:pt>
                <c:pt idx="215">
                  <c:v>39508</c:v>
                </c:pt>
                <c:pt idx="216">
                  <c:v>39479</c:v>
                </c:pt>
                <c:pt idx="217">
                  <c:v>39448</c:v>
                </c:pt>
                <c:pt idx="218">
                  <c:v>39417</c:v>
                </c:pt>
                <c:pt idx="219">
                  <c:v>39387</c:v>
                </c:pt>
                <c:pt idx="220">
                  <c:v>39356</c:v>
                </c:pt>
                <c:pt idx="221">
                  <c:v>39326</c:v>
                </c:pt>
                <c:pt idx="222">
                  <c:v>39295</c:v>
                </c:pt>
                <c:pt idx="223">
                  <c:v>39264</c:v>
                </c:pt>
                <c:pt idx="224">
                  <c:v>39234</c:v>
                </c:pt>
                <c:pt idx="225">
                  <c:v>39203</c:v>
                </c:pt>
                <c:pt idx="226">
                  <c:v>39173</c:v>
                </c:pt>
                <c:pt idx="227">
                  <c:v>39142</c:v>
                </c:pt>
                <c:pt idx="228">
                  <c:v>39114</c:v>
                </c:pt>
                <c:pt idx="229">
                  <c:v>39083</c:v>
                </c:pt>
                <c:pt idx="230">
                  <c:v>39052</c:v>
                </c:pt>
                <c:pt idx="231">
                  <c:v>39022</c:v>
                </c:pt>
                <c:pt idx="232">
                  <c:v>38991</c:v>
                </c:pt>
                <c:pt idx="233">
                  <c:v>38961</c:v>
                </c:pt>
                <c:pt idx="234">
                  <c:v>38930</c:v>
                </c:pt>
                <c:pt idx="235">
                  <c:v>38899</c:v>
                </c:pt>
                <c:pt idx="236">
                  <c:v>38869</c:v>
                </c:pt>
                <c:pt idx="237">
                  <c:v>38838</c:v>
                </c:pt>
                <c:pt idx="238">
                  <c:v>38808</c:v>
                </c:pt>
                <c:pt idx="239">
                  <c:v>38777</c:v>
                </c:pt>
                <c:pt idx="240">
                  <c:v>38749</c:v>
                </c:pt>
                <c:pt idx="241">
                  <c:v>38718</c:v>
                </c:pt>
                <c:pt idx="242">
                  <c:v>38687</c:v>
                </c:pt>
                <c:pt idx="243">
                  <c:v>38657</c:v>
                </c:pt>
                <c:pt idx="244">
                  <c:v>38626</c:v>
                </c:pt>
                <c:pt idx="245">
                  <c:v>38596</c:v>
                </c:pt>
                <c:pt idx="246">
                  <c:v>38565</c:v>
                </c:pt>
                <c:pt idx="247">
                  <c:v>38534</c:v>
                </c:pt>
                <c:pt idx="248">
                  <c:v>38504</c:v>
                </c:pt>
                <c:pt idx="249">
                  <c:v>38473</c:v>
                </c:pt>
                <c:pt idx="250">
                  <c:v>38443</c:v>
                </c:pt>
                <c:pt idx="251">
                  <c:v>38412</c:v>
                </c:pt>
                <c:pt idx="252">
                  <c:v>38384</c:v>
                </c:pt>
                <c:pt idx="253">
                  <c:v>38353</c:v>
                </c:pt>
                <c:pt idx="254">
                  <c:v>38322</c:v>
                </c:pt>
                <c:pt idx="255">
                  <c:v>38292</c:v>
                </c:pt>
                <c:pt idx="256">
                  <c:v>38261</c:v>
                </c:pt>
                <c:pt idx="257">
                  <c:v>38231</c:v>
                </c:pt>
                <c:pt idx="258">
                  <c:v>38200</c:v>
                </c:pt>
                <c:pt idx="259">
                  <c:v>38169</c:v>
                </c:pt>
                <c:pt idx="260">
                  <c:v>38139</c:v>
                </c:pt>
                <c:pt idx="261">
                  <c:v>38108</c:v>
                </c:pt>
                <c:pt idx="262">
                  <c:v>38078</c:v>
                </c:pt>
                <c:pt idx="263">
                  <c:v>38047</c:v>
                </c:pt>
                <c:pt idx="264">
                  <c:v>38018</c:v>
                </c:pt>
                <c:pt idx="265">
                  <c:v>37987</c:v>
                </c:pt>
                <c:pt idx="266">
                  <c:v>37956</c:v>
                </c:pt>
                <c:pt idx="267">
                  <c:v>37926</c:v>
                </c:pt>
                <c:pt idx="268">
                  <c:v>37895</c:v>
                </c:pt>
                <c:pt idx="269">
                  <c:v>37865</c:v>
                </c:pt>
                <c:pt idx="270">
                  <c:v>37834</c:v>
                </c:pt>
                <c:pt idx="271">
                  <c:v>37803</c:v>
                </c:pt>
                <c:pt idx="272">
                  <c:v>37773</c:v>
                </c:pt>
                <c:pt idx="273">
                  <c:v>37742</c:v>
                </c:pt>
                <c:pt idx="274">
                  <c:v>37712</c:v>
                </c:pt>
                <c:pt idx="275">
                  <c:v>37681</c:v>
                </c:pt>
                <c:pt idx="276">
                  <c:v>37653</c:v>
                </c:pt>
                <c:pt idx="277">
                  <c:v>37622</c:v>
                </c:pt>
                <c:pt idx="278">
                  <c:v>37591</c:v>
                </c:pt>
                <c:pt idx="279">
                  <c:v>37561</c:v>
                </c:pt>
                <c:pt idx="280">
                  <c:v>37530</c:v>
                </c:pt>
                <c:pt idx="281">
                  <c:v>37500</c:v>
                </c:pt>
                <c:pt idx="282">
                  <c:v>37469</c:v>
                </c:pt>
                <c:pt idx="283">
                  <c:v>37438</c:v>
                </c:pt>
                <c:pt idx="284">
                  <c:v>37408</c:v>
                </c:pt>
                <c:pt idx="285">
                  <c:v>37377</c:v>
                </c:pt>
                <c:pt idx="286">
                  <c:v>37347</c:v>
                </c:pt>
                <c:pt idx="287">
                  <c:v>37316</c:v>
                </c:pt>
                <c:pt idx="288">
                  <c:v>37288</c:v>
                </c:pt>
                <c:pt idx="289">
                  <c:v>37257</c:v>
                </c:pt>
                <c:pt idx="290">
                  <c:v>37226</c:v>
                </c:pt>
                <c:pt idx="291">
                  <c:v>37196</c:v>
                </c:pt>
                <c:pt idx="292">
                  <c:v>37165</c:v>
                </c:pt>
                <c:pt idx="293">
                  <c:v>37135</c:v>
                </c:pt>
                <c:pt idx="294">
                  <c:v>37104</c:v>
                </c:pt>
                <c:pt idx="295">
                  <c:v>37073</c:v>
                </c:pt>
                <c:pt idx="296">
                  <c:v>37043</c:v>
                </c:pt>
                <c:pt idx="297">
                  <c:v>37012</c:v>
                </c:pt>
                <c:pt idx="298">
                  <c:v>36982</c:v>
                </c:pt>
                <c:pt idx="299">
                  <c:v>36951</c:v>
                </c:pt>
                <c:pt idx="300">
                  <c:v>36923</c:v>
                </c:pt>
                <c:pt idx="301">
                  <c:v>36892</c:v>
                </c:pt>
                <c:pt idx="302">
                  <c:v>36861</c:v>
                </c:pt>
                <c:pt idx="303">
                  <c:v>36831</c:v>
                </c:pt>
                <c:pt idx="304">
                  <c:v>36800</c:v>
                </c:pt>
                <c:pt idx="305">
                  <c:v>36770</c:v>
                </c:pt>
                <c:pt idx="306">
                  <c:v>36739</c:v>
                </c:pt>
                <c:pt idx="307">
                  <c:v>36708</c:v>
                </c:pt>
                <c:pt idx="308">
                  <c:v>36678</c:v>
                </c:pt>
                <c:pt idx="309">
                  <c:v>36647</c:v>
                </c:pt>
                <c:pt idx="310">
                  <c:v>36617</c:v>
                </c:pt>
                <c:pt idx="311">
                  <c:v>36586</c:v>
                </c:pt>
                <c:pt idx="312">
                  <c:v>36557</c:v>
                </c:pt>
                <c:pt idx="313">
                  <c:v>36526</c:v>
                </c:pt>
                <c:pt idx="314">
                  <c:v>36495</c:v>
                </c:pt>
                <c:pt idx="315">
                  <c:v>36465</c:v>
                </c:pt>
                <c:pt idx="316">
                  <c:v>36434</c:v>
                </c:pt>
                <c:pt idx="317">
                  <c:v>36404</c:v>
                </c:pt>
                <c:pt idx="318">
                  <c:v>36373</c:v>
                </c:pt>
                <c:pt idx="319">
                  <c:v>36342</c:v>
                </c:pt>
                <c:pt idx="320">
                  <c:v>36312</c:v>
                </c:pt>
                <c:pt idx="321">
                  <c:v>36281</c:v>
                </c:pt>
                <c:pt idx="322">
                  <c:v>36251</c:v>
                </c:pt>
                <c:pt idx="323">
                  <c:v>36220</c:v>
                </c:pt>
                <c:pt idx="324">
                  <c:v>36192</c:v>
                </c:pt>
                <c:pt idx="325">
                  <c:v>36161</c:v>
                </c:pt>
                <c:pt idx="326">
                  <c:v>36130</c:v>
                </c:pt>
                <c:pt idx="327">
                  <c:v>36100</c:v>
                </c:pt>
                <c:pt idx="328">
                  <c:v>36069</c:v>
                </c:pt>
                <c:pt idx="329">
                  <c:v>36039</c:v>
                </c:pt>
                <c:pt idx="330">
                  <c:v>36008</c:v>
                </c:pt>
                <c:pt idx="331">
                  <c:v>35977</c:v>
                </c:pt>
                <c:pt idx="332">
                  <c:v>35947</c:v>
                </c:pt>
                <c:pt idx="333">
                  <c:v>35916</c:v>
                </c:pt>
                <c:pt idx="334">
                  <c:v>35886</c:v>
                </c:pt>
                <c:pt idx="335">
                  <c:v>35855</c:v>
                </c:pt>
                <c:pt idx="336">
                  <c:v>35827</c:v>
                </c:pt>
                <c:pt idx="337">
                  <c:v>35796</c:v>
                </c:pt>
                <c:pt idx="338">
                  <c:v>35765</c:v>
                </c:pt>
                <c:pt idx="339">
                  <c:v>35735</c:v>
                </c:pt>
                <c:pt idx="340">
                  <c:v>35704</c:v>
                </c:pt>
                <c:pt idx="341">
                  <c:v>35674</c:v>
                </c:pt>
                <c:pt idx="342">
                  <c:v>35643</c:v>
                </c:pt>
                <c:pt idx="343">
                  <c:v>35612</c:v>
                </c:pt>
                <c:pt idx="344">
                  <c:v>35582</c:v>
                </c:pt>
                <c:pt idx="345">
                  <c:v>35551</c:v>
                </c:pt>
                <c:pt idx="346">
                  <c:v>35521</c:v>
                </c:pt>
                <c:pt idx="347">
                  <c:v>35490</c:v>
                </c:pt>
                <c:pt idx="348">
                  <c:v>35462</c:v>
                </c:pt>
                <c:pt idx="349">
                  <c:v>35431</c:v>
                </c:pt>
                <c:pt idx="350">
                  <c:v>35400</c:v>
                </c:pt>
                <c:pt idx="351">
                  <c:v>35370</c:v>
                </c:pt>
                <c:pt idx="352">
                  <c:v>35339</c:v>
                </c:pt>
                <c:pt idx="353">
                  <c:v>35309</c:v>
                </c:pt>
                <c:pt idx="354">
                  <c:v>35278</c:v>
                </c:pt>
                <c:pt idx="355">
                  <c:v>35247</c:v>
                </c:pt>
                <c:pt idx="356">
                  <c:v>35217</c:v>
                </c:pt>
                <c:pt idx="357">
                  <c:v>35186</c:v>
                </c:pt>
                <c:pt idx="358">
                  <c:v>35156</c:v>
                </c:pt>
                <c:pt idx="359">
                  <c:v>35125</c:v>
                </c:pt>
                <c:pt idx="360">
                  <c:v>35096</c:v>
                </c:pt>
                <c:pt idx="361">
                  <c:v>35065</c:v>
                </c:pt>
                <c:pt idx="362">
                  <c:v>35034</c:v>
                </c:pt>
                <c:pt idx="363">
                  <c:v>35004</c:v>
                </c:pt>
                <c:pt idx="364">
                  <c:v>34973</c:v>
                </c:pt>
                <c:pt idx="365">
                  <c:v>34943</c:v>
                </c:pt>
                <c:pt idx="366">
                  <c:v>34912</c:v>
                </c:pt>
                <c:pt idx="367">
                  <c:v>34881</c:v>
                </c:pt>
                <c:pt idx="368">
                  <c:v>34851</c:v>
                </c:pt>
                <c:pt idx="369">
                  <c:v>34820</c:v>
                </c:pt>
                <c:pt idx="370">
                  <c:v>34790</c:v>
                </c:pt>
                <c:pt idx="371">
                  <c:v>34759</c:v>
                </c:pt>
                <c:pt idx="372">
                  <c:v>34731</c:v>
                </c:pt>
                <c:pt idx="373">
                  <c:v>34700</c:v>
                </c:pt>
                <c:pt idx="374">
                  <c:v>34669</c:v>
                </c:pt>
                <c:pt idx="375">
                  <c:v>34639</c:v>
                </c:pt>
                <c:pt idx="376">
                  <c:v>34608</c:v>
                </c:pt>
                <c:pt idx="377">
                  <c:v>34578</c:v>
                </c:pt>
                <c:pt idx="378">
                  <c:v>34547</c:v>
                </c:pt>
                <c:pt idx="379">
                  <c:v>34516</c:v>
                </c:pt>
                <c:pt idx="380">
                  <c:v>34486</c:v>
                </c:pt>
                <c:pt idx="381">
                  <c:v>34455</c:v>
                </c:pt>
                <c:pt idx="382">
                  <c:v>34425</c:v>
                </c:pt>
                <c:pt idx="383">
                  <c:v>34394</c:v>
                </c:pt>
                <c:pt idx="384">
                  <c:v>34366</c:v>
                </c:pt>
                <c:pt idx="385">
                  <c:v>34335</c:v>
                </c:pt>
                <c:pt idx="386">
                  <c:v>34304</c:v>
                </c:pt>
                <c:pt idx="387">
                  <c:v>34274</c:v>
                </c:pt>
                <c:pt idx="388">
                  <c:v>34243</c:v>
                </c:pt>
                <c:pt idx="389">
                  <c:v>34213</c:v>
                </c:pt>
                <c:pt idx="390">
                  <c:v>34182</c:v>
                </c:pt>
                <c:pt idx="391">
                  <c:v>34151</c:v>
                </c:pt>
                <c:pt idx="392">
                  <c:v>34121</c:v>
                </c:pt>
                <c:pt idx="393">
                  <c:v>34090</c:v>
                </c:pt>
                <c:pt idx="394">
                  <c:v>34060</c:v>
                </c:pt>
                <c:pt idx="395">
                  <c:v>34029</c:v>
                </c:pt>
                <c:pt idx="396">
                  <c:v>34001</c:v>
                </c:pt>
                <c:pt idx="397">
                  <c:v>33970</c:v>
                </c:pt>
                <c:pt idx="398">
                  <c:v>33939</c:v>
                </c:pt>
                <c:pt idx="399">
                  <c:v>33909</c:v>
                </c:pt>
                <c:pt idx="400">
                  <c:v>33878</c:v>
                </c:pt>
                <c:pt idx="401">
                  <c:v>33848</c:v>
                </c:pt>
                <c:pt idx="402">
                  <c:v>33817</c:v>
                </c:pt>
                <c:pt idx="403">
                  <c:v>33786</c:v>
                </c:pt>
                <c:pt idx="404">
                  <c:v>33756</c:v>
                </c:pt>
                <c:pt idx="405">
                  <c:v>33725</c:v>
                </c:pt>
                <c:pt idx="406">
                  <c:v>33695</c:v>
                </c:pt>
                <c:pt idx="407">
                  <c:v>33664</c:v>
                </c:pt>
                <c:pt idx="408">
                  <c:v>33635</c:v>
                </c:pt>
                <c:pt idx="409">
                  <c:v>33604</c:v>
                </c:pt>
                <c:pt idx="410">
                  <c:v>33573</c:v>
                </c:pt>
                <c:pt idx="411">
                  <c:v>33543</c:v>
                </c:pt>
                <c:pt idx="412">
                  <c:v>33512</c:v>
                </c:pt>
                <c:pt idx="413">
                  <c:v>33482</c:v>
                </c:pt>
                <c:pt idx="414">
                  <c:v>33451</c:v>
                </c:pt>
                <c:pt idx="415">
                  <c:v>33420</c:v>
                </c:pt>
                <c:pt idx="416">
                  <c:v>33390</c:v>
                </c:pt>
                <c:pt idx="417">
                  <c:v>33359</c:v>
                </c:pt>
                <c:pt idx="418">
                  <c:v>33329</c:v>
                </c:pt>
                <c:pt idx="419">
                  <c:v>33298</c:v>
                </c:pt>
                <c:pt idx="420">
                  <c:v>33270</c:v>
                </c:pt>
              </c:numCache>
            </c:numRef>
          </c:cat>
          <c:val>
            <c:numRef>
              <c:f>'Unemployment rate'!$C$3:$C$423</c:f>
              <c:numCache>
                <c:formatCode>0.00</c:formatCode>
                <c:ptCount val="421"/>
                <c:pt idx="0">
                  <c:v>2.5498970351970565</c:v>
                </c:pt>
                <c:pt idx="1">
                  <c:v>2.5362711782003795</c:v>
                </c:pt>
                <c:pt idx="2">
                  <c:v>2.5642012501178675</c:v>
                </c:pt>
                <c:pt idx="3">
                  <c:v>2.5429767584358784</c:v>
                </c:pt>
                <c:pt idx="4">
                  <c:v>2.5077248494061566</c:v>
                </c:pt>
                <c:pt idx="5">
                  <c:v>2.498674234100112</c:v>
                </c:pt>
                <c:pt idx="6">
                  <c:v>2.4797757535831728</c:v>
                </c:pt>
                <c:pt idx="7">
                  <c:v>2.4564294220150735</c:v>
                </c:pt>
                <c:pt idx="8">
                  <c:v>2.4406530313605943</c:v>
                </c:pt>
                <c:pt idx="9">
                  <c:v>2.4617550314369891</c:v>
                </c:pt>
                <c:pt idx="10">
                  <c:v>2.4836858631538936</c:v>
                </c:pt>
                <c:pt idx="11">
                  <c:v>2.4829554021055178</c:v>
                </c:pt>
                <c:pt idx="12">
                  <c:v>2.4851130434925666</c:v>
                </c:pt>
                <c:pt idx="13">
                  <c:v>2.4597593610004962</c:v>
                </c:pt>
                <c:pt idx="14">
                  <c:v>2.4187814593863042</c:v>
                </c:pt>
                <c:pt idx="15">
                  <c:v>2.3670216502045744</c:v>
                </c:pt>
                <c:pt idx="16">
                  <c:v>2.3608457928924169</c:v>
                </c:pt>
                <c:pt idx="17">
                  <c:v>2.3251359204367383</c:v>
                </c:pt>
                <c:pt idx="18">
                  <c:v>2.2489752008561918</c:v>
                </c:pt>
                <c:pt idx="19">
                  <c:v>2.2431821491151802</c:v>
                </c:pt>
                <c:pt idx="20">
                  <c:v>2.1952348704637266</c:v>
                </c:pt>
                <c:pt idx="21">
                  <c:v>2.1526868736649956</c:v>
                </c:pt>
                <c:pt idx="22">
                  <c:v>2.1258429110954848</c:v>
                </c:pt>
                <c:pt idx="23">
                  <c:v>2.1090329322688399</c:v>
                </c:pt>
                <c:pt idx="24">
                  <c:v>2.0784991311779524</c:v>
                </c:pt>
                <c:pt idx="25">
                  <c:v>2.0803004595532029</c:v>
                </c:pt>
                <c:pt idx="26">
                  <c:v>2.068854961817451</c:v>
                </c:pt>
                <c:pt idx="27">
                  <c:v>2.052318957350189</c:v>
                </c:pt>
                <c:pt idx="28">
                  <c:v>2.0082917992741249</c:v>
                </c:pt>
                <c:pt idx="29">
                  <c:v>1.9789303154270905</c:v>
                </c:pt>
                <c:pt idx="30">
                  <c:v>1.9826071160956038</c:v>
                </c:pt>
                <c:pt idx="31">
                  <c:v>1.9929587940229865</c:v>
                </c:pt>
                <c:pt idx="32">
                  <c:v>1.9691410467242403</c:v>
                </c:pt>
                <c:pt idx="33">
                  <c:v>1.9265141933760555</c:v>
                </c:pt>
                <c:pt idx="34">
                  <c:v>1.9013471771534716</c:v>
                </c:pt>
                <c:pt idx="35">
                  <c:v>1.8829970723771572</c:v>
                </c:pt>
                <c:pt idx="36">
                  <c:v>1.8878463269661419</c:v>
                </c:pt>
                <c:pt idx="37">
                  <c:v>1.8786206598562569</c:v>
                </c:pt>
                <c:pt idx="38">
                  <c:v>1.8690430098238966</c:v>
                </c:pt>
                <c:pt idx="39">
                  <c:v>1.9031156446902766</c:v>
                </c:pt>
                <c:pt idx="40">
                  <c:v>1.9364482219412782</c:v>
                </c:pt>
                <c:pt idx="41">
                  <c:v>2.01365093823014</c:v>
                </c:pt>
                <c:pt idx="42">
                  <c:v>2.0689867278428378</c:v>
                </c:pt>
                <c:pt idx="43">
                  <c:v>2.0722059048795392</c:v>
                </c:pt>
                <c:pt idx="44">
                  <c:v>2.1190667609329079</c:v>
                </c:pt>
                <c:pt idx="45">
                  <c:v>2.1639078935044513</c:v>
                </c:pt>
                <c:pt idx="46">
                  <c:v>2.1958808782342731</c:v>
                </c:pt>
                <c:pt idx="47">
                  <c:v>2.2582853358027113</c:v>
                </c:pt>
                <c:pt idx="48">
                  <c:v>2.360415987243484</c:v>
                </c:pt>
                <c:pt idx="49">
                  <c:v>2.4836573362970076</c:v>
                </c:pt>
                <c:pt idx="50">
                  <c:v>2.6435929163838177</c:v>
                </c:pt>
                <c:pt idx="51">
                  <c:v>2.809288630939474</c:v>
                </c:pt>
                <c:pt idx="52">
                  <c:v>3.0214000853828233</c:v>
                </c:pt>
                <c:pt idx="53">
                  <c:v>3.1827611079141889</c:v>
                </c:pt>
                <c:pt idx="54">
                  <c:v>3.3886736272312121</c:v>
                </c:pt>
                <c:pt idx="55">
                  <c:v>3.6194542747101837</c:v>
                </c:pt>
                <c:pt idx="56">
                  <c:v>3.8262695756547607</c:v>
                </c:pt>
                <c:pt idx="57">
                  <c:v>4.0523755599572873</c:v>
                </c:pt>
                <c:pt idx="58">
                  <c:v>4.2200875564172193</c:v>
                </c:pt>
                <c:pt idx="59">
                  <c:v>4.2464179926467249</c:v>
                </c:pt>
                <c:pt idx="60">
                  <c:v>4.1984426647281596</c:v>
                </c:pt>
                <c:pt idx="61">
                  <c:v>4.146074166490135</c:v>
                </c:pt>
                <c:pt idx="62">
                  <c:v>4.0757870557421079</c:v>
                </c:pt>
                <c:pt idx="63">
                  <c:v>3.9680390214576646</c:v>
                </c:pt>
                <c:pt idx="64">
                  <c:v>3.819721240631877</c:v>
                </c:pt>
                <c:pt idx="65">
                  <c:v>3.6955472156575899</c:v>
                </c:pt>
                <c:pt idx="66">
                  <c:v>3.5467063370866732</c:v>
                </c:pt>
                <c:pt idx="67">
                  <c:v>3.3764746306216185</c:v>
                </c:pt>
                <c:pt idx="68">
                  <c:v>3.2110417009704113</c:v>
                </c:pt>
                <c:pt idx="69">
                  <c:v>3.0228473992785907</c:v>
                </c:pt>
                <c:pt idx="70">
                  <c:v>2.8661555018798661</c:v>
                </c:pt>
                <c:pt idx="71">
                  <c:v>2.8454148063928355</c:v>
                </c:pt>
                <c:pt idx="72">
                  <c:v>2.8473060979915021</c:v>
                </c:pt>
                <c:pt idx="73">
                  <c:v>2.8310387504855128</c:v>
                </c:pt>
                <c:pt idx="74">
                  <c:v>2.7641316652568784</c:v>
                </c:pt>
                <c:pt idx="75">
                  <c:v>2.7158658389055192</c:v>
                </c:pt>
                <c:pt idx="76">
                  <c:v>2.6824892191997827</c:v>
                </c:pt>
                <c:pt idx="77">
                  <c:v>2.6178433024015888</c:v>
                </c:pt>
                <c:pt idx="78">
                  <c:v>2.5975027980422869</c:v>
                </c:pt>
                <c:pt idx="79">
                  <c:v>2.5980566777742884</c:v>
                </c:pt>
                <c:pt idx="80">
                  <c:v>2.60557969074722</c:v>
                </c:pt>
                <c:pt idx="81">
                  <c:v>2.6401180652208658</c:v>
                </c:pt>
                <c:pt idx="82">
                  <c:v>2.653555014498119</c:v>
                </c:pt>
                <c:pt idx="83">
                  <c:v>2.6457024042364239</c:v>
                </c:pt>
                <c:pt idx="84">
                  <c:v>2.659738927565523</c:v>
                </c:pt>
                <c:pt idx="85">
                  <c:v>2.6929492507974571</c:v>
                </c:pt>
                <c:pt idx="86">
                  <c:v>2.7468823230403157</c:v>
                </c:pt>
                <c:pt idx="87">
                  <c:v>2.8471823705016241</c:v>
                </c:pt>
                <c:pt idx="88">
                  <c:v>2.9171321257426679</c:v>
                </c:pt>
                <c:pt idx="89">
                  <c:v>2.9697165397510221</c:v>
                </c:pt>
                <c:pt idx="90">
                  <c:v>3.0188884719103588</c:v>
                </c:pt>
                <c:pt idx="91">
                  <c:v>3.0565391441121417</c:v>
                </c:pt>
                <c:pt idx="92">
                  <c:v>3.1172021725374677</c:v>
                </c:pt>
                <c:pt idx="93">
                  <c:v>3.1350522223960295</c:v>
                </c:pt>
                <c:pt idx="94">
                  <c:v>3.1939840154094843</c:v>
                </c:pt>
                <c:pt idx="95">
                  <c:v>3.2434569271613354</c:v>
                </c:pt>
                <c:pt idx="96">
                  <c:v>3.3050485193182024</c:v>
                </c:pt>
                <c:pt idx="97">
                  <c:v>3.3181954205556843</c:v>
                </c:pt>
                <c:pt idx="98">
                  <c:v>3.3435023126141679</c:v>
                </c:pt>
                <c:pt idx="99">
                  <c:v>3.3468295202996661</c:v>
                </c:pt>
                <c:pt idx="100">
                  <c:v>3.3556733679221442</c:v>
                </c:pt>
                <c:pt idx="101">
                  <c:v>3.3718796899484973</c:v>
                </c:pt>
                <c:pt idx="102">
                  <c:v>3.3751313846437294</c:v>
                </c:pt>
                <c:pt idx="103">
                  <c:v>3.369010266760839</c:v>
                </c:pt>
                <c:pt idx="104">
                  <c:v>3.3639616168503488</c:v>
                </c:pt>
                <c:pt idx="105">
                  <c:v>3.3792996960177115</c:v>
                </c:pt>
                <c:pt idx="106">
                  <c:v>3.3789656271787107</c:v>
                </c:pt>
                <c:pt idx="107">
                  <c:v>3.3596111475536112</c:v>
                </c:pt>
                <c:pt idx="108">
                  <c:v>3.318741895828039</c:v>
                </c:pt>
                <c:pt idx="109">
                  <c:v>3.3278137531742953</c:v>
                </c:pt>
                <c:pt idx="110">
                  <c:v>3.3576464198177849</c:v>
                </c:pt>
                <c:pt idx="111">
                  <c:v>3.3521490121994244</c:v>
                </c:pt>
                <c:pt idx="112">
                  <c:v>3.3581400046017089</c:v>
                </c:pt>
                <c:pt idx="113">
                  <c:v>3.3602514394902436</c:v>
                </c:pt>
                <c:pt idx="114">
                  <c:v>3.3848727734791741</c:v>
                </c:pt>
                <c:pt idx="115">
                  <c:v>3.3966275608352663</c:v>
                </c:pt>
                <c:pt idx="116">
                  <c:v>3.4230405068725736</c:v>
                </c:pt>
                <c:pt idx="117">
                  <c:v>3.4145435807984503</c:v>
                </c:pt>
                <c:pt idx="118">
                  <c:v>3.4078422008282634</c:v>
                </c:pt>
                <c:pt idx="119">
                  <c:v>3.4453204153093404</c:v>
                </c:pt>
                <c:pt idx="120">
                  <c:v>3.4697439851360508</c:v>
                </c:pt>
                <c:pt idx="121">
                  <c:v>3.4648561523529233</c:v>
                </c:pt>
                <c:pt idx="122">
                  <c:v>3.4798860813068639</c:v>
                </c:pt>
                <c:pt idx="123">
                  <c:v>3.4950242667207347</c:v>
                </c:pt>
                <c:pt idx="124">
                  <c:v>3.5307113953115783</c:v>
                </c:pt>
                <c:pt idx="125">
                  <c:v>3.5986010567484872</c:v>
                </c:pt>
                <c:pt idx="126">
                  <c:v>3.6200349486947152</c:v>
                </c:pt>
                <c:pt idx="127">
                  <c:v>3.6803296235902914</c:v>
                </c:pt>
                <c:pt idx="128">
                  <c:v>3.7030568240731467</c:v>
                </c:pt>
                <c:pt idx="129">
                  <c:v>3.73257421065748</c:v>
                </c:pt>
                <c:pt idx="130">
                  <c:v>3.7257871771741984</c:v>
                </c:pt>
                <c:pt idx="131">
                  <c:v>3.7441700060000587</c:v>
                </c:pt>
                <c:pt idx="132">
                  <c:v>3.7615984088603436</c:v>
                </c:pt>
                <c:pt idx="133">
                  <c:v>3.792460821507075</c:v>
                </c:pt>
                <c:pt idx="134">
                  <c:v>3.7806904679165867</c:v>
                </c:pt>
                <c:pt idx="135">
                  <c:v>3.799384711220323</c:v>
                </c:pt>
                <c:pt idx="136">
                  <c:v>3.7729810038887783</c:v>
                </c:pt>
                <c:pt idx="137">
                  <c:v>3.7270753730749111</c:v>
                </c:pt>
                <c:pt idx="138">
                  <c:v>3.6822194390822234</c:v>
                </c:pt>
                <c:pt idx="139">
                  <c:v>3.6179214214352604</c:v>
                </c:pt>
                <c:pt idx="140">
                  <c:v>3.55017012201768</c:v>
                </c:pt>
                <c:pt idx="141">
                  <c:v>3.5308506375550297</c:v>
                </c:pt>
                <c:pt idx="142">
                  <c:v>3.5474876445630281</c:v>
                </c:pt>
                <c:pt idx="143">
                  <c:v>3.5509561504659213</c:v>
                </c:pt>
                <c:pt idx="144">
                  <c:v>3.5201613535300318</c:v>
                </c:pt>
                <c:pt idx="145">
                  <c:v>3.4911131657807299</c:v>
                </c:pt>
                <c:pt idx="146">
                  <c:v>3.509568344187362</c:v>
                </c:pt>
                <c:pt idx="147">
                  <c:v>3.4621998703323604</c:v>
                </c:pt>
                <c:pt idx="148">
                  <c:v>3.3950127727961545</c:v>
                </c:pt>
                <c:pt idx="149">
                  <c:v>3.3763423365084937</c:v>
                </c:pt>
                <c:pt idx="150">
                  <c:v>3.3727944986643528</c:v>
                </c:pt>
                <c:pt idx="151">
                  <c:v>3.3641108893799174</c:v>
                </c:pt>
                <c:pt idx="152">
                  <c:v>3.3407247170916858</c:v>
                </c:pt>
                <c:pt idx="153">
                  <c:v>3.3002080772746201</c:v>
                </c:pt>
                <c:pt idx="154">
                  <c:v>3.2947092970253888</c:v>
                </c:pt>
                <c:pt idx="155">
                  <c:v>3.2320901190682925</c:v>
                </c:pt>
                <c:pt idx="156">
                  <c:v>3.232297597473945</c:v>
                </c:pt>
                <c:pt idx="157">
                  <c:v>3.2180596289875281</c:v>
                </c:pt>
                <c:pt idx="158">
                  <c:v>3.1226978111803101</c:v>
                </c:pt>
                <c:pt idx="159">
                  <c:v>3.0930683829867673</c:v>
                </c:pt>
                <c:pt idx="160">
                  <c:v>3.1068250102501929</c:v>
                </c:pt>
                <c:pt idx="161">
                  <c:v>3.0889722548937328</c:v>
                </c:pt>
                <c:pt idx="162">
                  <c:v>3.0485345996944888</c:v>
                </c:pt>
                <c:pt idx="163">
                  <c:v>2.9929427783618103</c:v>
                </c:pt>
                <c:pt idx="164">
                  <c:v>2.9785421866107695</c:v>
                </c:pt>
                <c:pt idx="165">
                  <c:v>2.9663259300326299</c:v>
                </c:pt>
                <c:pt idx="166">
                  <c:v>2.9216230692664293</c:v>
                </c:pt>
                <c:pt idx="167">
                  <c:v>2.8676041601813256</c:v>
                </c:pt>
                <c:pt idx="168">
                  <c:v>2.7957338211724068</c:v>
                </c:pt>
                <c:pt idx="169">
                  <c:v>2.7653323354176198</c:v>
                </c:pt>
                <c:pt idx="170">
                  <c:v>2.7711087362766813</c:v>
                </c:pt>
                <c:pt idx="171">
                  <c:v>2.7523101707129181</c:v>
                </c:pt>
                <c:pt idx="172">
                  <c:v>2.7293057291167937</c:v>
                </c:pt>
                <c:pt idx="173">
                  <c:v>2.7147428914508569</c:v>
                </c:pt>
                <c:pt idx="174">
                  <c:v>2.7319933563160324</c:v>
                </c:pt>
                <c:pt idx="175">
                  <c:v>2.7551331020151308</c:v>
                </c:pt>
                <c:pt idx="176">
                  <c:v>2.7500204082086608</c:v>
                </c:pt>
                <c:pt idx="177">
                  <c:v>2.7646323658363952</c:v>
                </c:pt>
                <c:pt idx="178">
                  <c:v>2.7839293474138671</c:v>
                </c:pt>
                <c:pt idx="179">
                  <c:v>2.8362051106874828</c:v>
                </c:pt>
                <c:pt idx="180">
                  <c:v>2.8821246458948298</c:v>
                </c:pt>
                <c:pt idx="181">
                  <c:v>2.9038572905833231</c:v>
                </c:pt>
                <c:pt idx="182">
                  <c:v>2.9209008978819191</c:v>
                </c:pt>
                <c:pt idx="183">
                  <c:v>2.9461016872261454</c:v>
                </c:pt>
                <c:pt idx="184">
                  <c:v>2.9684404231147319</c:v>
                </c:pt>
                <c:pt idx="185">
                  <c:v>2.9832341631986372</c:v>
                </c:pt>
                <c:pt idx="186">
                  <c:v>2.9909812744836901</c:v>
                </c:pt>
                <c:pt idx="187">
                  <c:v>3.0481622346094062</c:v>
                </c:pt>
                <c:pt idx="188">
                  <c:v>3.0889149903340845</c:v>
                </c:pt>
                <c:pt idx="189">
                  <c:v>3.1419921646863411</c:v>
                </c:pt>
                <c:pt idx="190">
                  <c:v>3.2030002164785283</c:v>
                </c:pt>
                <c:pt idx="191">
                  <c:v>3.2741006888571462</c:v>
                </c:pt>
                <c:pt idx="192">
                  <c:v>3.289326184225982</c:v>
                </c:pt>
                <c:pt idx="193">
                  <c:v>3.3177714192477286</c:v>
                </c:pt>
                <c:pt idx="194">
                  <c:v>3.2913494864021486</c:v>
                </c:pt>
                <c:pt idx="195">
                  <c:v>3.2587393508526561</c:v>
                </c:pt>
                <c:pt idx="196">
                  <c:v>3.2119416682241093</c:v>
                </c:pt>
                <c:pt idx="197">
                  <c:v>3.1730018180241193</c:v>
                </c:pt>
                <c:pt idx="198">
                  <c:v>3.110072594418186</c:v>
                </c:pt>
                <c:pt idx="199">
                  <c:v>3.0070014257712603</c:v>
                </c:pt>
                <c:pt idx="200">
                  <c:v>2.9391051496952065</c:v>
                </c:pt>
                <c:pt idx="201">
                  <c:v>2.8763732925450216</c:v>
                </c:pt>
                <c:pt idx="202">
                  <c:v>2.7688880690921507</c:v>
                </c:pt>
                <c:pt idx="203">
                  <c:v>2.6705677511991097</c:v>
                </c:pt>
                <c:pt idx="204">
                  <c:v>2.5910204640550547</c:v>
                </c:pt>
                <c:pt idx="205">
                  <c:v>2.4877912811331351</c:v>
                </c:pt>
                <c:pt idx="206">
                  <c:v>2.4811773902832801</c:v>
                </c:pt>
                <c:pt idx="207">
                  <c:v>2.494965600959</c:v>
                </c:pt>
                <c:pt idx="208">
                  <c:v>2.5096108246106246</c:v>
                </c:pt>
                <c:pt idx="209">
                  <c:v>2.4876246530998771</c:v>
                </c:pt>
                <c:pt idx="210">
                  <c:v>2.4945886332573202</c:v>
                </c:pt>
                <c:pt idx="211">
                  <c:v>2.5048260315070747</c:v>
                </c:pt>
                <c:pt idx="212">
                  <c:v>2.5006981167400104</c:v>
                </c:pt>
                <c:pt idx="213">
                  <c:v>2.4939824197545066</c:v>
                </c:pt>
                <c:pt idx="214">
                  <c:v>2.522130867036029</c:v>
                </c:pt>
                <c:pt idx="215">
                  <c:v>2.5093759403412252</c:v>
                </c:pt>
                <c:pt idx="216">
                  <c:v>2.5572552323161624</c:v>
                </c:pt>
                <c:pt idx="217">
                  <c:v>2.6162540129747835</c:v>
                </c:pt>
                <c:pt idx="218">
                  <c:v>2.6094205910181305</c:v>
                </c:pt>
                <c:pt idx="219">
                  <c:v>2.6018389570068932</c:v>
                </c:pt>
                <c:pt idx="220">
                  <c:v>2.5784512219988365</c:v>
                </c:pt>
                <c:pt idx="221">
                  <c:v>2.6029042236309441</c:v>
                </c:pt>
                <c:pt idx="222">
                  <c:v>2.6021923504105104</c:v>
                </c:pt>
                <c:pt idx="223">
                  <c:v>2.6077819056533009</c:v>
                </c:pt>
                <c:pt idx="224">
                  <c:v>2.6525609044373715</c:v>
                </c:pt>
                <c:pt idx="225">
                  <c:v>2.6452436585757115</c:v>
                </c:pt>
                <c:pt idx="226">
                  <c:v>2.6193802154659771</c:v>
                </c:pt>
                <c:pt idx="227">
                  <c:v>2.6254231362634162</c:v>
                </c:pt>
                <c:pt idx="228">
                  <c:v>2.6135518941934137</c:v>
                </c:pt>
                <c:pt idx="229">
                  <c:v>2.6067775483185729</c:v>
                </c:pt>
                <c:pt idx="230">
                  <c:v>2.6086848764249857</c:v>
                </c:pt>
                <c:pt idx="231">
                  <c:v>2.6464751315790873</c:v>
                </c:pt>
                <c:pt idx="232">
                  <c:v>2.685203490897508</c:v>
                </c:pt>
                <c:pt idx="233">
                  <c:v>2.7062710355745359</c:v>
                </c:pt>
                <c:pt idx="234">
                  <c:v>2.7581954010272103</c:v>
                </c:pt>
                <c:pt idx="235">
                  <c:v>2.7702174465193488</c:v>
                </c:pt>
                <c:pt idx="236">
                  <c:v>2.7792272799533202</c:v>
                </c:pt>
                <c:pt idx="237">
                  <c:v>2.7957710381868486</c:v>
                </c:pt>
                <c:pt idx="238">
                  <c:v>2.8337348915537346</c:v>
                </c:pt>
                <c:pt idx="239">
                  <c:v>2.8325285767824879</c:v>
                </c:pt>
                <c:pt idx="240">
                  <c:v>2.8431672463179254</c:v>
                </c:pt>
                <c:pt idx="241">
                  <c:v>2.8595320401547957</c:v>
                </c:pt>
                <c:pt idx="242">
                  <c:v>2.8725953575726098</c:v>
                </c:pt>
                <c:pt idx="243">
                  <c:v>2.8570522263859304</c:v>
                </c:pt>
                <c:pt idx="244">
                  <c:v>2.85309747572003</c:v>
                </c:pt>
                <c:pt idx="245">
                  <c:v>2.8397616875132292</c:v>
                </c:pt>
                <c:pt idx="246">
                  <c:v>2.8291372498184124</c:v>
                </c:pt>
                <c:pt idx="247">
                  <c:v>2.8466438169508845</c:v>
                </c:pt>
                <c:pt idx="248">
                  <c:v>2.8297064420988964</c:v>
                </c:pt>
                <c:pt idx="249">
                  <c:v>2.8295300916160553</c:v>
                </c:pt>
                <c:pt idx="250">
                  <c:v>2.8182653513450524</c:v>
                </c:pt>
                <c:pt idx="251">
                  <c:v>2.8210440869826012</c:v>
                </c:pt>
                <c:pt idx="252">
                  <c:v>2.7966321559449749</c:v>
                </c:pt>
                <c:pt idx="253">
                  <c:v>2.7818226396740826</c:v>
                </c:pt>
                <c:pt idx="254">
                  <c:v>2.7856176788243645</c:v>
                </c:pt>
                <c:pt idx="255">
                  <c:v>2.791016098129167</c:v>
                </c:pt>
                <c:pt idx="256">
                  <c:v>2.7742368704129001</c:v>
                </c:pt>
                <c:pt idx="257">
                  <c:v>2.7939364028533387</c:v>
                </c:pt>
                <c:pt idx="258">
                  <c:v>2.800818340567635</c:v>
                </c:pt>
                <c:pt idx="259">
                  <c:v>2.8148748935076537</c:v>
                </c:pt>
                <c:pt idx="260">
                  <c:v>2.859770178631988</c:v>
                </c:pt>
                <c:pt idx="261">
                  <c:v>2.8949696120160038</c:v>
                </c:pt>
                <c:pt idx="262">
                  <c:v>2.9367257482637452</c:v>
                </c:pt>
                <c:pt idx="263">
                  <c:v>3.0067608972617528</c:v>
                </c:pt>
                <c:pt idx="264">
                  <c:v>3.0524203281471598</c:v>
                </c:pt>
                <c:pt idx="265">
                  <c:v>3.0592324894156988</c:v>
                </c:pt>
                <c:pt idx="266">
                  <c:v>3.1128644960559333</c:v>
                </c:pt>
                <c:pt idx="267">
                  <c:v>3.1227458920123663</c:v>
                </c:pt>
                <c:pt idx="268">
                  <c:v>3.1555495735994668</c:v>
                </c:pt>
                <c:pt idx="269">
                  <c:v>3.1890060922522308</c:v>
                </c:pt>
                <c:pt idx="270">
                  <c:v>3.2138437833980746</c:v>
                </c:pt>
                <c:pt idx="271">
                  <c:v>3.2359548108687819</c:v>
                </c:pt>
                <c:pt idx="272">
                  <c:v>3.1987731737265497</c:v>
                </c:pt>
                <c:pt idx="273">
                  <c:v>3.1984869461690306</c:v>
                </c:pt>
                <c:pt idx="274">
                  <c:v>3.1966151883161555</c:v>
                </c:pt>
                <c:pt idx="275">
                  <c:v>3.1619565139394421</c:v>
                </c:pt>
                <c:pt idx="276">
                  <c:v>3.1762344108585778</c:v>
                </c:pt>
                <c:pt idx="277">
                  <c:v>3.2094021964469559</c:v>
                </c:pt>
                <c:pt idx="278">
                  <c:v>3.2592820662623763</c:v>
                </c:pt>
                <c:pt idx="279">
                  <c:v>3.3137815276229103</c:v>
                </c:pt>
                <c:pt idx="280">
                  <c:v>3.38513306062764</c:v>
                </c:pt>
                <c:pt idx="281">
                  <c:v>3.4443963503422195</c:v>
                </c:pt>
                <c:pt idx="282">
                  <c:v>3.4806135765364865</c:v>
                </c:pt>
                <c:pt idx="283">
                  <c:v>3.5087596893844175</c:v>
                </c:pt>
                <c:pt idx="284">
                  <c:v>3.5757013612077269</c:v>
                </c:pt>
                <c:pt idx="285">
                  <c:v>3.5951261634659231</c:v>
                </c:pt>
                <c:pt idx="286">
                  <c:v>3.627805814573041</c:v>
                </c:pt>
                <c:pt idx="287">
                  <c:v>3.6470424532933539</c:v>
                </c:pt>
                <c:pt idx="288">
                  <c:v>3.6658352047957949</c:v>
                </c:pt>
                <c:pt idx="289">
                  <c:v>3.6930101101738924</c:v>
                </c:pt>
                <c:pt idx="290">
                  <c:v>3.6364988084000336</c:v>
                </c:pt>
                <c:pt idx="291">
                  <c:v>3.5840615395163402</c:v>
                </c:pt>
                <c:pt idx="292">
                  <c:v>3.5254013957773029</c:v>
                </c:pt>
                <c:pt idx="293">
                  <c:v>3.4395979906426533</c:v>
                </c:pt>
                <c:pt idx="294">
                  <c:v>3.4057482196509428</c:v>
                </c:pt>
                <c:pt idx="295">
                  <c:v>3.3676485587074065</c:v>
                </c:pt>
                <c:pt idx="296">
                  <c:v>3.3035421846456643</c:v>
                </c:pt>
                <c:pt idx="297">
                  <c:v>3.2796288805434264</c:v>
                </c:pt>
                <c:pt idx="298">
                  <c:v>3.2582346592014151</c:v>
                </c:pt>
                <c:pt idx="299">
                  <c:v>3.2440886315491344</c:v>
                </c:pt>
                <c:pt idx="300">
                  <c:v>3.2284142852405719</c:v>
                </c:pt>
                <c:pt idx="301">
                  <c:v>3.1800787398719819</c:v>
                </c:pt>
                <c:pt idx="302">
                  <c:v>3.1736673110106293</c:v>
                </c:pt>
                <c:pt idx="303">
                  <c:v>3.1931842931334731</c:v>
                </c:pt>
                <c:pt idx="304">
                  <c:v>3.2029678988080441</c:v>
                </c:pt>
                <c:pt idx="305">
                  <c:v>3.2150831968527052</c:v>
                </c:pt>
                <c:pt idx="306">
                  <c:v>3.232516843966565</c:v>
                </c:pt>
                <c:pt idx="307">
                  <c:v>3.2589819816710213</c:v>
                </c:pt>
                <c:pt idx="308">
                  <c:v>3.3137628917036945</c:v>
                </c:pt>
                <c:pt idx="309">
                  <c:v>3.3608718730343057</c:v>
                </c:pt>
                <c:pt idx="310">
                  <c:v>3.3815911264997878</c:v>
                </c:pt>
                <c:pt idx="311">
                  <c:v>3.4245586293772261</c:v>
                </c:pt>
                <c:pt idx="312">
                  <c:v>3.4625467787203252</c:v>
                </c:pt>
                <c:pt idx="313">
                  <c:v>3.5316611357736227</c:v>
                </c:pt>
                <c:pt idx="314">
                  <c:v>3.5723822456328835</c:v>
                </c:pt>
                <c:pt idx="315">
                  <c:v>3.5971110756283942</c:v>
                </c:pt>
                <c:pt idx="316">
                  <c:v>3.6533775943481834</c:v>
                </c:pt>
                <c:pt idx="317">
                  <c:v>3.7065535343216913</c:v>
                </c:pt>
                <c:pt idx="318">
                  <c:v>3.7645851711477891</c:v>
                </c:pt>
                <c:pt idx="319">
                  <c:v>3.8187294128716518</c:v>
                </c:pt>
                <c:pt idx="320">
                  <c:v>3.8713964145815902</c:v>
                </c:pt>
                <c:pt idx="321">
                  <c:v>3.9152084062265264</c:v>
                </c:pt>
                <c:pt idx="322">
                  <c:v>3.9852695647899465</c:v>
                </c:pt>
                <c:pt idx="323">
                  <c:v>4.0311486162850843</c:v>
                </c:pt>
                <c:pt idx="324">
                  <c:v>4.1049817224438456</c:v>
                </c:pt>
                <c:pt idx="325">
                  <c:v>4.1545225461457953</c:v>
                </c:pt>
                <c:pt idx="326">
                  <c:v>4.2287942518811246</c:v>
                </c:pt>
                <c:pt idx="327">
                  <c:v>4.2616045693172637</c:v>
                </c:pt>
                <c:pt idx="328">
                  <c:v>4.2867529093457009</c:v>
                </c:pt>
                <c:pt idx="329">
                  <c:v>4.3067153668477953</c:v>
                </c:pt>
                <c:pt idx="330">
                  <c:v>4.3131275115811301</c:v>
                </c:pt>
                <c:pt idx="331">
                  <c:v>4.3495065190852458</c:v>
                </c:pt>
                <c:pt idx="332">
                  <c:v>4.386798271972002</c:v>
                </c:pt>
                <c:pt idx="333">
                  <c:v>4.4163186269229051</c:v>
                </c:pt>
                <c:pt idx="334">
                  <c:v>4.4255450162294112</c:v>
                </c:pt>
                <c:pt idx="335">
                  <c:v>4.4601938420708702</c:v>
                </c:pt>
                <c:pt idx="336">
                  <c:v>4.4539233446128774</c:v>
                </c:pt>
                <c:pt idx="337">
                  <c:v>4.5146246812595141</c:v>
                </c:pt>
                <c:pt idx="338">
                  <c:v>4.5517409094855044</c:v>
                </c:pt>
                <c:pt idx="339">
                  <c:v>4.6051650094660364</c:v>
                </c:pt>
                <c:pt idx="340">
                  <c:v>4.6555005012753172</c:v>
                </c:pt>
                <c:pt idx="341">
                  <c:v>4.720925956383601</c:v>
                </c:pt>
                <c:pt idx="342">
                  <c:v>4.7617959517691286</c:v>
                </c:pt>
                <c:pt idx="343">
                  <c:v>4.769830440810316</c:v>
                </c:pt>
                <c:pt idx="344">
                  <c:v>4.7634491558145688</c:v>
                </c:pt>
                <c:pt idx="345">
                  <c:v>4.732888591463654</c:v>
                </c:pt>
                <c:pt idx="346">
                  <c:v>4.726967950249592</c:v>
                </c:pt>
                <c:pt idx="347">
                  <c:v>4.7042795073018606</c:v>
                </c:pt>
                <c:pt idx="348">
                  <c:v>4.7079465415792621</c:v>
                </c:pt>
                <c:pt idx="349">
                  <c:v>4.7038949036969253</c:v>
                </c:pt>
                <c:pt idx="350">
                  <c:v>4.6685135790011927</c:v>
                </c:pt>
                <c:pt idx="351">
                  <c:v>4.634089879789725</c:v>
                </c:pt>
                <c:pt idx="352">
                  <c:v>4.6344723257646221</c:v>
                </c:pt>
                <c:pt idx="353">
                  <c:v>4.6324975231535674</c:v>
                </c:pt>
                <c:pt idx="354">
                  <c:v>4.6159077465646545</c:v>
                </c:pt>
                <c:pt idx="355">
                  <c:v>4.5952895594652157</c:v>
                </c:pt>
                <c:pt idx="356">
                  <c:v>4.5912420341105129</c:v>
                </c:pt>
                <c:pt idx="357">
                  <c:v>4.5801493096226968</c:v>
                </c:pt>
                <c:pt idx="358">
                  <c:v>4.5479370773983376</c:v>
                </c:pt>
                <c:pt idx="359">
                  <c:v>4.5201935475077981</c:v>
                </c:pt>
                <c:pt idx="360">
                  <c:v>4.5123993394442561</c:v>
                </c:pt>
                <c:pt idx="361">
                  <c:v>4.4719884159714898</c:v>
                </c:pt>
                <c:pt idx="362">
                  <c:v>4.4916468973324504</c:v>
                </c:pt>
                <c:pt idx="363">
                  <c:v>4.5430496243925376</c:v>
                </c:pt>
                <c:pt idx="364">
                  <c:v>4.5313264006944474</c:v>
                </c:pt>
                <c:pt idx="365">
                  <c:v>4.4794313404778556</c:v>
                </c:pt>
                <c:pt idx="366">
                  <c:v>4.5039959648819288</c:v>
                </c:pt>
                <c:pt idx="367">
                  <c:v>4.5363675431218127</c:v>
                </c:pt>
                <c:pt idx="368">
                  <c:v>4.5684318784426656</c:v>
                </c:pt>
                <c:pt idx="369">
                  <c:v>4.6153891849635524</c:v>
                </c:pt>
                <c:pt idx="370">
                  <c:v>4.6877875683990666</c:v>
                </c:pt>
                <c:pt idx="371">
                  <c:v>4.8082473738266351</c:v>
                </c:pt>
                <c:pt idx="372">
                  <c:v>4.9131341787768141</c:v>
                </c:pt>
                <c:pt idx="373">
                  <c:v>5.0285774281131692</c:v>
                </c:pt>
                <c:pt idx="374">
                  <c:v>5.1368900407991775</c:v>
                </c:pt>
                <c:pt idx="375">
                  <c:v>5.2454750235858407</c:v>
                </c:pt>
                <c:pt idx="376">
                  <c:v>5.3567283957456944</c:v>
                </c:pt>
                <c:pt idx="377">
                  <c:v>5.5056594736229796</c:v>
                </c:pt>
                <c:pt idx="378">
                  <c:v>5.5768300636339543</c:v>
                </c:pt>
                <c:pt idx="379">
                  <c:v>5.6672216089070009</c:v>
                </c:pt>
                <c:pt idx="380">
                  <c:v>5.7398668469551311</c:v>
                </c:pt>
                <c:pt idx="381">
                  <c:v>5.837011710620839</c:v>
                </c:pt>
                <c:pt idx="382">
                  <c:v>5.9034828487400786</c:v>
                </c:pt>
                <c:pt idx="383">
                  <c:v>5.889474487234482</c:v>
                </c:pt>
                <c:pt idx="384">
                  <c:v>5.8599934754001231</c:v>
                </c:pt>
                <c:pt idx="385">
                  <c:v>5.8460019026643248</c:v>
                </c:pt>
                <c:pt idx="386">
                  <c:v>5.8288775800012669</c:v>
                </c:pt>
                <c:pt idx="387">
                  <c:v>5.8016284011094044</c:v>
                </c:pt>
                <c:pt idx="388">
                  <c:v>5.7996196344932862</c:v>
                </c:pt>
                <c:pt idx="389">
                  <c:v>5.79421228942432</c:v>
                </c:pt>
                <c:pt idx="390">
                  <c:v>5.7667544060887757</c:v>
                </c:pt>
                <c:pt idx="391">
                  <c:v>5.7829903353772067</c:v>
                </c:pt>
                <c:pt idx="392">
                  <c:v>5.8472896648078327</c:v>
                </c:pt>
                <c:pt idx="393">
                  <c:v>5.9192847581497192</c:v>
                </c:pt>
                <c:pt idx="394">
                  <c:v>5.9826792286933639</c:v>
                </c:pt>
                <c:pt idx="395">
                  <c:v>6.0423424221393791</c:v>
                </c:pt>
                <c:pt idx="396">
                  <c:v>6.1283270680018473</c:v>
                </c:pt>
                <c:pt idx="397">
                  <c:v>6.1991899362578327</c:v>
                </c:pt>
                <c:pt idx="398">
                  <c:v>6.2566233297891669</c:v>
                </c:pt>
                <c:pt idx="399">
                  <c:v>6.3227365445490644</c:v>
                </c:pt>
                <c:pt idx="400">
                  <c:v>6.3461471561376293</c:v>
                </c:pt>
                <c:pt idx="401">
                  <c:v>6.3766411886403995</c:v>
                </c:pt>
                <c:pt idx="402">
                  <c:v>6.4573991254365479</c:v>
                </c:pt>
                <c:pt idx="403">
                  <c:v>6.4604574739683649</c:v>
                </c:pt>
                <c:pt idx="404">
                  <c:v>6.4430366528894689</c:v>
                </c:pt>
                <c:pt idx="405">
                  <c:v>6.4219325364779616</c:v>
                </c:pt>
                <c:pt idx="406">
                  <c:v>6.4370735662251244</c:v>
                </c:pt>
                <c:pt idx="407">
                  <c:v>6.5071503191580256</c:v>
                </c:pt>
                <c:pt idx="408">
                  <c:v>6.4973137187173915</c:v>
                </c:pt>
                <c:pt idx="409">
                  <c:v>6.4188759010630863</c:v>
                </c:pt>
                <c:pt idx="410">
                  <c:v>6.3544581076418689</c:v>
                </c:pt>
                <c:pt idx="411">
                  <c:v>6.3578656553040442</c:v>
                </c:pt>
                <c:pt idx="412">
                  <c:v>6.3958379632589093</c:v>
                </c:pt>
                <c:pt idx="413">
                  <c:v>6.4294286135107219</c:v>
                </c:pt>
                <c:pt idx="414">
                  <c:v>6.4208219905742441</c:v>
                </c:pt>
                <c:pt idx="415">
                  <c:v>6.4672300351057492</c:v>
                </c:pt>
                <c:pt idx="416">
                  <c:v>6.5364472748988272</c:v>
                </c:pt>
                <c:pt idx="417">
                  <c:v>6.5579406686850152</c:v>
                </c:pt>
                <c:pt idx="418">
                  <c:v>6.4671330907838547</c:v>
                </c:pt>
                <c:pt idx="419">
                  <c:v>6.2550206321852384</c:v>
                </c:pt>
                <c:pt idx="420">
                  <c:v>6.114470471801642</c:v>
                </c:pt>
              </c:numCache>
            </c:numRef>
          </c:val>
          <c:smooth val="0"/>
          <c:extLst>
            <c:ext xmlns:c16="http://schemas.microsoft.com/office/drawing/2014/chart" uri="{C3380CC4-5D6E-409C-BE32-E72D297353CC}">
              <c16:uniqueId val="{00000001-94B2-4752-B8ED-1EE1365619B3}"/>
            </c:ext>
          </c:extLst>
        </c:ser>
        <c:ser>
          <c:idx val="2"/>
          <c:order val="2"/>
          <c:tx>
            <c:strRef>
              <c:f>'Unemployment rate'!$D$2</c:f>
              <c:strCache>
                <c:ptCount val="1"/>
                <c:pt idx="0">
                  <c:v>Longer than 1 year</c:v>
                </c:pt>
              </c:strCache>
            </c:strRef>
          </c:tx>
          <c:spPr>
            <a:ln w="19050" cap="rnd">
              <a:solidFill>
                <a:schemeClr val="tx1">
                  <a:lumMod val="95000"/>
                  <a:lumOff val="5000"/>
                </a:schemeClr>
              </a:solidFill>
              <a:round/>
            </a:ln>
            <a:effectLst/>
          </c:spPr>
          <c:marker>
            <c:symbol val="none"/>
          </c:marker>
          <c:cat>
            <c:numRef>
              <c:f>'Unemployment rate'!$A$3:$A$423</c:f>
              <c:numCache>
                <c:formatCode>m/d/yyyy</c:formatCode>
                <c:ptCount val="421"/>
                <c:pt idx="0">
                  <c:v>46054</c:v>
                </c:pt>
                <c:pt idx="1">
                  <c:v>46023</c:v>
                </c:pt>
                <c:pt idx="2">
                  <c:v>45992</c:v>
                </c:pt>
                <c:pt idx="3">
                  <c:v>45962</c:v>
                </c:pt>
                <c:pt idx="4">
                  <c:v>45931</c:v>
                </c:pt>
                <c:pt idx="5">
                  <c:v>45901</c:v>
                </c:pt>
                <c:pt idx="6">
                  <c:v>45870</c:v>
                </c:pt>
                <c:pt idx="7">
                  <c:v>45839</c:v>
                </c:pt>
                <c:pt idx="8">
                  <c:v>45809</c:v>
                </c:pt>
                <c:pt idx="9">
                  <c:v>45778</c:v>
                </c:pt>
                <c:pt idx="10">
                  <c:v>45748</c:v>
                </c:pt>
                <c:pt idx="11">
                  <c:v>45717</c:v>
                </c:pt>
                <c:pt idx="12">
                  <c:v>45689</c:v>
                </c:pt>
                <c:pt idx="13">
                  <c:v>45658</c:v>
                </c:pt>
                <c:pt idx="14">
                  <c:v>45627</c:v>
                </c:pt>
                <c:pt idx="15">
                  <c:v>45597</c:v>
                </c:pt>
                <c:pt idx="16">
                  <c:v>45566</c:v>
                </c:pt>
                <c:pt idx="17">
                  <c:v>45536</c:v>
                </c:pt>
                <c:pt idx="18">
                  <c:v>45505</c:v>
                </c:pt>
                <c:pt idx="19">
                  <c:v>45474</c:v>
                </c:pt>
                <c:pt idx="20">
                  <c:v>45444</c:v>
                </c:pt>
                <c:pt idx="21">
                  <c:v>45413</c:v>
                </c:pt>
                <c:pt idx="22">
                  <c:v>45383</c:v>
                </c:pt>
                <c:pt idx="23">
                  <c:v>45352</c:v>
                </c:pt>
                <c:pt idx="24">
                  <c:v>45323</c:v>
                </c:pt>
                <c:pt idx="25">
                  <c:v>45292</c:v>
                </c:pt>
                <c:pt idx="26">
                  <c:v>45261</c:v>
                </c:pt>
                <c:pt idx="27">
                  <c:v>45231</c:v>
                </c:pt>
                <c:pt idx="28">
                  <c:v>45200</c:v>
                </c:pt>
                <c:pt idx="29">
                  <c:v>45170</c:v>
                </c:pt>
                <c:pt idx="30">
                  <c:v>45139</c:v>
                </c:pt>
                <c:pt idx="31">
                  <c:v>45108</c:v>
                </c:pt>
                <c:pt idx="32">
                  <c:v>45078</c:v>
                </c:pt>
                <c:pt idx="33">
                  <c:v>45047</c:v>
                </c:pt>
                <c:pt idx="34">
                  <c:v>45017</c:v>
                </c:pt>
                <c:pt idx="35">
                  <c:v>44986</c:v>
                </c:pt>
                <c:pt idx="36">
                  <c:v>44958</c:v>
                </c:pt>
                <c:pt idx="37">
                  <c:v>44927</c:v>
                </c:pt>
                <c:pt idx="38">
                  <c:v>44896</c:v>
                </c:pt>
                <c:pt idx="39">
                  <c:v>44866</c:v>
                </c:pt>
                <c:pt idx="40">
                  <c:v>44835</c:v>
                </c:pt>
                <c:pt idx="41">
                  <c:v>44805</c:v>
                </c:pt>
                <c:pt idx="42">
                  <c:v>44774</c:v>
                </c:pt>
                <c:pt idx="43">
                  <c:v>44743</c:v>
                </c:pt>
                <c:pt idx="44">
                  <c:v>44713</c:v>
                </c:pt>
                <c:pt idx="45">
                  <c:v>44682</c:v>
                </c:pt>
                <c:pt idx="46">
                  <c:v>44652</c:v>
                </c:pt>
                <c:pt idx="47">
                  <c:v>44621</c:v>
                </c:pt>
                <c:pt idx="48">
                  <c:v>44593</c:v>
                </c:pt>
                <c:pt idx="49">
                  <c:v>44562</c:v>
                </c:pt>
                <c:pt idx="50">
                  <c:v>44531</c:v>
                </c:pt>
                <c:pt idx="51">
                  <c:v>44501</c:v>
                </c:pt>
                <c:pt idx="52">
                  <c:v>44470</c:v>
                </c:pt>
                <c:pt idx="53">
                  <c:v>44440</c:v>
                </c:pt>
                <c:pt idx="54">
                  <c:v>44409</c:v>
                </c:pt>
                <c:pt idx="55">
                  <c:v>44378</c:v>
                </c:pt>
                <c:pt idx="56">
                  <c:v>44348</c:v>
                </c:pt>
                <c:pt idx="57">
                  <c:v>44317</c:v>
                </c:pt>
                <c:pt idx="58">
                  <c:v>44287</c:v>
                </c:pt>
                <c:pt idx="59">
                  <c:v>44256</c:v>
                </c:pt>
                <c:pt idx="60">
                  <c:v>44228</c:v>
                </c:pt>
                <c:pt idx="61">
                  <c:v>44197</c:v>
                </c:pt>
                <c:pt idx="62">
                  <c:v>44166</c:v>
                </c:pt>
                <c:pt idx="63">
                  <c:v>44136</c:v>
                </c:pt>
                <c:pt idx="64">
                  <c:v>44105</c:v>
                </c:pt>
                <c:pt idx="65">
                  <c:v>44075</c:v>
                </c:pt>
                <c:pt idx="66">
                  <c:v>44044</c:v>
                </c:pt>
                <c:pt idx="67">
                  <c:v>44013</c:v>
                </c:pt>
                <c:pt idx="68">
                  <c:v>43983</c:v>
                </c:pt>
                <c:pt idx="69">
                  <c:v>43952</c:v>
                </c:pt>
                <c:pt idx="70">
                  <c:v>43922</c:v>
                </c:pt>
                <c:pt idx="71">
                  <c:v>43891</c:v>
                </c:pt>
                <c:pt idx="72">
                  <c:v>43862</c:v>
                </c:pt>
                <c:pt idx="73">
                  <c:v>43831</c:v>
                </c:pt>
                <c:pt idx="74">
                  <c:v>43800</c:v>
                </c:pt>
                <c:pt idx="75">
                  <c:v>43770</c:v>
                </c:pt>
                <c:pt idx="76">
                  <c:v>43739</c:v>
                </c:pt>
                <c:pt idx="77">
                  <c:v>43709</c:v>
                </c:pt>
                <c:pt idx="78">
                  <c:v>43678</c:v>
                </c:pt>
                <c:pt idx="79">
                  <c:v>43647</c:v>
                </c:pt>
                <c:pt idx="80">
                  <c:v>43617</c:v>
                </c:pt>
                <c:pt idx="81">
                  <c:v>43586</c:v>
                </c:pt>
                <c:pt idx="82">
                  <c:v>43556</c:v>
                </c:pt>
                <c:pt idx="83">
                  <c:v>43525</c:v>
                </c:pt>
                <c:pt idx="84">
                  <c:v>43497</c:v>
                </c:pt>
                <c:pt idx="85">
                  <c:v>43466</c:v>
                </c:pt>
                <c:pt idx="86">
                  <c:v>43435</c:v>
                </c:pt>
                <c:pt idx="87">
                  <c:v>43405</c:v>
                </c:pt>
                <c:pt idx="88">
                  <c:v>43374</c:v>
                </c:pt>
                <c:pt idx="89">
                  <c:v>43344</c:v>
                </c:pt>
                <c:pt idx="90">
                  <c:v>43313</c:v>
                </c:pt>
                <c:pt idx="91">
                  <c:v>43282</c:v>
                </c:pt>
                <c:pt idx="92">
                  <c:v>43252</c:v>
                </c:pt>
                <c:pt idx="93">
                  <c:v>43221</c:v>
                </c:pt>
                <c:pt idx="94">
                  <c:v>43191</c:v>
                </c:pt>
                <c:pt idx="95">
                  <c:v>43160</c:v>
                </c:pt>
                <c:pt idx="96">
                  <c:v>43132</c:v>
                </c:pt>
                <c:pt idx="97">
                  <c:v>43101</c:v>
                </c:pt>
                <c:pt idx="98">
                  <c:v>43070</c:v>
                </c:pt>
                <c:pt idx="99">
                  <c:v>43040</c:v>
                </c:pt>
                <c:pt idx="100">
                  <c:v>43009</c:v>
                </c:pt>
                <c:pt idx="101">
                  <c:v>42979</c:v>
                </c:pt>
                <c:pt idx="102">
                  <c:v>42948</c:v>
                </c:pt>
                <c:pt idx="103">
                  <c:v>42917</c:v>
                </c:pt>
                <c:pt idx="104">
                  <c:v>42887</c:v>
                </c:pt>
                <c:pt idx="105">
                  <c:v>42856</c:v>
                </c:pt>
                <c:pt idx="106">
                  <c:v>42826</c:v>
                </c:pt>
                <c:pt idx="107">
                  <c:v>42795</c:v>
                </c:pt>
                <c:pt idx="108">
                  <c:v>42767</c:v>
                </c:pt>
                <c:pt idx="109">
                  <c:v>42736</c:v>
                </c:pt>
                <c:pt idx="110">
                  <c:v>42705</c:v>
                </c:pt>
                <c:pt idx="111">
                  <c:v>42675</c:v>
                </c:pt>
                <c:pt idx="112">
                  <c:v>42644</c:v>
                </c:pt>
                <c:pt idx="113">
                  <c:v>42614</c:v>
                </c:pt>
                <c:pt idx="114">
                  <c:v>42583</c:v>
                </c:pt>
                <c:pt idx="115">
                  <c:v>42552</c:v>
                </c:pt>
                <c:pt idx="116">
                  <c:v>42522</c:v>
                </c:pt>
                <c:pt idx="117">
                  <c:v>42491</c:v>
                </c:pt>
                <c:pt idx="118">
                  <c:v>42461</c:v>
                </c:pt>
                <c:pt idx="119">
                  <c:v>42430</c:v>
                </c:pt>
                <c:pt idx="120">
                  <c:v>42401</c:v>
                </c:pt>
                <c:pt idx="121">
                  <c:v>42370</c:v>
                </c:pt>
                <c:pt idx="122">
                  <c:v>42339</c:v>
                </c:pt>
                <c:pt idx="123">
                  <c:v>42309</c:v>
                </c:pt>
                <c:pt idx="124">
                  <c:v>42278</c:v>
                </c:pt>
                <c:pt idx="125">
                  <c:v>42248</c:v>
                </c:pt>
                <c:pt idx="126">
                  <c:v>42217</c:v>
                </c:pt>
                <c:pt idx="127">
                  <c:v>42186</c:v>
                </c:pt>
                <c:pt idx="128">
                  <c:v>42156</c:v>
                </c:pt>
                <c:pt idx="129">
                  <c:v>42125</c:v>
                </c:pt>
                <c:pt idx="130">
                  <c:v>42095</c:v>
                </c:pt>
                <c:pt idx="131">
                  <c:v>42064</c:v>
                </c:pt>
                <c:pt idx="132">
                  <c:v>42036</c:v>
                </c:pt>
                <c:pt idx="133">
                  <c:v>42005</c:v>
                </c:pt>
                <c:pt idx="134">
                  <c:v>41974</c:v>
                </c:pt>
                <c:pt idx="135">
                  <c:v>41944</c:v>
                </c:pt>
                <c:pt idx="136">
                  <c:v>41913</c:v>
                </c:pt>
                <c:pt idx="137">
                  <c:v>41883</c:v>
                </c:pt>
                <c:pt idx="138">
                  <c:v>41852</c:v>
                </c:pt>
                <c:pt idx="139">
                  <c:v>41821</c:v>
                </c:pt>
                <c:pt idx="140">
                  <c:v>41791</c:v>
                </c:pt>
                <c:pt idx="141">
                  <c:v>41760</c:v>
                </c:pt>
                <c:pt idx="142">
                  <c:v>41730</c:v>
                </c:pt>
                <c:pt idx="143">
                  <c:v>41699</c:v>
                </c:pt>
                <c:pt idx="144">
                  <c:v>41671</c:v>
                </c:pt>
                <c:pt idx="145">
                  <c:v>41640</c:v>
                </c:pt>
                <c:pt idx="146">
                  <c:v>41609</c:v>
                </c:pt>
                <c:pt idx="147">
                  <c:v>41579</c:v>
                </c:pt>
                <c:pt idx="148">
                  <c:v>41548</c:v>
                </c:pt>
                <c:pt idx="149">
                  <c:v>41518</c:v>
                </c:pt>
                <c:pt idx="150">
                  <c:v>41487</c:v>
                </c:pt>
                <c:pt idx="151">
                  <c:v>41456</c:v>
                </c:pt>
                <c:pt idx="152">
                  <c:v>41426</c:v>
                </c:pt>
                <c:pt idx="153">
                  <c:v>41395</c:v>
                </c:pt>
                <c:pt idx="154">
                  <c:v>41365</c:v>
                </c:pt>
                <c:pt idx="155">
                  <c:v>41334</c:v>
                </c:pt>
                <c:pt idx="156">
                  <c:v>41306</c:v>
                </c:pt>
                <c:pt idx="157">
                  <c:v>41275</c:v>
                </c:pt>
                <c:pt idx="158">
                  <c:v>41244</c:v>
                </c:pt>
                <c:pt idx="159">
                  <c:v>41214</c:v>
                </c:pt>
                <c:pt idx="160">
                  <c:v>41183</c:v>
                </c:pt>
                <c:pt idx="161">
                  <c:v>41153</c:v>
                </c:pt>
                <c:pt idx="162">
                  <c:v>41122</c:v>
                </c:pt>
                <c:pt idx="163">
                  <c:v>41091</c:v>
                </c:pt>
                <c:pt idx="164">
                  <c:v>41061</c:v>
                </c:pt>
                <c:pt idx="165">
                  <c:v>41030</c:v>
                </c:pt>
                <c:pt idx="166">
                  <c:v>41000</c:v>
                </c:pt>
                <c:pt idx="167">
                  <c:v>40969</c:v>
                </c:pt>
                <c:pt idx="168">
                  <c:v>40940</c:v>
                </c:pt>
                <c:pt idx="169">
                  <c:v>40909</c:v>
                </c:pt>
                <c:pt idx="170">
                  <c:v>40878</c:v>
                </c:pt>
                <c:pt idx="171">
                  <c:v>40848</c:v>
                </c:pt>
                <c:pt idx="172">
                  <c:v>40817</c:v>
                </c:pt>
                <c:pt idx="173">
                  <c:v>40787</c:v>
                </c:pt>
                <c:pt idx="174">
                  <c:v>40756</c:v>
                </c:pt>
                <c:pt idx="175">
                  <c:v>40725</c:v>
                </c:pt>
                <c:pt idx="176">
                  <c:v>40695</c:v>
                </c:pt>
                <c:pt idx="177">
                  <c:v>40664</c:v>
                </c:pt>
                <c:pt idx="178">
                  <c:v>40634</c:v>
                </c:pt>
                <c:pt idx="179">
                  <c:v>40603</c:v>
                </c:pt>
                <c:pt idx="180">
                  <c:v>40575</c:v>
                </c:pt>
                <c:pt idx="181">
                  <c:v>40544</c:v>
                </c:pt>
                <c:pt idx="182">
                  <c:v>40513</c:v>
                </c:pt>
                <c:pt idx="183">
                  <c:v>40483</c:v>
                </c:pt>
                <c:pt idx="184">
                  <c:v>40452</c:v>
                </c:pt>
                <c:pt idx="185">
                  <c:v>40422</c:v>
                </c:pt>
                <c:pt idx="186">
                  <c:v>40391</c:v>
                </c:pt>
                <c:pt idx="187">
                  <c:v>40360</c:v>
                </c:pt>
                <c:pt idx="188">
                  <c:v>40330</c:v>
                </c:pt>
                <c:pt idx="189">
                  <c:v>40299</c:v>
                </c:pt>
                <c:pt idx="190">
                  <c:v>40269</c:v>
                </c:pt>
                <c:pt idx="191">
                  <c:v>40238</c:v>
                </c:pt>
                <c:pt idx="192">
                  <c:v>40210</c:v>
                </c:pt>
                <c:pt idx="193">
                  <c:v>40179</c:v>
                </c:pt>
                <c:pt idx="194">
                  <c:v>40148</c:v>
                </c:pt>
                <c:pt idx="195">
                  <c:v>40118</c:v>
                </c:pt>
                <c:pt idx="196">
                  <c:v>40087</c:v>
                </c:pt>
                <c:pt idx="197">
                  <c:v>40057</c:v>
                </c:pt>
                <c:pt idx="198">
                  <c:v>40026</c:v>
                </c:pt>
                <c:pt idx="199">
                  <c:v>39995</c:v>
                </c:pt>
                <c:pt idx="200">
                  <c:v>39965</c:v>
                </c:pt>
                <c:pt idx="201">
                  <c:v>39934</c:v>
                </c:pt>
                <c:pt idx="202">
                  <c:v>39904</c:v>
                </c:pt>
                <c:pt idx="203">
                  <c:v>39873</c:v>
                </c:pt>
                <c:pt idx="204">
                  <c:v>39845</c:v>
                </c:pt>
                <c:pt idx="205">
                  <c:v>39814</c:v>
                </c:pt>
                <c:pt idx="206">
                  <c:v>39783</c:v>
                </c:pt>
                <c:pt idx="207">
                  <c:v>39753</c:v>
                </c:pt>
                <c:pt idx="208">
                  <c:v>39722</c:v>
                </c:pt>
                <c:pt idx="209">
                  <c:v>39692</c:v>
                </c:pt>
                <c:pt idx="210">
                  <c:v>39661</c:v>
                </c:pt>
                <c:pt idx="211">
                  <c:v>39630</c:v>
                </c:pt>
                <c:pt idx="212">
                  <c:v>39600</c:v>
                </c:pt>
                <c:pt idx="213">
                  <c:v>39569</c:v>
                </c:pt>
                <c:pt idx="214">
                  <c:v>39539</c:v>
                </c:pt>
                <c:pt idx="215">
                  <c:v>39508</c:v>
                </c:pt>
                <c:pt idx="216">
                  <c:v>39479</c:v>
                </c:pt>
                <c:pt idx="217">
                  <c:v>39448</c:v>
                </c:pt>
                <c:pt idx="218">
                  <c:v>39417</c:v>
                </c:pt>
                <c:pt idx="219">
                  <c:v>39387</c:v>
                </c:pt>
                <c:pt idx="220">
                  <c:v>39356</c:v>
                </c:pt>
                <c:pt idx="221">
                  <c:v>39326</c:v>
                </c:pt>
                <c:pt idx="222">
                  <c:v>39295</c:v>
                </c:pt>
                <c:pt idx="223">
                  <c:v>39264</c:v>
                </c:pt>
                <c:pt idx="224">
                  <c:v>39234</c:v>
                </c:pt>
                <c:pt idx="225">
                  <c:v>39203</c:v>
                </c:pt>
                <c:pt idx="226">
                  <c:v>39173</c:v>
                </c:pt>
                <c:pt idx="227">
                  <c:v>39142</c:v>
                </c:pt>
                <c:pt idx="228">
                  <c:v>39114</c:v>
                </c:pt>
                <c:pt idx="229">
                  <c:v>39083</c:v>
                </c:pt>
                <c:pt idx="230">
                  <c:v>39052</c:v>
                </c:pt>
                <c:pt idx="231">
                  <c:v>39022</c:v>
                </c:pt>
                <c:pt idx="232">
                  <c:v>38991</c:v>
                </c:pt>
                <c:pt idx="233">
                  <c:v>38961</c:v>
                </c:pt>
                <c:pt idx="234">
                  <c:v>38930</c:v>
                </c:pt>
                <c:pt idx="235">
                  <c:v>38899</c:v>
                </c:pt>
                <c:pt idx="236">
                  <c:v>38869</c:v>
                </c:pt>
                <c:pt idx="237">
                  <c:v>38838</c:v>
                </c:pt>
                <c:pt idx="238">
                  <c:v>38808</c:v>
                </c:pt>
                <c:pt idx="239">
                  <c:v>38777</c:v>
                </c:pt>
                <c:pt idx="240">
                  <c:v>38749</c:v>
                </c:pt>
                <c:pt idx="241">
                  <c:v>38718</c:v>
                </c:pt>
                <c:pt idx="242">
                  <c:v>38687</c:v>
                </c:pt>
                <c:pt idx="243">
                  <c:v>38657</c:v>
                </c:pt>
                <c:pt idx="244">
                  <c:v>38626</c:v>
                </c:pt>
                <c:pt idx="245">
                  <c:v>38596</c:v>
                </c:pt>
                <c:pt idx="246">
                  <c:v>38565</c:v>
                </c:pt>
                <c:pt idx="247">
                  <c:v>38534</c:v>
                </c:pt>
                <c:pt idx="248">
                  <c:v>38504</c:v>
                </c:pt>
                <c:pt idx="249">
                  <c:v>38473</c:v>
                </c:pt>
                <c:pt idx="250">
                  <c:v>38443</c:v>
                </c:pt>
                <c:pt idx="251">
                  <c:v>38412</c:v>
                </c:pt>
                <c:pt idx="252">
                  <c:v>38384</c:v>
                </c:pt>
                <c:pt idx="253">
                  <c:v>38353</c:v>
                </c:pt>
                <c:pt idx="254">
                  <c:v>38322</c:v>
                </c:pt>
                <c:pt idx="255">
                  <c:v>38292</c:v>
                </c:pt>
                <c:pt idx="256">
                  <c:v>38261</c:v>
                </c:pt>
                <c:pt idx="257">
                  <c:v>38231</c:v>
                </c:pt>
                <c:pt idx="258">
                  <c:v>38200</c:v>
                </c:pt>
                <c:pt idx="259">
                  <c:v>38169</c:v>
                </c:pt>
                <c:pt idx="260">
                  <c:v>38139</c:v>
                </c:pt>
                <c:pt idx="261">
                  <c:v>38108</c:v>
                </c:pt>
                <c:pt idx="262">
                  <c:v>38078</c:v>
                </c:pt>
                <c:pt idx="263">
                  <c:v>38047</c:v>
                </c:pt>
                <c:pt idx="264">
                  <c:v>38018</c:v>
                </c:pt>
                <c:pt idx="265">
                  <c:v>37987</c:v>
                </c:pt>
                <c:pt idx="266">
                  <c:v>37956</c:v>
                </c:pt>
                <c:pt idx="267">
                  <c:v>37926</c:v>
                </c:pt>
                <c:pt idx="268">
                  <c:v>37895</c:v>
                </c:pt>
                <c:pt idx="269">
                  <c:v>37865</c:v>
                </c:pt>
                <c:pt idx="270">
                  <c:v>37834</c:v>
                </c:pt>
                <c:pt idx="271">
                  <c:v>37803</c:v>
                </c:pt>
                <c:pt idx="272">
                  <c:v>37773</c:v>
                </c:pt>
                <c:pt idx="273">
                  <c:v>37742</c:v>
                </c:pt>
                <c:pt idx="274">
                  <c:v>37712</c:v>
                </c:pt>
                <c:pt idx="275">
                  <c:v>37681</c:v>
                </c:pt>
                <c:pt idx="276">
                  <c:v>37653</c:v>
                </c:pt>
                <c:pt idx="277">
                  <c:v>37622</c:v>
                </c:pt>
                <c:pt idx="278">
                  <c:v>37591</c:v>
                </c:pt>
                <c:pt idx="279">
                  <c:v>37561</c:v>
                </c:pt>
                <c:pt idx="280">
                  <c:v>37530</c:v>
                </c:pt>
                <c:pt idx="281">
                  <c:v>37500</c:v>
                </c:pt>
                <c:pt idx="282">
                  <c:v>37469</c:v>
                </c:pt>
                <c:pt idx="283">
                  <c:v>37438</c:v>
                </c:pt>
                <c:pt idx="284">
                  <c:v>37408</c:v>
                </c:pt>
                <c:pt idx="285">
                  <c:v>37377</c:v>
                </c:pt>
                <c:pt idx="286">
                  <c:v>37347</c:v>
                </c:pt>
                <c:pt idx="287">
                  <c:v>37316</c:v>
                </c:pt>
                <c:pt idx="288">
                  <c:v>37288</c:v>
                </c:pt>
                <c:pt idx="289">
                  <c:v>37257</c:v>
                </c:pt>
                <c:pt idx="290">
                  <c:v>37226</c:v>
                </c:pt>
                <c:pt idx="291">
                  <c:v>37196</c:v>
                </c:pt>
                <c:pt idx="292">
                  <c:v>37165</c:v>
                </c:pt>
                <c:pt idx="293">
                  <c:v>37135</c:v>
                </c:pt>
                <c:pt idx="294">
                  <c:v>37104</c:v>
                </c:pt>
                <c:pt idx="295">
                  <c:v>37073</c:v>
                </c:pt>
                <c:pt idx="296">
                  <c:v>37043</c:v>
                </c:pt>
                <c:pt idx="297">
                  <c:v>37012</c:v>
                </c:pt>
                <c:pt idx="298">
                  <c:v>36982</c:v>
                </c:pt>
                <c:pt idx="299">
                  <c:v>36951</c:v>
                </c:pt>
                <c:pt idx="300">
                  <c:v>36923</c:v>
                </c:pt>
                <c:pt idx="301">
                  <c:v>36892</c:v>
                </c:pt>
                <c:pt idx="302">
                  <c:v>36861</c:v>
                </c:pt>
                <c:pt idx="303">
                  <c:v>36831</c:v>
                </c:pt>
                <c:pt idx="304">
                  <c:v>36800</c:v>
                </c:pt>
                <c:pt idx="305">
                  <c:v>36770</c:v>
                </c:pt>
                <c:pt idx="306">
                  <c:v>36739</c:v>
                </c:pt>
                <c:pt idx="307">
                  <c:v>36708</c:v>
                </c:pt>
                <c:pt idx="308">
                  <c:v>36678</c:v>
                </c:pt>
                <c:pt idx="309">
                  <c:v>36647</c:v>
                </c:pt>
                <c:pt idx="310">
                  <c:v>36617</c:v>
                </c:pt>
                <c:pt idx="311">
                  <c:v>36586</c:v>
                </c:pt>
                <c:pt idx="312">
                  <c:v>36557</c:v>
                </c:pt>
                <c:pt idx="313">
                  <c:v>36526</c:v>
                </c:pt>
                <c:pt idx="314">
                  <c:v>36495</c:v>
                </c:pt>
                <c:pt idx="315">
                  <c:v>36465</c:v>
                </c:pt>
                <c:pt idx="316">
                  <c:v>36434</c:v>
                </c:pt>
                <c:pt idx="317">
                  <c:v>36404</c:v>
                </c:pt>
                <c:pt idx="318">
                  <c:v>36373</c:v>
                </c:pt>
                <c:pt idx="319">
                  <c:v>36342</c:v>
                </c:pt>
                <c:pt idx="320">
                  <c:v>36312</c:v>
                </c:pt>
                <c:pt idx="321">
                  <c:v>36281</c:v>
                </c:pt>
                <c:pt idx="322">
                  <c:v>36251</c:v>
                </c:pt>
                <c:pt idx="323">
                  <c:v>36220</c:v>
                </c:pt>
                <c:pt idx="324">
                  <c:v>36192</c:v>
                </c:pt>
                <c:pt idx="325">
                  <c:v>36161</c:v>
                </c:pt>
                <c:pt idx="326">
                  <c:v>36130</c:v>
                </c:pt>
                <c:pt idx="327">
                  <c:v>36100</c:v>
                </c:pt>
                <c:pt idx="328">
                  <c:v>36069</c:v>
                </c:pt>
                <c:pt idx="329">
                  <c:v>36039</c:v>
                </c:pt>
                <c:pt idx="330">
                  <c:v>36008</c:v>
                </c:pt>
                <c:pt idx="331">
                  <c:v>35977</c:v>
                </c:pt>
                <c:pt idx="332">
                  <c:v>35947</c:v>
                </c:pt>
                <c:pt idx="333">
                  <c:v>35916</c:v>
                </c:pt>
                <c:pt idx="334">
                  <c:v>35886</c:v>
                </c:pt>
                <c:pt idx="335">
                  <c:v>35855</c:v>
                </c:pt>
                <c:pt idx="336">
                  <c:v>35827</c:v>
                </c:pt>
                <c:pt idx="337">
                  <c:v>35796</c:v>
                </c:pt>
                <c:pt idx="338">
                  <c:v>35765</c:v>
                </c:pt>
                <c:pt idx="339">
                  <c:v>35735</c:v>
                </c:pt>
                <c:pt idx="340">
                  <c:v>35704</c:v>
                </c:pt>
                <c:pt idx="341">
                  <c:v>35674</c:v>
                </c:pt>
                <c:pt idx="342">
                  <c:v>35643</c:v>
                </c:pt>
                <c:pt idx="343">
                  <c:v>35612</c:v>
                </c:pt>
                <c:pt idx="344">
                  <c:v>35582</c:v>
                </c:pt>
                <c:pt idx="345">
                  <c:v>35551</c:v>
                </c:pt>
                <c:pt idx="346">
                  <c:v>35521</c:v>
                </c:pt>
                <c:pt idx="347">
                  <c:v>35490</c:v>
                </c:pt>
                <c:pt idx="348">
                  <c:v>35462</c:v>
                </c:pt>
                <c:pt idx="349">
                  <c:v>35431</c:v>
                </c:pt>
                <c:pt idx="350">
                  <c:v>35400</c:v>
                </c:pt>
                <c:pt idx="351">
                  <c:v>35370</c:v>
                </c:pt>
                <c:pt idx="352">
                  <c:v>35339</c:v>
                </c:pt>
                <c:pt idx="353">
                  <c:v>35309</c:v>
                </c:pt>
                <c:pt idx="354">
                  <c:v>35278</c:v>
                </c:pt>
                <c:pt idx="355">
                  <c:v>35247</c:v>
                </c:pt>
                <c:pt idx="356">
                  <c:v>35217</c:v>
                </c:pt>
                <c:pt idx="357">
                  <c:v>35186</c:v>
                </c:pt>
                <c:pt idx="358">
                  <c:v>35156</c:v>
                </c:pt>
                <c:pt idx="359">
                  <c:v>35125</c:v>
                </c:pt>
                <c:pt idx="360">
                  <c:v>35096</c:v>
                </c:pt>
                <c:pt idx="361">
                  <c:v>35065</c:v>
                </c:pt>
                <c:pt idx="362">
                  <c:v>35034</c:v>
                </c:pt>
                <c:pt idx="363">
                  <c:v>35004</c:v>
                </c:pt>
                <c:pt idx="364">
                  <c:v>34973</c:v>
                </c:pt>
                <c:pt idx="365">
                  <c:v>34943</c:v>
                </c:pt>
                <c:pt idx="366">
                  <c:v>34912</c:v>
                </c:pt>
                <c:pt idx="367">
                  <c:v>34881</c:v>
                </c:pt>
                <c:pt idx="368">
                  <c:v>34851</c:v>
                </c:pt>
                <c:pt idx="369">
                  <c:v>34820</c:v>
                </c:pt>
                <c:pt idx="370">
                  <c:v>34790</c:v>
                </c:pt>
                <c:pt idx="371">
                  <c:v>34759</c:v>
                </c:pt>
                <c:pt idx="372">
                  <c:v>34731</c:v>
                </c:pt>
                <c:pt idx="373">
                  <c:v>34700</c:v>
                </c:pt>
                <c:pt idx="374">
                  <c:v>34669</c:v>
                </c:pt>
                <c:pt idx="375">
                  <c:v>34639</c:v>
                </c:pt>
                <c:pt idx="376">
                  <c:v>34608</c:v>
                </c:pt>
                <c:pt idx="377">
                  <c:v>34578</c:v>
                </c:pt>
                <c:pt idx="378">
                  <c:v>34547</c:v>
                </c:pt>
                <c:pt idx="379">
                  <c:v>34516</c:v>
                </c:pt>
                <c:pt idx="380">
                  <c:v>34486</c:v>
                </c:pt>
                <c:pt idx="381">
                  <c:v>34455</c:v>
                </c:pt>
                <c:pt idx="382">
                  <c:v>34425</c:v>
                </c:pt>
                <c:pt idx="383">
                  <c:v>34394</c:v>
                </c:pt>
                <c:pt idx="384">
                  <c:v>34366</c:v>
                </c:pt>
                <c:pt idx="385">
                  <c:v>34335</c:v>
                </c:pt>
                <c:pt idx="386">
                  <c:v>34304</c:v>
                </c:pt>
                <c:pt idx="387">
                  <c:v>34274</c:v>
                </c:pt>
                <c:pt idx="388">
                  <c:v>34243</c:v>
                </c:pt>
                <c:pt idx="389">
                  <c:v>34213</c:v>
                </c:pt>
                <c:pt idx="390">
                  <c:v>34182</c:v>
                </c:pt>
                <c:pt idx="391">
                  <c:v>34151</c:v>
                </c:pt>
                <c:pt idx="392">
                  <c:v>34121</c:v>
                </c:pt>
                <c:pt idx="393">
                  <c:v>34090</c:v>
                </c:pt>
                <c:pt idx="394">
                  <c:v>34060</c:v>
                </c:pt>
                <c:pt idx="395">
                  <c:v>34029</c:v>
                </c:pt>
                <c:pt idx="396">
                  <c:v>34001</c:v>
                </c:pt>
                <c:pt idx="397">
                  <c:v>33970</c:v>
                </c:pt>
                <c:pt idx="398">
                  <c:v>33939</c:v>
                </c:pt>
                <c:pt idx="399">
                  <c:v>33909</c:v>
                </c:pt>
                <c:pt idx="400">
                  <c:v>33878</c:v>
                </c:pt>
                <c:pt idx="401">
                  <c:v>33848</c:v>
                </c:pt>
                <c:pt idx="402">
                  <c:v>33817</c:v>
                </c:pt>
                <c:pt idx="403">
                  <c:v>33786</c:v>
                </c:pt>
                <c:pt idx="404">
                  <c:v>33756</c:v>
                </c:pt>
                <c:pt idx="405">
                  <c:v>33725</c:v>
                </c:pt>
                <c:pt idx="406">
                  <c:v>33695</c:v>
                </c:pt>
                <c:pt idx="407">
                  <c:v>33664</c:v>
                </c:pt>
                <c:pt idx="408">
                  <c:v>33635</c:v>
                </c:pt>
                <c:pt idx="409">
                  <c:v>33604</c:v>
                </c:pt>
                <c:pt idx="410">
                  <c:v>33573</c:v>
                </c:pt>
                <c:pt idx="411">
                  <c:v>33543</c:v>
                </c:pt>
                <c:pt idx="412">
                  <c:v>33512</c:v>
                </c:pt>
                <c:pt idx="413">
                  <c:v>33482</c:v>
                </c:pt>
                <c:pt idx="414">
                  <c:v>33451</c:v>
                </c:pt>
                <c:pt idx="415">
                  <c:v>33420</c:v>
                </c:pt>
                <c:pt idx="416">
                  <c:v>33390</c:v>
                </c:pt>
                <c:pt idx="417">
                  <c:v>33359</c:v>
                </c:pt>
                <c:pt idx="418">
                  <c:v>33329</c:v>
                </c:pt>
                <c:pt idx="419">
                  <c:v>33298</c:v>
                </c:pt>
                <c:pt idx="420">
                  <c:v>33270</c:v>
                </c:pt>
              </c:numCache>
            </c:numRef>
          </c:cat>
          <c:val>
            <c:numRef>
              <c:f>'Unemployment rate'!$D$3:$D$423</c:f>
              <c:numCache>
                <c:formatCode>0.00</c:formatCode>
                <c:ptCount val="421"/>
                <c:pt idx="0">
                  <c:v>0.90333379174576478</c:v>
                </c:pt>
                <c:pt idx="1">
                  <c:v>0.91735008104731519</c:v>
                </c:pt>
                <c:pt idx="2">
                  <c:v>0.91962133799072687</c:v>
                </c:pt>
                <c:pt idx="3">
                  <c:v>0.92256485307031166</c:v>
                </c:pt>
                <c:pt idx="4">
                  <c:v>0.92327444576339224</c:v>
                </c:pt>
                <c:pt idx="5">
                  <c:v>0.92107324903935983</c:v>
                </c:pt>
                <c:pt idx="6">
                  <c:v>0.91109302587220808</c:v>
                </c:pt>
                <c:pt idx="7">
                  <c:v>0.90928620588282405</c:v>
                </c:pt>
                <c:pt idx="8">
                  <c:v>0.90582516791156265</c:v>
                </c:pt>
                <c:pt idx="9">
                  <c:v>0.87982201868582366</c:v>
                </c:pt>
                <c:pt idx="10">
                  <c:v>0.87073891078603682</c:v>
                </c:pt>
                <c:pt idx="11">
                  <c:v>0.87228367564999354</c:v>
                </c:pt>
                <c:pt idx="12">
                  <c:v>0.85391445250188591</c:v>
                </c:pt>
                <c:pt idx="13">
                  <c:v>0.83069422119811798</c:v>
                </c:pt>
                <c:pt idx="14">
                  <c:v>0.80781974867906492</c:v>
                </c:pt>
                <c:pt idx="15">
                  <c:v>0.79881132270768873</c:v>
                </c:pt>
                <c:pt idx="16">
                  <c:v>0.78742478146364769</c:v>
                </c:pt>
                <c:pt idx="17">
                  <c:v>0.76910501175702273</c:v>
                </c:pt>
                <c:pt idx="18">
                  <c:v>0.76503557389976484</c:v>
                </c:pt>
                <c:pt idx="19">
                  <c:v>0.74062443038181092</c:v>
                </c:pt>
                <c:pt idx="20">
                  <c:v>0.72738776961526075</c:v>
                </c:pt>
                <c:pt idx="21">
                  <c:v>0.72104059271256693</c:v>
                </c:pt>
                <c:pt idx="22">
                  <c:v>0.69213776741028121</c:v>
                </c:pt>
                <c:pt idx="23">
                  <c:v>0.65919430065677931</c:v>
                </c:pt>
                <c:pt idx="24">
                  <c:v>0.66297398606976865</c:v>
                </c:pt>
                <c:pt idx="25">
                  <c:v>0.65589232132657105</c:v>
                </c:pt>
                <c:pt idx="26">
                  <c:v>0.65196650516582066</c:v>
                </c:pt>
                <c:pt idx="27">
                  <c:v>0.64772105958905846</c:v>
                </c:pt>
                <c:pt idx="28">
                  <c:v>0.64487978951676628</c:v>
                </c:pt>
                <c:pt idx="29">
                  <c:v>0.64304823563421698</c:v>
                </c:pt>
                <c:pt idx="30">
                  <c:v>0.63821757922120892</c:v>
                </c:pt>
                <c:pt idx="31">
                  <c:v>0.64596292026375679</c:v>
                </c:pt>
                <c:pt idx="32">
                  <c:v>0.63840131739643802</c:v>
                </c:pt>
                <c:pt idx="33">
                  <c:v>0.64594131534957788</c:v>
                </c:pt>
                <c:pt idx="34">
                  <c:v>0.66426012048761152</c:v>
                </c:pt>
                <c:pt idx="35">
                  <c:v>0.69345943778074992</c:v>
                </c:pt>
                <c:pt idx="36">
                  <c:v>0.70836422695797974</c:v>
                </c:pt>
                <c:pt idx="37">
                  <c:v>0.74898809497245389</c:v>
                </c:pt>
                <c:pt idx="38">
                  <c:v>0.77457384805566387</c:v>
                </c:pt>
                <c:pt idx="39">
                  <c:v>0.80027583018821347</c:v>
                </c:pt>
                <c:pt idx="40">
                  <c:v>0.83602446214039494</c:v>
                </c:pt>
                <c:pt idx="41">
                  <c:v>0.87812808048149282</c:v>
                </c:pt>
                <c:pt idx="42">
                  <c:v>0.90781969205307367</c:v>
                </c:pt>
                <c:pt idx="43">
                  <c:v>0.93144099983933981</c:v>
                </c:pt>
                <c:pt idx="44">
                  <c:v>0.97898057426448848</c:v>
                </c:pt>
                <c:pt idx="45">
                  <c:v>1.0178796795463814</c:v>
                </c:pt>
                <c:pt idx="46">
                  <c:v>1.0676829810096375</c:v>
                </c:pt>
                <c:pt idx="47">
                  <c:v>1.1183408529446093</c:v>
                </c:pt>
                <c:pt idx="48">
                  <c:v>1.1746250502474442</c:v>
                </c:pt>
                <c:pt idx="49">
                  <c:v>1.1925880050112783</c:v>
                </c:pt>
                <c:pt idx="50">
                  <c:v>1.2192487069026721</c:v>
                </c:pt>
                <c:pt idx="51">
                  <c:v>1.2186193822795524</c:v>
                </c:pt>
                <c:pt idx="52">
                  <c:v>1.2053575587031284</c:v>
                </c:pt>
                <c:pt idx="53">
                  <c:v>1.1870232123403646</c:v>
                </c:pt>
                <c:pt idx="54">
                  <c:v>1.1600805368837885</c:v>
                </c:pt>
                <c:pt idx="55">
                  <c:v>1.1676572936297565</c:v>
                </c:pt>
                <c:pt idx="56">
                  <c:v>1.1464056610894831</c:v>
                </c:pt>
                <c:pt idx="57">
                  <c:v>1.1268424975377065</c:v>
                </c:pt>
                <c:pt idx="58">
                  <c:v>1.0881533553192242</c:v>
                </c:pt>
                <c:pt idx="59">
                  <c:v>1.034947341046434</c:v>
                </c:pt>
                <c:pt idx="60">
                  <c:v>0.99058141270067557</c:v>
                </c:pt>
                <c:pt idx="61">
                  <c:v>0.98809020814954107</c:v>
                </c:pt>
                <c:pt idx="62">
                  <c:v>0.976015509164469</c:v>
                </c:pt>
                <c:pt idx="63">
                  <c:v>0.97734782205690007</c:v>
                </c:pt>
                <c:pt idx="64">
                  <c:v>0.97711225415206338</c:v>
                </c:pt>
                <c:pt idx="65">
                  <c:v>0.97493780660273999</c:v>
                </c:pt>
                <c:pt idx="66">
                  <c:v>0.98645770697500368</c:v>
                </c:pt>
                <c:pt idx="67">
                  <c:v>0.98470350793217376</c:v>
                </c:pt>
                <c:pt idx="68">
                  <c:v>0.99103831122326014</c:v>
                </c:pt>
                <c:pt idx="69">
                  <c:v>0.99714663736014142</c:v>
                </c:pt>
                <c:pt idx="70">
                  <c:v>1.0195131960969952</c:v>
                </c:pt>
                <c:pt idx="71">
                  <c:v>1.0195139438632443</c:v>
                </c:pt>
                <c:pt idx="72">
                  <c:v>0.99448387808668026</c:v>
                </c:pt>
                <c:pt idx="73">
                  <c:v>0.96654132749460597</c:v>
                </c:pt>
                <c:pt idx="74">
                  <c:v>0.94758504679693889</c:v>
                </c:pt>
                <c:pt idx="75">
                  <c:v>0.93301362595360249</c:v>
                </c:pt>
                <c:pt idx="76">
                  <c:v>0.9262510373443047</c:v>
                </c:pt>
                <c:pt idx="77">
                  <c:v>0.92854666699246691</c:v>
                </c:pt>
                <c:pt idx="78">
                  <c:v>0.92232253226283922</c:v>
                </c:pt>
                <c:pt idx="79">
                  <c:v>0.91016188721169367</c:v>
                </c:pt>
                <c:pt idx="80">
                  <c:v>0.91419454110498566</c:v>
                </c:pt>
                <c:pt idx="81">
                  <c:v>0.91279261878339979</c:v>
                </c:pt>
                <c:pt idx="82">
                  <c:v>0.92071371021961579</c:v>
                </c:pt>
                <c:pt idx="83">
                  <c:v>0.95029076801653567</c:v>
                </c:pt>
                <c:pt idx="84">
                  <c:v>0.97331149352209889</c:v>
                </c:pt>
                <c:pt idx="85">
                  <c:v>1.0048022346724699</c:v>
                </c:pt>
                <c:pt idx="86">
                  <c:v>1.0377892657435708</c:v>
                </c:pt>
                <c:pt idx="87">
                  <c:v>1.0725545295585694</c:v>
                </c:pt>
                <c:pt idx="88">
                  <c:v>1.080535327579166</c:v>
                </c:pt>
                <c:pt idx="89">
                  <c:v>1.0965109633708194</c:v>
                </c:pt>
                <c:pt idx="90">
                  <c:v>1.1304815721499444</c:v>
                </c:pt>
                <c:pt idx="91">
                  <c:v>1.1761129315900698</c:v>
                </c:pt>
                <c:pt idx="92">
                  <c:v>1.1906963909546706</c:v>
                </c:pt>
                <c:pt idx="93">
                  <c:v>1.1901529239119122</c:v>
                </c:pt>
                <c:pt idx="94">
                  <c:v>1.2022024688550439</c:v>
                </c:pt>
                <c:pt idx="95">
                  <c:v>1.2106086677326189</c:v>
                </c:pt>
                <c:pt idx="96">
                  <c:v>1.2295029273783862</c:v>
                </c:pt>
                <c:pt idx="97">
                  <c:v>1.23187718285488</c:v>
                </c:pt>
                <c:pt idx="98">
                  <c:v>1.2329768388644704</c:v>
                </c:pt>
                <c:pt idx="99">
                  <c:v>1.2157611389399803</c:v>
                </c:pt>
                <c:pt idx="100">
                  <c:v>1.2266847511564933</c:v>
                </c:pt>
                <c:pt idx="101">
                  <c:v>1.2353541064342528</c:v>
                </c:pt>
                <c:pt idx="102">
                  <c:v>1.2262914685292041</c:v>
                </c:pt>
                <c:pt idx="103">
                  <c:v>1.2020765553313284</c:v>
                </c:pt>
                <c:pt idx="104">
                  <c:v>1.1914767736491396</c:v>
                </c:pt>
                <c:pt idx="105">
                  <c:v>1.1899141826750483</c:v>
                </c:pt>
                <c:pt idx="106">
                  <c:v>1.1780426239689845</c:v>
                </c:pt>
                <c:pt idx="107">
                  <c:v>1.1637330603071598</c:v>
                </c:pt>
                <c:pt idx="108">
                  <c:v>1.1508981941005276</c:v>
                </c:pt>
                <c:pt idx="109">
                  <c:v>1.1468531380594973</c:v>
                </c:pt>
                <c:pt idx="110">
                  <c:v>1.1406695992558122</c:v>
                </c:pt>
                <c:pt idx="111">
                  <c:v>1.1389308562775697</c:v>
                </c:pt>
                <c:pt idx="112">
                  <c:v>1.1324401821606924</c:v>
                </c:pt>
                <c:pt idx="113">
                  <c:v>1.116486258693169</c:v>
                </c:pt>
                <c:pt idx="114">
                  <c:v>1.129395972011644</c:v>
                </c:pt>
                <c:pt idx="115">
                  <c:v>1.1308820319073867</c:v>
                </c:pt>
                <c:pt idx="116">
                  <c:v>1.1361373773937158</c:v>
                </c:pt>
                <c:pt idx="117">
                  <c:v>1.1577309896768655</c:v>
                </c:pt>
                <c:pt idx="118">
                  <c:v>1.164126586353996</c:v>
                </c:pt>
                <c:pt idx="119">
                  <c:v>1.182013681477297</c:v>
                </c:pt>
                <c:pt idx="120">
                  <c:v>1.2057692162938005</c:v>
                </c:pt>
                <c:pt idx="121">
                  <c:v>1.2130595233423584</c:v>
                </c:pt>
                <c:pt idx="122">
                  <c:v>1.2172368046880255</c:v>
                </c:pt>
                <c:pt idx="123">
                  <c:v>1.2311047988724231</c:v>
                </c:pt>
                <c:pt idx="124">
                  <c:v>1.2431454953042074</c:v>
                </c:pt>
                <c:pt idx="125">
                  <c:v>1.2535852964275218</c:v>
                </c:pt>
                <c:pt idx="126">
                  <c:v>1.2419005682112341</c:v>
                </c:pt>
                <c:pt idx="127">
                  <c:v>1.2516797096053744</c:v>
                </c:pt>
                <c:pt idx="128">
                  <c:v>1.2740138932059804</c:v>
                </c:pt>
                <c:pt idx="129">
                  <c:v>1.2793045164958177</c:v>
                </c:pt>
                <c:pt idx="130">
                  <c:v>1.3024272609395247</c:v>
                </c:pt>
                <c:pt idx="131">
                  <c:v>1.2950856935951915</c:v>
                </c:pt>
                <c:pt idx="132">
                  <c:v>1.281862064433289</c:v>
                </c:pt>
                <c:pt idx="133">
                  <c:v>1.2709079768570977</c:v>
                </c:pt>
                <c:pt idx="134">
                  <c:v>1.2517101400369244</c:v>
                </c:pt>
                <c:pt idx="135">
                  <c:v>1.2409185857231098</c:v>
                </c:pt>
                <c:pt idx="136">
                  <c:v>1.2342478237032417</c:v>
                </c:pt>
                <c:pt idx="137">
                  <c:v>1.2320636465556118</c:v>
                </c:pt>
                <c:pt idx="138">
                  <c:v>1.2424975762824604</c:v>
                </c:pt>
                <c:pt idx="139">
                  <c:v>1.2176963346599621</c:v>
                </c:pt>
                <c:pt idx="140">
                  <c:v>1.1881278353155846</c:v>
                </c:pt>
                <c:pt idx="141">
                  <c:v>1.1597056740084823</c:v>
                </c:pt>
                <c:pt idx="142">
                  <c:v>1.1130250136417541</c:v>
                </c:pt>
                <c:pt idx="143">
                  <c:v>1.0692347004468747</c:v>
                </c:pt>
                <c:pt idx="144">
                  <c:v>1.0406567975249383</c:v>
                </c:pt>
                <c:pt idx="145">
                  <c:v>1.0067326014505049</c:v>
                </c:pt>
                <c:pt idx="146">
                  <c:v>0.99984694424053833</c:v>
                </c:pt>
                <c:pt idx="147">
                  <c:v>0.98329903527790485</c:v>
                </c:pt>
                <c:pt idx="148">
                  <c:v>0.99223803645265052</c:v>
                </c:pt>
                <c:pt idx="149">
                  <c:v>0.96765394075882671</c:v>
                </c:pt>
                <c:pt idx="150">
                  <c:v>0.94802239754114626</c:v>
                </c:pt>
                <c:pt idx="151">
                  <c:v>0.93855976213562087</c:v>
                </c:pt>
                <c:pt idx="152">
                  <c:v>0.9193301062618261</c:v>
                </c:pt>
                <c:pt idx="153">
                  <c:v>0.91797515616842884</c:v>
                </c:pt>
                <c:pt idx="154">
                  <c:v>0.91958618820128835</c:v>
                </c:pt>
                <c:pt idx="155">
                  <c:v>0.93866908644251912</c:v>
                </c:pt>
                <c:pt idx="156">
                  <c:v>0.93494604923061886</c:v>
                </c:pt>
                <c:pt idx="157">
                  <c:v>0.93736087299204296</c:v>
                </c:pt>
                <c:pt idx="158">
                  <c:v>0.93190892478442544</c:v>
                </c:pt>
                <c:pt idx="159">
                  <c:v>0.93817330465620841</c:v>
                </c:pt>
                <c:pt idx="160">
                  <c:v>0.91756521673353886</c:v>
                </c:pt>
                <c:pt idx="161">
                  <c:v>0.93059425561798192</c:v>
                </c:pt>
                <c:pt idx="162">
                  <c:v>0.92623111846423378</c:v>
                </c:pt>
                <c:pt idx="163">
                  <c:v>0.94465017089488246</c:v>
                </c:pt>
                <c:pt idx="164">
                  <c:v>0.95593525401690216</c:v>
                </c:pt>
                <c:pt idx="165">
                  <c:v>0.94282537396195554</c:v>
                </c:pt>
                <c:pt idx="166">
                  <c:v>0.94440469436849639</c:v>
                </c:pt>
                <c:pt idx="167">
                  <c:v>0.93657901417968692</c:v>
                </c:pt>
                <c:pt idx="168">
                  <c:v>0.93084374108056944</c:v>
                </c:pt>
                <c:pt idx="169">
                  <c:v>0.93452471477543042</c:v>
                </c:pt>
                <c:pt idx="170">
                  <c:v>0.93014509241178889</c:v>
                </c:pt>
                <c:pt idx="171">
                  <c:v>0.91606988108952225</c:v>
                </c:pt>
                <c:pt idx="172">
                  <c:v>0.9181438284209934</c:v>
                </c:pt>
                <c:pt idx="173">
                  <c:v>0.92739937489600321</c:v>
                </c:pt>
                <c:pt idx="174">
                  <c:v>0.93609355078608558</c:v>
                </c:pt>
                <c:pt idx="175">
                  <c:v>0.92133712605115636</c:v>
                </c:pt>
                <c:pt idx="176">
                  <c:v>0.92913633670769602</c:v>
                </c:pt>
                <c:pt idx="177">
                  <c:v>0.95411641023575422</c:v>
                </c:pt>
                <c:pt idx="178">
                  <c:v>0.95568159526721863</c:v>
                </c:pt>
                <c:pt idx="179">
                  <c:v>0.96527056912157982</c:v>
                </c:pt>
                <c:pt idx="180">
                  <c:v>0.97934149423879291</c:v>
                </c:pt>
                <c:pt idx="181">
                  <c:v>0.97881328313495364</c:v>
                </c:pt>
                <c:pt idx="182">
                  <c:v>0.98460143677495837</c:v>
                </c:pt>
                <c:pt idx="183">
                  <c:v>0.99316226612620717</c:v>
                </c:pt>
                <c:pt idx="184">
                  <c:v>0.98870922136726735</c:v>
                </c:pt>
                <c:pt idx="185">
                  <c:v>0.98368705312304239</c:v>
                </c:pt>
                <c:pt idx="186">
                  <c:v>0.98214580404758189</c:v>
                </c:pt>
                <c:pt idx="187">
                  <c:v>0.98168326871578071</c:v>
                </c:pt>
                <c:pt idx="188">
                  <c:v>0.9616688229332756</c:v>
                </c:pt>
                <c:pt idx="189">
                  <c:v>0.94663011629324034</c:v>
                </c:pt>
                <c:pt idx="190">
                  <c:v>0.92838111197901274</c:v>
                </c:pt>
                <c:pt idx="191">
                  <c:v>0.89479661179963776</c:v>
                </c:pt>
                <c:pt idx="192">
                  <c:v>0.87507017311980584</c:v>
                </c:pt>
                <c:pt idx="193">
                  <c:v>0.85844350960012505</c:v>
                </c:pt>
                <c:pt idx="194">
                  <c:v>0.83547510125519231</c:v>
                </c:pt>
                <c:pt idx="195">
                  <c:v>0.81740262395760344</c:v>
                </c:pt>
                <c:pt idx="196">
                  <c:v>0.79553998468647924</c:v>
                </c:pt>
                <c:pt idx="197">
                  <c:v>0.76264610194535043</c:v>
                </c:pt>
                <c:pt idx="198">
                  <c:v>0.72586525145365377</c:v>
                </c:pt>
                <c:pt idx="199">
                  <c:v>0.68934471953449972</c:v>
                </c:pt>
                <c:pt idx="200">
                  <c:v>0.67167780098339847</c:v>
                </c:pt>
                <c:pt idx="201">
                  <c:v>0.63332173530053804</c:v>
                </c:pt>
                <c:pt idx="202">
                  <c:v>0.61658087307891651</c:v>
                </c:pt>
                <c:pt idx="203">
                  <c:v>0.61539235599506448</c:v>
                </c:pt>
                <c:pt idx="204">
                  <c:v>0.60562100997619062</c:v>
                </c:pt>
                <c:pt idx="205">
                  <c:v>0.59847150198562038</c:v>
                </c:pt>
                <c:pt idx="206">
                  <c:v>0.59831440004369518</c:v>
                </c:pt>
                <c:pt idx="207">
                  <c:v>0.59636168315002069</c:v>
                </c:pt>
                <c:pt idx="208">
                  <c:v>0.59655787898605994</c:v>
                </c:pt>
                <c:pt idx="209">
                  <c:v>0.59943376440881946</c:v>
                </c:pt>
                <c:pt idx="210">
                  <c:v>0.61381428387031145</c:v>
                </c:pt>
                <c:pt idx="211">
                  <c:v>0.63059332587116845</c:v>
                </c:pt>
                <c:pt idx="212">
                  <c:v>0.63815747156684677</c:v>
                </c:pt>
                <c:pt idx="213">
                  <c:v>0.65432622175887445</c:v>
                </c:pt>
                <c:pt idx="214">
                  <c:v>0.66954407631529178</c:v>
                </c:pt>
                <c:pt idx="215">
                  <c:v>0.67798686730904012</c:v>
                </c:pt>
                <c:pt idx="216">
                  <c:v>0.6684799524686913</c:v>
                </c:pt>
                <c:pt idx="217">
                  <c:v>0.67515186678822237</c:v>
                </c:pt>
                <c:pt idx="218">
                  <c:v>0.67996295558478004</c:v>
                </c:pt>
                <c:pt idx="219">
                  <c:v>0.69420131392173334</c:v>
                </c:pt>
                <c:pt idx="220">
                  <c:v>0.69178960140573886</c:v>
                </c:pt>
                <c:pt idx="221">
                  <c:v>0.70154948855228749</c:v>
                </c:pt>
                <c:pt idx="222">
                  <c:v>0.71107513286361157</c:v>
                </c:pt>
                <c:pt idx="223">
                  <c:v>0.71464413804586602</c:v>
                </c:pt>
                <c:pt idx="224">
                  <c:v>0.72809709262817912</c:v>
                </c:pt>
                <c:pt idx="225">
                  <c:v>0.7427386281149948</c:v>
                </c:pt>
                <c:pt idx="226">
                  <c:v>0.76217022478596119</c:v>
                </c:pt>
                <c:pt idx="227">
                  <c:v>0.78838018754708017</c:v>
                </c:pt>
                <c:pt idx="228">
                  <c:v>0.82056855795714911</c:v>
                </c:pt>
                <c:pt idx="229">
                  <c:v>0.8411571861107503</c:v>
                </c:pt>
                <c:pt idx="230">
                  <c:v>0.87209849455535648</c:v>
                </c:pt>
                <c:pt idx="231">
                  <c:v>0.88218879613013401</c:v>
                </c:pt>
                <c:pt idx="232">
                  <c:v>0.91797248496307893</c:v>
                </c:pt>
                <c:pt idx="233">
                  <c:v>0.94161784140230576</c:v>
                </c:pt>
                <c:pt idx="234">
                  <c:v>0.9537949846506798</c:v>
                </c:pt>
                <c:pt idx="235">
                  <c:v>0.96801389485139466</c:v>
                </c:pt>
                <c:pt idx="236">
                  <c:v>0.97014681104996503</c:v>
                </c:pt>
                <c:pt idx="237">
                  <c:v>0.97249404039727649</c:v>
                </c:pt>
                <c:pt idx="238">
                  <c:v>0.96774935019234587</c:v>
                </c:pt>
                <c:pt idx="239">
                  <c:v>0.97396230363449976</c:v>
                </c:pt>
                <c:pt idx="240">
                  <c:v>0.97782537901202349</c:v>
                </c:pt>
                <c:pt idx="241">
                  <c:v>0.98640224622878725</c:v>
                </c:pt>
                <c:pt idx="242">
                  <c:v>0.99528132904558808</c:v>
                </c:pt>
                <c:pt idx="243">
                  <c:v>1.0093298892968197</c:v>
                </c:pt>
                <c:pt idx="244">
                  <c:v>1.0223967675271948</c:v>
                </c:pt>
                <c:pt idx="245">
                  <c:v>1.0508357492603246</c:v>
                </c:pt>
                <c:pt idx="246">
                  <c:v>1.0818375681965933</c:v>
                </c:pt>
                <c:pt idx="247">
                  <c:v>1.1049108913180676</c:v>
                </c:pt>
                <c:pt idx="248">
                  <c:v>1.1275902730041496</c:v>
                </c:pt>
                <c:pt idx="249">
                  <c:v>1.1406855867548207</c:v>
                </c:pt>
                <c:pt idx="250">
                  <c:v>1.1501196214097189</c:v>
                </c:pt>
                <c:pt idx="251">
                  <c:v>1.1587338146952575</c:v>
                </c:pt>
                <c:pt idx="252">
                  <c:v>1.1694631956702108</c:v>
                </c:pt>
                <c:pt idx="253">
                  <c:v>1.1796745886514668</c:v>
                </c:pt>
                <c:pt idx="254">
                  <c:v>1.1713737803412054</c:v>
                </c:pt>
                <c:pt idx="255">
                  <c:v>1.1590106207369519</c:v>
                </c:pt>
                <c:pt idx="256">
                  <c:v>1.1405807487230157</c:v>
                </c:pt>
                <c:pt idx="257">
                  <c:v>1.1217613625506011</c:v>
                </c:pt>
                <c:pt idx="258">
                  <c:v>1.1119924327724373</c:v>
                </c:pt>
                <c:pt idx="259">
                  <c:v>1.1038553936942079</c:v>
                </c:pt>
                <c:pt idx="260">
                  <c:v>1.0979207931401562</c:v>
                </c:pt>
                <c:pt idx="261">
                  <c:v>1.1038318275188284</c:v>
                </c:pt>
                <c:pt idx="262">
                  <c:v>1.1059810432134238</c:v>
                </c:pt>
                <c:pt idx="263">
                  <c:v>1.090194315049791</c:v>
                </c:pt>
                <c:pt idx="264">
                  <c:v>1.0816100551388181</c:v>
                </c:pt>
                <c:pt idx="265">
                  <c:v>1.065197526668451</c:v>
                </c:pt>
                <c:pt idx="266">
                  <c:v>1.0632401377218357</c:v>
                </c:pt>
                <c:pt idx="267">
                  <c:v>1.0844160491125105</c:v>
                </c:pt>
                <c:pt idx="268">
                  <c:v>1.0999336631095897</c:v>
                </c:pt>
                <c:pt idx="269">
                  <c:v>1.1030206097663611</c:v>
                </c:pt>
                <c:pt idx="270">
                  <c:v>1.1116508273785222</c:v>
                </c:pt>
                <c:pt idx="271">
                  <c:v>1.1087445007173229</c:v>
                </c:pt>
                <c:pt idx="272">
                  <c:v>1.114386688437365</c:v>
                </c:pt>
                <c:pt idx="273">
                  <c:v>1.137361969896123</c:v>
                </c:pt>
                <c:pt idx="274">
                  <c:v>1.1486259198155491</c:v>
                </c:pt>
                <c:pt idx="275">
                  <c:v>1.1644938260312443</c:v>
                </c:pt>
                <c:pt idx="276">
                  <c:v>1.2134190898928026</c:v>
                </c:pt>
                <c:pt idx="277">
                  <c:v>1.2469456566278574</c:v>
                </c:pt>
                <c:pt idx="278">
                  <c:v>1.2639382038459082</c:v>
                </c:pt>
                <c:pt idx="279">
                  <c:v>1.2825477218683772</c:v>
                </c:pt>
                <c:pt idx="280">
                  <c:v>1.2854310427230247</c:v>
                </c:pt>
                <c:pt idx="281">
                  <c:v>1.3031397463511731</c:v>
                </c:pt>
                <c:pt idx="282">
                  <c:v>1.3003746511029428</c:v>
                </c:pt>
                <c:pt idx="283">
                  <c:v>1.3237634676101389</c:v>
                </c:pt>
                <c:pt idx="284">
                  <c:v>1.3346502084517378</c:v>
                </c:pt>
                <c:pt idx="285">
                  <c:v>1.3379602478106158</c:v>
                </c:pt>
                <c:pt idx="286">
                  <c:v>1.3498140552775078</c:v>
                </c:pt>
                <c:pt idx="287">
                  <c:v>1.367185895917246</c:v>
                </c:pt>
                <c:pt idx="288">
                  <c:v>1.3525266838367502</c:v>
                </c:pt>
                <c:pt idx="289">
                  <c:v>1.3400864833274264</c:v>
                </c:pt>
                <c:pt idx="290">
                  <c:v>1.3359604386703754</c:v>
                </c:pt>
                <c:pt idx="291">
                  <c:v>1.3262949415773406</c:v>
                </c:pt>
                <c:pt idx="292">
                  <c:v>1.344305298358671</c:v>
                </c:pt>
                <c:pt idx="293">
                  <c:v>1.3520714317479918</c:v>
                </c:pt>
                <c:pt idx="294">
                  <c:v>1.3718228612277481</c:v>
                </c:pt>
                <c:pt idx="295">
                  <c:v>1.3944509314309301</c:v>
                </c:pt>
                <c:pt idx="296">
                  <c:v>1.4321249871791597</c:v>
                </c:pt>
                <c:pt idx="297">
                  <c:v>1.46320621412767</c:v>
                </c:pt>
                <c:pt idx="298">
                  <c:v>1.50408477165285</c:v>
                </c:pt>
                <c:pt idx="299">
                  <c:v>1.5333381142375198</c:v>
                </c:pt>
                <c:pt idx="300">
                  <c:v>1.5932053534960409</c:v>
                </c:pt>
                <c:pt idx="301">
                  <c:v>1.6571166474571006</c:v>
                </c:pt>
                <c:pt idx="302">
                  <c:v>1.7106075655265089</c:v>
                </c:pt>
                <c:pt idx="303">
                  <c:v>1.7719837803633565</c:v>
                </c:pt>
                <c:pt idx="304">
                  <c:v>1.8180628368786169</c:v>
                </c:pt>
                <c:pt idx="305">
                  <c:v>1.8613573445727467</c:v>
                </c:pt>
                <c:pt idx="306">
                  <c:v>1.9252698754483146</c:v>
                </c:pt>
                <c:pt idx="307">
                  <c:v>1.9531648832402251</c:v>
                </c:pt>
                <c:pt idx="308">
                  <c:v>1.9773123697285975</c:v>
                </c:pt>
                <c:pt idx="309">
                  <c:v>1.9897773354319117</c:v>
                </c:pt>
                <c:pt idx="310">
                  <c:v>2.0392967396087776</c:v>
                </c:pt>
                <c:pt idx="311">
                  <c:v>2.0719645705735168</c:v>
                </c:pt>
                <c:pt idx="312">
                  <c:v>2.0839847484262446</c:v>
                </c:pt>
                <c:pt idx="313">
                  <c:v>2.1182160259469964</c:v>
                </c:pt>
                <c:pt idx="314">
                  <c:v>2.1312613665243392</c:v>
                </c:pt>
                <c:pt idx="315">
                  <c:v>2.153281937584909</c:v>
                </c:pt>
                <c:pt idx="316">
                  <c:v>2.1941941732814429</c:v>
                </c:pt>
                <c:pt idx="317">
                  <c:v>2.2144422141755293</c:v>
                </c:pt>
                <c:pt idx="318">
                  <c:v>2.2253577032076657</c:v>
                </c:pt>
                <c:pt idx="319">
                  <c:v>2.2596685859373573</c:v>
                </c:pt>
                <c:pt idx="320">
                  <c:v>2.2949521573161147</c:v>
                </c:pt>
                <c:pt idx="321">
                  <c:v>2.3237996588449028</c:v>
                </c:pt>
                <c:pt idx="322">
                  <c:v>2.3068046284836603</c:v>
                </c:pt>
                <c:pt idx="323">
                  <c:v>2.3325480033963002</c:v>
                </c:pt>
                <c:pt idx="324">
                  <c:v>2.3484070383655888</c:v>
                </c:pt>
                <c:pt idx="325">
                  <c:v>2.3491934132217702</c:v>
                </c:pt>
                <c:pt idx="326">
                  <c:v>2.3843244501842471</c:v>
                </c:pt>
                <c:pt idx="327">
                  <c:v>2.3906890888180428</c:v>
                </c:pt>
                <c:pt idx="328">
                  <c:v>2.394086201965786</c:v>
                </c:pt>
                <c:pt idx="329">
                  <c:v>2.4320125629221447</c:v>
                </c:pt>
                <c:pt idx="330">
                  <c:v>2.4895613428984058</c:v>
                </c:pt>
                <c:pt idx="331">
                  <c:v>2.5045669733142937</c:v>
                </c:pt>
                <c:pt idx="332">
                  <c:v>2.5056465375245152</c:v>
                </c:pt>
                <c:pt idx="333">
                  <c:v>2.5528805161736097</c:v>
                </c:pt>
                <c:pt idx="334">
                  <c:v>2.5742269754954044</c:v>
                </c:pt>
                <c:pt idx="335">
                  <c:v>2.5883630275545371</c:v>
                </c:pt>
                <c:pt idx="336">
                  <c:v>2.6289212762953431</c:v>
                </c:pt>
                <c:pt idx="337">
                  <c:v>2.6754215933630241</c:v>
                </c:pt>
                <c:pt idx="338">
                  <c:v>2.6683748860908554</c:v>
                </c:pt>
                <c:pt idx="339">
                  <c:v>2.6919771527993235</c:v>
                </c:pt>
                <c:pt idx="340">
                  <c:v>2.7060481220351642</c:v>
                </c:pt>
                <c:pt idx="341">
                  <c:v>2.7173306960386419</c:v>
                </c:pt>
                <c:pt idx="342">
                  <c:v>2.7070359492762419</c:v>
                </c:pt>
                <c:pt idx="343">
                  <c:v>2.7020779636856012</c:v>
                </c:pt>
                <c:pt idx="344">
                  <c:v>2.6928022992270209</c:v>
                </c:pt>
                <c:pt idx="345">
                  <c:v>2.645386043997358</c:v>
                </c:pt>
                <c:pt idx="346">
                  <c:v>2.6197259040282339</c:v>
                </c:pt>
                <c:pt idx="347">
                  <c:v>2.6136322227659656</c:v>
                </c:pt>
                <c:pt idx="348">
                  <c:v>2.5734192882171332</c:v>
                </c:pt>
                <c:pt idx="349">
                  <c:v>2.5486594976169861</c:v>
                </c:pt>
                <c:pt idx="350">
                  <c:v>2.5729062896824595</c:v>
                </c:pt>
                <c:pt idx="351">
                  <c:v>2.5587116217819821</c:v>
                </c:pt>
                <c:pt idx="352">
                  <c:v>2.5314329006153633</c:v>
                </c:pt>
                <c:pt idx="353">
                  <c:v>2.5203982556111533</c:v>
                </c:pt>
                <c:pt idx="354">
                  <c:v>2.5041026431844373</c:v>
                </c:pt>
                <c:pt idx="355">
                  <c:v>2.5083004540764033</c:v>
                </c:pt>
                <c:pt idx="356">
                  <c:v>2.5624664576546592</c:v>
                </c:pt>
                <c:pt idx="357">
                  <c:v>2.6273515491066219</c:v>
                </c:pt>
                <c:pt idx="358">
                  <c:v>2.7049922815076215</c:v>
                </c:pt>
                <c:pt idx="359">
                  <c:v>2.7468919967843979</c:v>
                </c:pt>
                <c:pt idx="360">
                  <c:v>2.8075427242827877</c:v>
                </c:pt>
                <c:pt idx="361">
                  <c:v>2.8775735297770071</c:v>
                </c:pt>
                <c:pt idx="362">
                  <c:v>2.9325161209695598</c:v>
                </c:pt>
                <c:pt idx="363">
                  <c:v>3.0011445658499207</c:v>
                </c:pt>
                <c:pt idx="364">
                  <c:v>3.1084153143573761</c:v>
                </c:pt>
                <c:pt idx="365">
                  <c:v>3.1927953340064876</c:v>
                </c:pt>
                <c:pt idx="366">
                  <c:v>3.2606042129534565</c:v>
                </c:pt>
                <c:pt idx="367">
                  <c:v>3.3848251222294423</c:v>
                </c:pt>
                <c:pt idx="368">
                  <c:v>3.4434372161665183</c:v>
                </c:pt>
                <c:pt idx="369">
                  <c:v>3.5027823741224409</c:v>
                </c:pt>
                <c:pt idx="370">
                  <c:v>3.5835269089594282</c:v>
                </c:pt>
                <c:pt idx="371">
                  <c:v>3.6543376008215782</c:v>
                </c:pt>
                <c:pt idx="372">
                  <c:v>3.7802175080991747</c:v>
                </c:pt>
                <c:pt idx="373">
                  <c:v>3.8914545204981255</c:v>
                </c:pt>
                <c:pt idx="374">
                  <c:v>3.9952211285896344</c:v>
                </c:pt>
                <c:pt idx="375">
                  <c:v>4.0994712830228011</c:v>
                </c:pt>
                <c:pt idx="376">
                  <c:v>4.1755476927121755</c:v>
                </c:pt>
                <c:pt idx="377">
                  <c:v>4.2365896966434544</c:v>
                </c:pt>
                <c:pt idx="378">
                  <c:v>4.3443098319478413</c:v>
                </c:pt>
                <c:pt idx="379">
                  <c:v>4.3993269632982717</c:v>
                </c:pt>
                <c:pt idx="380">
                  <c:v>4.4842915795455482</c:v>
                </c:pt>
                <c:pt idx="381">
                  <c:v>4.5669250876121747</c:v>
                </c:pt>
                <c:pt idx="382">
                  <c:v>4.6175816182396279</c:v>
                </c:pt>
                <c:pt idx="383">
                  <c:v>4.6469883911256264</c:v>
                </c:pt>
                <c:pt idx="384">
                  <c:v>4.6634210190501308</c:v>
                </c:pt>
                <c:pt idx="385">
                  <c:v>4.648990309579939</c:v>
                </c:pt>
                <c:pt idx="386">
                  <c:v>4.6351097022481103</c:v>
                </c:pt>
                <c:pt idx="387">
                  <c:v>4.6010322522685527</c:v>
                </c:pt>
                <c:pt idx="388">
                  <c:v>4.5921644655689242</c:v>
                </c:pt>
                <c:pt idx="389">
                  <c:v>4.5522938626719904</c:v>
                </c:pt>
                <c:pt idx="390">
                  <c:v>4.4974203264788315</c:v>
                </c:pt>
                <c:pt idx="391">
                  <c:v>4.4131949087957905</c:v>
                </c:pt>
                <c:pt idx="392">
                  <c:v>4.3481679676858107</c:v>
                </c:pt>
                <c:pt idx="393">
                  <c:v>4.2449363178750419</c:v>
                </c:pt>
                <c:pt idx="394">
                  <c:v>4.1608245386859197</c:v>
                </c:pt>
                <c:pt idx="395">
                  <c:v>4.1311464450196009</c:v>
                </c:pt>
                <c:pt idx="396">
                  <c:v>4.053484408751455</c:v>
                </c:pt>
                <c:pt idx="397">
                  <c:v>3.9800273960533343</c:v>
                </c:pt>
                <c:pt idx="398">
                  <c:v>3.8889062813203701</c:v>
                </c:pt>
                <c:pt idx="399">
                  <c:v>3.7727849535159996</c:v>
                </c:pt>
                <c:pt idx="400">
                  <c:v>3.631350874239641</c:v>
                </c:pt>
                <c:pt idx="401">
                  <c:v>3.5080323570309271</c:v>
                </c:pt>
                <c:pt idx="402">
                  <c:v>3.3651755884895271</c:v>
                </c:pt>
                <c:pt idx="403">
                  <c:v>3.2447218022337729</c:v>
                </c:pt>
                <c:pt idx="404">
                  <c:v>3.0902832166945169</c:v>
                </c:pt>
                <c:pt idx="405">
                  <c:v>2.963670280967575</c:v>
                </c:pt>
                <c:pt idx="406">
                  <c:v>2.8145429937820907</c:v>
                </c:pt>
                <c:pt idx="407">
                  <c:v>2.6439943976808142</c:v>
                </c:pt>
                <c:pt idx="408">
                  <c:v>2.4462442311772241</c:v>
                </c:pt>
                <c:pt idx="409">
                  <c:v>2.2370048917816345</c:v>
                </c:pt>
                <c:pt idx="410">
                  <c:v>2.05921564045099</c:v>
                </c:pt>
                <c:pt idx="411">
                  <c:v>1.9983134784341683</c:v>
                </c:pt>
                <c:pt idx="412">
                  <c:v>1.930020235025413</c:v>
                </c:pt>
                <c:pt idx="413">
                  <c:v>1.8720992887440748</c:v>
                </c:pt>
                <c:pt idx="414">
                  <c:v>1.7920717405606421</c:v>
                </c:pt>
                <c:pt idx="415">
                  <c:v>1.7343509999081403</c:v>
                </c:pt>
                <c:pt idx="416">
                  <c:v>1.679157015388975</c:v>
                </c:pt>
                <c:pt idx="417">
                  <c:v>1.6163513007973238</c:v>
                </c:pt>
                <c:pt idx="418">
                  <c:v>1.5415427846722014</c:v>
                </c:pt>
                <c:pt idx="419">
                  <c:v>1.4234581296886177</c:v>
                </c:pt>
                <c:pt idx="420">
                  <c:v>1.3180938284922781</c:v>
                </c:pt>
              </c:numCache>
            </c:numRef>
          </c:val>
          <c:smooth val="0"/>
          <c:extLst>
            <c:ext xmlns:c16="http://schemas.microsoft.com/office/drawing/2014/chart" uri="{C3380CC4-5D6E-409C-BE32-E72D297353CC}">
              <c16:uniqueId val="{00000002-94B2-4752-B8ED-1EE1365619B3}"/>
            </c:ext>
          </c:extLst>
        </c:ser>
        <c:dLbls>
          <c:showLegendKey val="0"/>
          <c:showVal val="0"/>
          <c:showCatName val="0"/>
          <c:showSerName val="0"/>
          <c:showPercent val="0"/>
          <c:showBubbleSize val="0"/>
        </c:dLbls>
        <c:smooth val="0"/>
        <c:axId val="1981734784"/>
        <c:axId val="1981746784"/>
      </c:lineChart>
      <c:dateAx>
        <c:axId val="1981734784"/>
        <c:scaling>
          <c:orientation val="minMax"/>
          <c:min val="33239"/>
        </c:scaling>
        <c:delete val="0"/>
        <c:axPos val="b"/>
        <c:numFmt formatCode="yyyy" sourceLinked="0"/>
        <c:majorTickMark val="out"/>
        <c:minorTickMark val="none"/>
        <c:tickLblPos val="nextTo"/>
        <c:spPr>
          <a:noFill/>
          <a:ln w="9525" cap="flat" cmpd="sng" algn="ctr">
            <a:solidFill>
              <a:sysClr val="window" lastClr="FFFFFF">
                <a:lumMod val="65000"/>
              </a:sys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libri" panose="020F0502020204030204" pitchFamily="34" charset="0"/>
                <a:ea typeface="Calibri" panose="020F0502020204030204" pitchFamily="34" charset="0"/>
                <a:cs typeface="Calibri" panose="020F0502020204030204" pitchFamily="34" charset="0"/>
              </a:defRPr>
            </a:pPr>
            <a:endParaRPr lang="en-US"/>
          </a:p>
        </c:txPr>
        <c:crossAx val="1981746784"/>
        <c:crosses val="autoZero"/>
        <c:auto val="1"/>
        <c:lblOffset val="100"/>
        <c:baseTimeUnit val="months"/>
        <c:majorUnit val="7"/>
        <c:majorTimeUnit val="years"/>
      </c:dateAx>
      <c:valAx>
        <c:axId val="1981746784"/>
        <c:scaling>
          <c:orientation val="minMax"/>
        </c:scaling>
        <c:delete val="0"/>
        <c:axPos val="l"/>
        <c:majorGridlines>
          <c:spPr>
            <a:ln w="6350" cap="flat" cmpd="sng" algn="ctr">
              <a:solidFill>
                <a:sysClr val="window" lastClr="FFFFFF">
                  <a:lumMod val="65000"/>
                </a:sysClr>
              </a:solidFill>
              <a:prstDash val="dash"/>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Calibri" panose="020F0502020204030204" pitchFamily="34" charset="0"/>
                    <a:ea typeface="Calibri" panose="020F0502020204030204" pitchFamily="34" charset="0"/>
                    <a:cs typeface="Calibri" panose="020F0502020204030204" pitchFamily="34" charset="0"/>
                  </a:defRPr>
                </a:pPr>
                <a:r>
                  <a:rPr lang="en-AU" i="1"/>
                  <a:t>per cent</a:t>
                </a:r>
              </a:p>
            </c:rich>
          </c:tx>
          <c:layout>
            <c:manualLayout>
              <c:xMode val="edge"/>
              <c:yMode val="edge"/>
              <c:x val="2.8034763106251754E-3"/>
              <c:y val="0.31921594089589739"/>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Calibri" panose="020F0502020204030204" pitchFamily="34" charset="0"/>
                  <a:ea typeface="Calibri" panose="020F0502020204030204" pitchFamily="34" charset="0"/>
                  <a:cs typeface="Calibri" panose="020F0502020204030204" pitchFamily="34" charset="0"/>
                </a:defRPr>
              </a:pPr>
              <a:endParaRPr lang="en-US"/>
            </a:p>
          </c:txPr>
        </c:title>
        <c:numFmt formatCode="0" sourceLinked="0"/>
        <c:majorTickMark val="none"/>
        <c:minorTickMark val="none"/>
        <c:tickLblPos val="nextTo"/>
        <c:spPr>
          <a:noFill/>
          <a:ln>
            <a:solidFill>
              <a:sysClr val="window" lastClr="FFFFFF">
                <a:lumMod val="50000"/>
              </a:sys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libri" panose="020F0502020204030204" pitchFamily="34" charset="0"/>
                <a:ea typeface="Calibri" panose="020F0502020204030204" pitchFamily="34" charset="0"/>
                <a:cs typeface="Calibri" panose="020F0502020204030204" pitchFamily="34" charset="0"/>
              </a:defRPr>
            </a:pPr>
            <a:endParaRPr lang="en-US"/>
          </a:p>
        </c:txPr>
        <c:crossAx val="19817347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Calibri" panose="020F0502020204030204" pitchFamily="34" charset="0"/>
              <a:ea typeface="Calibri" panose="020F0502020204030204" pitchFamily="34" charset="0"/>
              <a:cs typeface="Calibri" panose="020F0502020204030204" pitchFamily="34"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chemeClr val="tx1">
              <a:lumMod val="65000"/>
              <a:lumOff val="35000"/>
            </a:schemeClr>
          </a:solidFill>
          <a:latin typeface="Calibri" panose="020F0502020204030204" pitchFamily="34" charset="0"/>
          <a:ea typeface="Calibri" panose="020F0502020204030204" pitchFamily="34" charset="0"/>
          <a:cs typeface="Calibri" panose="020F0502020204030204" pitchFamily="34" charset="0"/>
        </a:defRPr>
      </a:pPr>
      <a:endParaRPr lang="en-US"/>
    </a:p>
  </c:txPr>
  <c:externalData r:id="rId4">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1657976326447496E-2"/>
          <c:y val="3.524609423822022E-2"/>
          <c:w val="0.8717277024431429"/>
          <c:h val="0.75880307237171429"/>
        </c:manualLayout>
      </c:layout>
      <c:lineChart>
        <c:grouping val="standard"/>
        <c:varyColors val="0"/>
        <c:ser>
          <c:idx val="0"/>
          <c:order val="0"/>
          <c:tx>
            <c:strRef>
              <c:f>Scenario!$C$58</c:f>
              <c:strCache>
                <c:ptCount val="1"/>
                <c:pt idx="0">
                  <c:v>Real GSP </c:v>
                </c:pt>
              </c:strCache>
            </c:strRef>
          </c:tx>
          <c:spPr>
            <a:ln w="22225" cap="rnd">
              <a:solidFill>
                <a:sysClr val="windowText" lastClr="000000">
                  <a:lumMod val="65000"/>
                  <a:lumOff val="35000"/>
                </a:sysClr>
              </a:solidFill>
              <a:round/>
            </a:ln>
            <a:effectLst/>
          </c:spPr>
          <c:marker>
            <c:symbol val="none"/>
          </c:marker>
          <c:cat>
            <c:numRef>
              <c:f>Scenario!$F$2:$W$2</c:f>
              <c:numCache>
                <c:formatCode>m/d/yyyy</c:formatCode>
                <c:ptCount val="18"/>
                <c:pt idx="0">
                  <c:v>46082</c:v>
                </c:pt>
                <c:pt idx="1">
                  <c:v>46174</c:v>
                </c:pt>
                <c:pt idx="2">
                  <c:v>46266</c:v>
                </c:pt>
                <c:pt idx="3">
                  <c:v>46357</c:v>
                </c:pt>
                <c:pt idx="4">
                  <c:v>46447</c:v>
                </c:pt>
                <c:pt idx="5">
                  <c:v>46539</c:v>
                </c:pt>
                <c:pt idx="6">
                  <c:v>46631</c:v>
                </c:pt>
                <c:pt idx="7">
                  <c:v>46722</c:v>
                </c:pt>
                <c:pt idx="8">
                  <c:v>46813</c:v>
                </c:pt>
                <c:pt idx="9">
                  <c:v>46905</c:v>
                </c:pt>
                <c:pt idx="10">
                  <c:v>46997</c:v>
                </c:pt>
                <c:pt idx="11">
                  <c:v>47088</c:v>
                </c:pt>
                <c:pt idx="12">
                  <c:v>47178</c:v>
                </c:pt>
                <c:pt idx="13">
                  <c:v>47270</c:v>
                </c:pt>
                <c:pt idx="14">
                  <c:v>47362</c:v>
                </c:pt>
                <c:pt idx="15">
                  <c:v>47453</c:v>
                </c:pt>
                <c:pt idx="16">
                  <c:v>47543</c:v>
                </c:pt>
                <c:pt idx="17">
                  <c:v>47635</c:v>
                </c:pt>
              </c:numCache>
            </c:numRef>
          </c:cat>
          <c:val>
            <c:numRef>
              <c:f>Scenario!$F$58:$W$58</c:f>
              <c:numCache>
                <c:formatCode>0.0</c:formatCode>
                <c:ptCount val="18"/>
                <c:pt idx="0">
                  <c:v>0</c:v>
                </c:pt>
                <c:pt idx="1">
                  <c:v>0</c:v>
                </c:pt>
                <c:pt idx="2">
                  <c:v>0</c:v>
                </c:pt>
                <c:pt idx="3">
                  <c:v>0</c:v>
                </c:pt>
                <c:pt idx="4">
                  <c:v>0</c:v>
                </c:pt>
                <c:pt idx="5">
                  <c:v>0</c:v>
                </c:pt>
                <c:pt idx="6">
                  <c:v>0</c:v>
                </c:pt>
                <c:pt idx="7">
                  <c:v>0</c:v>
                </c:pt>
                <c:pt idx="8">
                  <c:v>6.3509389999999999E-2</c:v>
                </c:pt>
                <c:pt idx="9">
                  <c:v>0.13705600000000001</c:v>
                </c:pt>
                <c:pt idx="10">
                  <c:v>0.210844</c:v>
                </c:pt>
                <c:pt idx="11">
                  <c:v>0.28490199999999999</c:v>
                </c:pt>
                <c:pt idx="12">
                  <c:v>0.35971599999999998</c:v>
                </c:pt>
                <c:pt idx="13">
                  <c:v>0.36575000000000002</c:v>
                </c:pt>
                <c:pt idx="14">
                  <c:v>0.37229000000000001</c:v>
                </c:pt>
                <c:pt idx="15">
                  <c:v>0.37825599999999998</c:v>
                </c:pt>
                <c:pt idx="16">
                  <c:v>0.38427299999999998</c:v>
                </c:pt>
                <c:pt idx="17" formatCode="0">
                  <c:v>0.390158</c:v>
                </c:pt>
              </c:numCache>
            </c:numRef>
          </c:val>
          <c:smooth val="0"/>
          <c:extLst>
            <c:ext xmlns:c16="http://schemas.microsoft.com/office/drawing/2014/chart" uri="{C3380CC4-5D6E-409C-BE32-E72D297353CC}">
              <c16:uniqueId val="{00000000-EBB5-433C-A4D9-BD4B283D0995}"/>
            </c:ext>
          </c:extLst>
        </c:ser>
        <c:ser>
          <c:idx val="3"/>
          <c:order val="1"/>
          <c:tx>
            <c:v>Real household consumption</c:v>
          </c:tx>
          <c:spPr>
            <a:ln w="22225" cap="rnd">
              <a:solidFill>
                <a:sysClr val="window" lastClr="FFFFFF">
                  <a:lumMod val="65000"/>
                </a:sysClr>
              </a:solidFill>
              <a:round/>
            </a:ln>
            <a:effectLst/>
          </c:spPr>
          <c:marker>
            <c:symbol val="none"/>
          </c:marker>
          <c:cat>
            <c:numRef>
              <c:f>Scenario!$F$2:$W$2</c:f>
              <c:numCache>
                <c:formatCode>m/d/yyyy</c:formatCode>
                <c:ptCount val="18"/>
                <c:pt idx="0">
                  <c:v>46082</c:v>
                </c:pt>
                <c:pt idx="1">
                  <c:v>46174</c:v>
                </c:pt>
                <c:pt idx="2">
                  <c:v>46266</c:v>
                </c:pt>
                <c:pt idx="3">
                  <c:v>46357</c:v>
                </c:pt>
                <c:pt idx="4">
                  <c:v>46447</c:v>
                </c:pt>
                <c:pt idx="5">
                  <c:v>46539</c:v>
                </c:pt>
                <c:pt idx="6">
                  <c:v>46631</c:v>
                </c:pt>
                <c:pt idx="7">
                  <c:v>46722</c:v>
                </c:pt>
                <c:pt idx="8">
                  <c:v>46813</c:v>
                </c:pt>
                <c:pt idx="9">
                  <c:v>46905</c:v>
                </c:pt>
                <c:pt idx="10">
                  <c:v>46997</c:v>
                </c:pt>
                <c:pt idx="11">
                  <c:v>47088</c:v>
                </c:pt>
                <c:pt idx="12">
                  <c:v>47178</c:v>
                </c:pt>
                <c:pt idx="13">
                  <c:v>47270</c:v>
                </c:pt>
                <c:pt idx="14">
                  <c:v>47362</c:v>
                </c:pt>
                <c:pt idx="15">
                  <c:v>47453</c:v>
                </c:pt>
                <c:pt idx="16">
                  <c:v>47543</c:v>
                </c:pt>
                <c:pt idx="17">
                  <c:v>47635</c:v>
                </c:pt>
              </c:numCache>
            </c:numRef>
          </c:cat>
          <c:val>
            <c:numRef>
              <c:f>Scenario!$F$59:$W$59</c:f>
              <c:numCache>
                <c:formatCode>0.00</c:formatCode>
                <c:ptCount val="18"/>
                <c:pt idx="0" formatCode="0">
                  <c:v>0</c:v>
                </c:pt>
                <c:pt idx="1">
                  <c:v>0</c:v>
                </c:pt>
                <c:pt idx="2">
                  <c:v>0</c:v>
                </c:pt>
                <c:pt idx="3">
                  <c:v>0</c:v>
                </c:pt>
                <c:pt idx="4">
                  <c:v>0</c:v>
                </c:pt>
                <c:pt idx="5" formatCode="0">
                  <c:v>0</c:v>
                </c:pt>
                <c:pt idx="6" formatCode="0">
                  <c:v>0</c:v>
                </c:pt>
                <c:pt idx="7" formatCode="0">
                  <c:v>0</c:v>
                </c:pt>
                <c:pt idx="8" formatCode="0">
                  <c:v>3.094771E-2</c:v>
                </c:pt>
                <c:pt idx="9" formatCode="0">
                  <c:v>9.9839289999999997E-2</c:v>
                </c:pt>
                <c:pt idx="10" formatCode="0">
                  <c:v>0.166266</c:v>
                </c:pt>
                <c:pt idx="11" formatCode="0">
                  <c:v>0.23142099999999999</c:v>
                </c:pt>
                <c:pt idx="12" formatCode="0">
                  <c:v>0.29830600000000002</c:v>
                </c:pt>
                <c:pt idx="13" formatCode="0">
                  <c:v>0.32720199999999999</c:v>
                </c:pt>
                <c:pt idx="14" formatCode="0">
                  <c:v>0.35632999999999998</c:v>
                </c:pt>
                <c:pt idx="15" formatCode="0">
                  <c:v>0.38499499999999998</c:v>
                </c:pt>
                <c:pt idx="16" formatCode="0">
                  <c:v>0.41486099999999998</c:v>
                </c:pt>
                <c:pt idx="17" formatCode="0">
                  <c:v>0.44337599999999999</c:v>
                </c:pt>
              </c:numCache>
            </c:numRef>
          </c:val>
          <c:smooth val="0"/>
          <c:extLst>
            <c:ext xmlns:c16="http://schemas.microsoft.com/office/drawing/2014/chart" uri="{C3380CC4-5D6E-409C-BE32-E72D297353CC}">
              <c16:uniqueId val="{00000001-EBB5-433C-A4D9-BD4B283D0995}"/>
            </c:ext>
          </c:extLst>
        </c:ser>
        <c:ser>
          <c:idx val="1"/>
          <c:order val="2"/>
          <c:tx>
            <c:v>Real Investment</c:v>
          </c:tx>
          <c:spPr>
            <a:ln w="22225">
              <a:solidFill>
                <a:srgbClr val="A5A5A5">
                  <a:lumMod val="60000"/>
                  <a:lumOff val="40000"/>
                </a:srgbClr>
              </a:solidFill>
            </a:ln>
          </c:spPr>
          <c:marker>
            <c:symbol val="none"/>
          </c:marker>
          <c:cat>
            <c:numRef>
              <c:f>Scenario!$F$2:$W$2</c:f>
              <c:numCache>
                <c:formatCode>m/d/yyyy</c:formatCode>
                <c:ptCount val="18"/>
                <c:pt idx="0">
                  <c:v>46082</c:v>
                </c:pt>
                <c:pt idx="1">
                  <c:v>46174</c:v>
                </c:pt>
                <c:pt idx="2">
                  <c:v>46266</c:v>
                </c:pt>
                <c:pt idx="3">
                  <c:v>46357</c:v>
                </c:pt>
                <c:pt idx="4">
                  <c:v>46447</c:v>
                </c:pt>
                <c:pt idx="5">
                  <c:v>46539</c:v>
                </c:pt>
                <c:pt idx="6">
                  <c:v>46631</c:v>
                </c:pt>
                <c:pt idx="7">
                  <c:v>46722</c:v>
                </c:pt>
                <c:pt idx="8">
                  <c:v>46813</c:v>
                </c:pt>
                <c:pt idx="9">
                  <c:v>46905</c:v>
                </c:pt>
                <c:pt idx="10">
                  <c:v>46997</c:v>
                </c:pt>
                <c:pt idx="11">
                  <c:v>47088</c:v>
                </c:pt>
                <c:pt idx="12">
                  <c:v>47178</c:v>
                </c:pt>
                <c:pt idx="13">
                  <c:v>47270</c:v>
                </c:pt>
                <c:pt idx="14">
                  <c:v>47362</c:v>
                </c:pt>
                <c:pt idx="15">
                  <c:v>47453</c:v>
                </c:pt>
                <c:pt idx="16">
                  <c:v>47543</c:v>
                </c:pt>
                <c:pt idx="17">
                  <c:v>47635</c:v>
                </c:pt>
              </c:numCache>
            </c:numRef>
          </c:cat>
          <c:val>
            <c:numRef>
              <c:f>Scenario!$F$62:$W$62</c:f>
              <c:numCache>
                <c:formatCode>0</c:formatCode>
                <c:ptCount val="18"/>
                <c:pt idx="0">
                  <c:v>0</c:v>
                </c:pt>
                <c:pt idx="1">
                  <c:v>0</c:v>
                </c:pt>
                <c:pt idx="2">
                  <c:v>0</c:v>
                </c:pt>
                <c:pt idx="3">
                  <c:v>0</c:v>
                </c:pt>
                <c:pt idx="4">
                  <c:v>0</c:v>
                </c:pt>
                <c:pt idx="5">
                  <c:v>0</c:v>
                </c:pt>
                <c:pt idx="6">
                  <c:v>0</c:v>
                </c:pt>
                <c:pt idx="7">
                  <c:v>0</c:v>
                </c:pt>
                <c:pt idx="8">
                  <c:v>0.105587</c:v>
                </c:pt>
                <c:pt idx="9">
                  <c:v>0.25924999999999998</c:v>
                </c:pt>
                <c:pt idx="10">
                  <c:v>0.40576299999999998</c:v>
                </c:pt>
                <c:pt idx="11">
                  <c:v>0.54903800000000003</c:v>
                </c:pt>
                <c:pt idx="12">
                  <c:v>0.69391099999999994</c:v>
                </c:pt>
                <c:pt idx="13">
                  <c:v>0.71301700000000001</c:v>
                </c:pt>
                <c:pt idx="14">
                  <c:v>0.73013899999999998</c:v>
                </c:pt>
                <c:pt idx="15">
                  <c:v>0.74754699999999996</c:v>
                </c:pt>
                <c:pt idx="16">
                  <c:v>0.76763499999999996</c:v>
                </c:pt>
                <c:pt idx="17">
                  <c:v>0.78434400000000004</c:v>
                </c:pt>
              </c:numCache>
            </c:numRef>
          </c:val>
          <c:smooth val="0"/>
          <c:extLst>
            <c:ext xmlns:c16="http://schemas.microsoft.com/office/drawing/2014/chart" uri="{C3380CC4-5D6E-409C-BE32-E72D297353CC}">
              <c16:uniqueId val="{00000002-EBB5-433C-A4D9-BD4B283D0995}"/>
            </c:ext>
          </c:extLst>
        </c:ser>
        <c:dLbls>
          <c:showLegendKey val="0"/>
          <c:showVal val="0"/>
          <c:showCatName val="0"/>
          <c:showSerName val="0"/>
          <c:showPercent val="0"/>
          <c:showBubbleSize val="0"/>
        </c:dLbls>
        <c:smooth val="0"/>
        <c:axId val="1032676440"/>
        <c:axId val="1032677424"/>
        <c:extLst/>
      </c:lineChart>
      <c:dateAx>
        <c:axId val="1032676440"/>
        <c:scaling>
          <c:orientation val="minMax"/>
          <c:min val="45717"/>
        </c:scaling>
        <c:delete val="0"/>
        <c:axPos val="b"/>
        <c:numFmt formatCode="yyyy" sourceLinked="0"/>
        <c:majorTickMark val="out"/>
        <c:minorTickMark val="none"/>
        <c:tickLblPos val="low"/>
        <c:spPr>
          <a:noFill/>
          <a:ln w="9525" cap="flat" cmpd="sng" algn="ctr">
            <a:solidFill>
              <a:schemeClr val="tx1">
                <a:lumMod val="65000"/>
                <a:lumOff val="35000"/>
              </a:schemeClr>
            </a:solidFill>
            <a:round/>
          </a:ln>
          <a:effectLst/>
        </c:spPr>
        <c:txPr>
          <a:bodyPr rot="-60000000" vert="horz"/>
          <a:lstStyle/>
          <a:p>
            <a:pPr>
              <a:defRPr>
                <a:solidFill>
                  <a:schemeClr val="tx1">
                    <a:lumMod val="65000"/>
                    <a:lumOff val="35000"/>
                  </a:schemeClr>
                </a:solidFill>
              </a:defRPr>
            </a:pPr>
            <a:endParaRPr lang="en-US"/>
          </a:p>
        </c:txPr>
        <c:crossAx val="1032677424"/>
        <c:crosses val="autoZero"/>
        <c:auto val="0"/>
        <c:lblOffset val="100"/>
        <c:baseTimeUnit val="months"/>
        <c:majorUnit val="12"/>
        <c:majorTimeUnit val="months"/>
        <c:minorUnit val="1"/>
      </c:dateAx>
      <c:valAx>
        <c:axId val="1032677424"/>
        <c:scaling>
          <c:orientation val="minMax"/>
        </c:scaling>
        <c:delete val="0"/>
        <c:axPos val="l"/>
        <c:majorGridlines>
          <c:spPr>
            <a:ln w="6350">
              <a:solidFill>
                <a:srgbClr val="E7E6E6">
                  <a:lumMod val="75000"/>
                </a:srgbClr>
              </a:solidFill>
              <a:prstDash val="dash"/>
            </a:ln>
          </c:spPr>
        </c:majorGridlines>
        <c:title>
          <c:tx>
            <c:rich>
              <a:bodyPr/>
              <a:lstStyle/>
              <a:p>
                <a:pPr>
                  <a:defRPr b="0" i="1"/>
                </a:pPr>
                <a:r>
                  <a:rPr lang="en-AU" b="0" i="1">
                    <a:solidFill>
                      <a:schemeClr val="tx1">
                        <a:lumMod val="65000"/>
                        <a:lumOff val="35000"/>
                      </a:schemeClr>
                    </a:solidFill>
                  </a:rPr>
                  <a:t>percentage</a:t>
                </a:r>
                <a:r>
                  <a:rPr lang="en-AU" b="0" i="1" baseline="0">
                    <a:solidFill>
                      <a:schemeClr val="tx1">
                        <a:lumMod val="65000"/>
                        <a:lumOff val="35000"/>
                      </a:schemeClr>
                    </a:solidFill>
                  </a:rPr>
                  <a:t> deviation from baseline</a:t>
                </a:r>
                <a:endParaRPr lang="en-AU" b="0" i="1">
                  <a:solidFill>
                    <a:schemeClr val="tx1">
                      <a:lumMod val="65000"/>
                      <a:lumOff val="35000"/>
                    </a:schemeClr>
                  </a:solidFill>
                </a:endParaRPr>
              </a:p>
            </c:rich>
          </c:tx>
          <c:layout>
            <c:manualLayout>
              <c:xMode val="edge"/>
              <c:yMode val="edge"/>
              <c:x val="2.4552306399386503E-3"/>
              <c:y val="7.2201998565548819E-2"/>
            </c:manualLayout>
          </c:layout>
          <c:overlay val="0"/>
        </c:title>
        <c:numFmt formatCode="#,##0.0" sourceLinked="0"/>
        <c:majorTickMark val="out"/>
        <c:minorTickMark val="none"/>
        <c:tickLblPos val="nextTo"/>
        <c:spPr>
          <a:noFill/>
          <a:ln>
            <a:solidFill>
              <a:schemeClr val="tx1">
                <a:lumMod val="65000"/>
                <a:lumOff val="35000"/>
              </a:schemeClr>
            </a:solidFill>
          </a:ln>
          <a:effectLst/>
        </c:spPr>
        <c:txPr>
          <a:bodyPr rot="-60000000" vert="horz"/>
          <a:lstStyle/>
          <a:p>
            <a:pPr>
              <a:defRPr>
                <a:solidFill>
                  <a:schemeClr val="tx1">
                    <a:lumMod val="65000"/>
                    <a:lumOff val="35000"/>
                  </a:schemeClr>
                </a:solidFill>
              </a:defRPr>
            </a:pPr>
            <a:endParaRPr lang="en-US"/>
          </a:p>
        </c:txPr>
        <c:crossAx val="1032676440"/>
        <c:crossesAt val="1"/>
        <c:crossBetween val="between"/>
        <c:majorUnit val="0.2"/>
      </c:valAx>
      <c:spPr>
        <a:noFill/>
        <a:ln>
          <a:noFill/>
        </a:ln>
        <a:effectLst/>
      </c:spPr>
    </c:plotArea>
    <c:legend>
      <c:legendPos val="r"/>
      <c:layout>
        <c:manualLayout>
          <c:xMode val="edge"/>
          <c:yMode val="edge"/>
          <c:x val="0.1017950549271873"/>
          <c:y val="0.87348114656291442"/>
          <c:w val="0.85451351209209092"/>
          <c:h val="0.1067966016118409"/>
        </c:manualLayout>
      </c:layout>
      <c:overlay val="0"/>
      <c:txPr>
        <a:bodyPr/>
        <a:lstStyle/>
        <a:p>
          <a:pPr>
            <a:defRPr>
              <a:solidFill>
                <a:schemeClr val="tx1">
                  <a:lumMod val="65000"/>
                  <a:lumOff val="35000"/>
                </a:schemeClr>
              </a:solidFill>
            </a:defRPr>
          </a:pPr>
          <a:endParaRPr lang="en-US"/>
        </a:p>
      </c:txPr>
    </c:legend>
    <c:plotVisOnly val="1"/>
    <c:dispBlanksAs val="gap"/>
    <c:showDLblsOverMax val="0"/>
    <c:extLst/>
  </c:chart>
  <c:spPr>
    <a:solidFill>
      <a:sysClr val="window" lastClr="FFFFFF"/>
    </a:solidFill>
    <a:ln w="9525" cap="flat" cmpd="sng" algn="ctr">
      <a:noFill/>
      <a:round/>
    </a:ln>
    <a:effectLst/>
  </c:spPr>
  <c:txPr>
    <a:bodyPr/>
    <a:lstStyle/>
    <a:p>
      <a:pPr>
        <a:defRPr sz="900"/>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593608182814118"/>
          <c:y val="3.9793291369498801E-2"/>
          <c:w val="0.78812783634371764"/>
          <c:h val="0.77658502056592416"/>
        </c:manualLayout>
      </c:layout>
      <c:barChart>
        <c:barDir val="col"/>
        <c:grouping val="stacked"/>
        <c:varyColors val="0"/>
        <c:ser>
          <c:idx val="0"/>
          <c:order val="0"/>
          <c:tx>
            <c:strRef>
              <c:f>Chart_GGNetdebtGSPGrowth!$K$33</c:f>
              <c:strCache>
                <c:ptCount val="1"/>
                <c:pt idx="0">
                  <c:v>Annual growth in net debt to GSP (LHS)</c:v>
                </c:pt>
              </c:strCache>
            </c:strRef>
          </c:tx>
          <c:spPr>
            <a:solidFill>
              <a:schemeClr val="bg1">
                <a:lumMod val="75000"/>
              </a:schemeClr>
            </a:solidFill>
            <a:ln>
              <a:solidFill>
                <a:schemeClr val="bg1">
                  <a:lumMod val="75000"/>
                </a:schemeClr>
              </a:solidFill>
            </a:ln>
            <a:effectLst/>
          </c:spPr>
          <c:invertIfNegative val="0"/>
          <c:cat>
            <c:strRef>
              <c:f>Chart_GGNetdebtGSPGrowth!$AJ$26:$AZ$26</c:f>
              <c:strCache>
                <c:ptCount val="17"/>
                <c:pt idx="0">
                  <c:v>2013-14</c:v>
                </c:pt>
                <c:pt idx="1">
                  <c:v>2014-15</c:v>
                </c:pt>
                <c:pt idx="2">
                  <c:v>2015-16</c:v>
                </c:pt>
                <c:pt idx="3">
                  <c:v>2016-17</c:v>
                </c:pt>
                <c:pt idx="4">
                  <c:v>2017-18</c:v>
                </c:pt>
                <c:pt idx="5">
                  <c:v>2018-19</c:v>
                </c:pt>
                <c:pt idx="6">
                  <c:v>2019-20</c:v>
                </c:pt>
                <c:pt idx="7">
                  <c:v>2020-21</c:v>
                </c:pt>
                <c:pt idx="8">
                  <c:v>2021-22</c:v>
                </c:pt>
                <c:pt idx="9">
                  <c:v>2022-23</c:v>
                </c:pt>
                <c:pt idx="10">
                  <c:v>2023-24</c:v>
                </c:pt>
                <c:pt idx="11">
                  <c:v>2024-25</c:v>
                </c:pt>
                <c:pt idx="12">
                  <c:v>2025-26</c:v>
                </c:pt>
                <c:pt idx="13">
                  <c:v>2026-27</c:v>
                </c:pt>
                <c:pt idx="14">
                  <c:v>2027-28</c:v>
                </c:pt>
                <c:pt idx="15">
                  <c:v>2028-29</c:v>
                </c:pt>
                <c:pt idx="16">
                  <c:v>2029-30</c:v>
                </c:pt>
              </c:strCache>
            </c:strRef>
          </c:cat>
          <c:val>
            <c:numRef>
              <c:f>Chart_GGNetdebtGSPGrowth!$AJ$33:$AZ$33</c:f>
              <c:numCache>
                <c:formatCode>0.0</c:formatCode>
                <c:ptCount val="17"/>
                <c:pt idx="0">
                  <c:v>3.3300452608727715</c:v>
                </c:pt>
                <c:pt idx="1">
                  <c:v>1.3524267136867607</c:v>
                </c:pt>
                <c:pt idx="2">
                  <c:v>-3.7616853730395139</c:v>
                </c:pt>
                <c:pt idx="3">
                  <c:v>-33.175199512252462</c:v>
                </c:pt>
                <c:pt idx="4">
                  <c:v>30.043152947405606</c:v>
                </c:pt>
                <c:pt idx="5">
                  <c:v>12.450233199615489</c:v>
                </c:pt>
                <c:pt idx="6">
                  <c:v>70.683633258316277</c:v>
                </c:pt>
                <c:pt idx="7">
                  <c:v>62.048231537860254</c:v>
                </c:pt>
                <c:pt idx="8">
                  <c:v>25.241511955930473</c:v>
                </c:pt>
                <c:pt idx="9">
                  <c:v>5.0537520085092824</c:v>
                </c:pt>
                <c:pt idx="10">
                  <c:v>9.2774243522988797</c:v>
                </c:pt>
                <c:pt idx="11">
                  <c:v>8.0971119745043563</c:v>
                </c:pt>
                <c:pt idx="12">
                  <c:v>4.5865771005122236</c:v>
                </c:pt>
                <c:pt idx="13">
                  <c:v>0.38912384510747522</c:v>
                </c:pt>
                <c:pt idx="14">
                  <c:v>-0.66552194981791546</c:v>
                </c:pt>
                <c:pt idx="15">
                  <c:v>-0.5089559072934069</c:v>
                </c:pt>
                <c:pt idx="16">
                  <c:v>-0.70851999021152023</c:v>
                </c:pt>
              </c:numCache>
            </c:numRef>
          </c:val>
          <c:extLst>
            <c:ext xmlns:c16="http://schemas.microsoft.com/office/drawing/2014/chart" uri="{C3380CC4-5D6E-409C-BE32-E72D297353CC}">
              <c16:uniqueId val="{00000000-0ECA-4EFA-AB44-D647A0E7A443}"/>
            </c:ext>
          </c:extLst>
        </c:ser>
        <c:dLbls>
          <c:showLegendKey val="0"/>
          <c:showVal val="0"/>
          <c:showCatName val="0"/>
          <c:showSerName val="0"/>
          <c:showPercent val="0"/>
          <c:showBubbleSize val="0"/>
        </c:dLbls>
        <c:gapWidth val="250"/>
        <c:overlap val="100"/>
        <c:axId val="680510152"/>
        <c:axId val="680510480"/>
      </c:barChart>
      <c:lineChart>
        <c:grouping val="standard"/>
        <c:varyColors val="0"/>
        <c:ser>
          <c:idx val="1"/>
          <c:order val="1"/>
          <c:tx>
            <c:strRef>
              <c:f>Chart_GGNetdebtGSPGrowth!$K$28</c:f>
              <c:strCache>
                <c:ptCount val="1"/>
                <c:pt idx="0">
                  <c:v>Cumulative net debt to GSP (RHS)</c:v>
                </c:pt>
              </c:strCache>
            </c:strRef>
          </c:tx>
          <c:spPr>
            <a:ln w="25400" cap="rnd">
              <a:solidFill>
                <a:schemeClr val="tx1">
                  <a:lumMod val="65000"/>
                  <a:lumOff val="35000"/>
                </a:schemeClr>
              </a:solidFill>
              <a:prstDash val="solid"/>
              <a:round/>
            </a:ln>
            <a:effectLst/>
          </c:spPr>
          <c:marker>
            <c:symbol val="none"/>
          </c:marker>
          <c:dPt>
            <c:idx val="8"/>
            <c:marker>
              <c:symbol val="none"/>
            </c:marker>
            <c:bubble3D val="0"/>
            <c:spPr>
              <a:ln w="25400" cap="rnd">
                <a:solidFill>
                  <a:schemeClr val="tx1">
                    <a:lumMod val="65000"/>
                    <a:lumOff val="35000"/>
                  </a:schemeClr>
                </a:solidFill>
                <a:prstDash val="solid"/>
                <a:round/>
              </a:ln>
              <a:effectLst/>
            </c:spPr>
            <c:extLst>
              <c:ext xmlns:c16="http://schemas.microsoft.com/office/drawing/2014/chart" uri="{C3380CC4-5D6E-409C-BE32-E72D297353CC}">
                <c16:uniqueId val="{00000002-0ECA-4EFA-AB44-D647A0E7A443}"/>
              </c:ext>
            </c:extLst>
          </c:dPt>
          <c:dPt>
            <c:idx val="9"/>
            <c:marker>
              <c:symbol val="none"/>
            </c:marker>
            <c:bubble3D val="0"/>
            <c:spPr>
              <a:ln w="25400" cap="rnd">
                <a:solidFill>
                  <a:schemeClr val="tx1">
                    <a:lumMod val="65000"/>
                    <a:lumOff val="35000"/>
                  </a:schemeClr>
                </a:solidFill>
                <a:prstDash val="solid"/>
                <a:round/>
              </a:ln>
              <a:effectLst/>
            </c:spPr>
            <c:extLst>
              <c:ext xmlns:c16="http://schemas.microsoft.com/office/drawing/2014/chart" uri="{C3380CC4-5D6E-409C-BE32-E72D297353CC}">
                <c16:uniqueId val="{00000004-0ECA-4EFA-AB44-D647A0E7A443}"/>
              </c:ext>
            </c:extLst>
          </c:dPt>
          <c:dPt>
            <c:idx val="10"/>
            <c:marker>
              <c:symbol val="none"/>
            </c:marker>
            <c:bubble3D val="0"/>
            <c:spPr>
              <a:ln w="25400" cap="rnd">
                <a:solidFill>
                  <a:schemeClr val="tx1">
                    <a:lumMod val="65000"/>
                    <a:lumOff val="35000"/>
                  </a:schemeClr>
                </a:solidFill>
                <a:prstDash val="solid"/>
                <a:round/>
              </a:ln>
              <a:effectLst/>
            </c:spPr>
            <c:extLst>
              <c:ext xmlns:c16="http://schemas.microsoft.com/office/drawing/2014/chart" uri="{C3380CC4-5D6E-409C-BE32-E72D297353CC}">
                <c16:uniqueId val="{00000006-0ECA-4EFA-AB44-D647A0E7A443}"/>
              </c:ext>
            </c:extLst>
          </c:dPt>
          <c:dPt>
            <c:idx val="11"/>
            <c:marker>
              <c:symbol val="none"/>
            </c:marker>
            <c:bubble3D val="0"/>
            <c:spPr>
              <a:ln w="25400" cap="rnd">
                <a:solidFill>
                  <a:schemeClr val="tx1">
                    <a:lumMod val="65000"/>
                    <a:lumOff val="35000"/>
                  </a:schemeClr>
                </a:solidFill>
                <a:prstDash val="solid"/>
                <a:round/>
              </a:ln>
              <a:effectLst/>
            </c:spPr>
            <c:extLst>
              <c:ext xmlns:c16="http://schemas.microsoft.com/office/drawing/2014/chart" uri="{C3380CC4-5D6E-409C-BE32-E72D297353CC}">
                <c16:uniqueId val="{00000008-0ECA-4EFA-AB44-D647A0E7A443}"/>
              </c:ext>
            </c:extLst>
          </c:dPt>
          <c:dPt>
            <c:idx val="12"/>
            <c:marker>
              <c:symbol val="none"/>
            </c:marker>
            <c:bubble3D val="0"/>
            <c:spPr>
              <a:ln w="25400" cap="rnd">
                <a:solidFill>
                  <a:schemeClr val="tx1">
                    <a:lumMod val="65000"/>
                    <a:lumOff val="35000"/>
                  </a:schemeClr>
                </a:solidFill>
                <a:prstDash val="solid"/>
                <a:round/>
              </a:ln>
              <a:effectLst/>
            </c:spPr>
            <c:extLst>
              <c:ext xmlns:c16="http://schemas.microsoft.com/office/drawing/2014/chart" uri="{C3380CC4-5D6E-409C-BE32-E72D297353CC}">
                <c16:uniqueId val="{0000000A-0ECA-4EFA-AB44-D647A0E7A443}"/>
              </c:ext>
            </c:extLst>
          </c:dPt>
          <c:dPt>
            <c:idx val="13"/>
            <c:marker>
              <c:symbol val="none"/>
            </c:marker>
            <c:bubble3D val="0"/>
            <c:spPr>
              <a:ln w="25400" cap="rnd">
                <a:solidFill>
                  <a:schemeClr val="tx1">
                    <a:lumMod val="65000"/>
                    <a:lumOff val="35000"/>
                  </a:schemeClr>
                </a:solidFill>
                <a:prstDash val="dash"/>
                <a:round/>
              </a:ln>
              <a:effectLst/>
            </c:spPr>
            <c:extLst>
              <c:ext xmlns:c16="http://schemas.microsoft.com/office/drawing/2014/chart" uri="{C3380CC4-5D6E-409C-BE32-E72D297353CC}">
                <c16:uniqueId val="{0000000C-0ECA-4EFA-AB44-D647A0E7A443}"/>
              </c:ext>
            </c:extLst>
          </c:dPt>
          <c:dPt>
            <c:idx val="14"/>
            <c:marker>
              <c:symbol val="none"/>
            </c:marker>
            <c:bubble3D val="0"/>
            <c:spPr>
              <a:ln w="25400" cap="rnd">
                <a:solidFill>
                  <a:schemeClr val="tx1">
                    <a:lumMod val="65000"/>
                    <a:lumOff val="35000"/>
                  </a:schemeClr>
                </a:solidFill>
                <a:prstDash val="dash"/>
                <a:round/>
              </a:ln>
              <a:effectLst/>
            </c:spPr>
            <c:extLst>
              <c:ext xmlns:c16="http://schemas.microsoft.com/office/drawing/2014/chart" uri="{C3380CC4-5D6E-409C-BE32-E72D297353CC}">
                <c16:uniqueId val="{0000000E-0ECA-4EFA-AB44-D647A0E7A443}"/>
              </c:ext>
            </c:extLst>
          </c:dPt>
          <c:dPt>
            <c:idx val="15"/>
            <c:marker>
              <c:symbol val="none"/>
            </c:marker>
            <c:bubble3D val="0"/>
            <c:spPr>
              <a:ln w="25400" cap="rnd">
                <a:solidFill>
                  <a:schemeClr val="tx1">
                    <a:lumMod val="65000"/>
                    <a:lumOff val="35000"/>
                  </a:schemeClr>
                </a:solidFill>
                <a:prstDash val="dash"/>
                <a:round/>
              </a:ln>
              <a:effectLst/>
            </c:spPr>
            <c:extLst>
              <c:ext xmlns:c16="http://schemas.microsoft.com/office/drawing/2014/chart" uri="{C3380CC4-5D6E-409C-BE32-E72D297353CC}">
                <c16:uniqueId val="{00000010-0ECA-4EFA-AB44-D647A0E7A443}"/>
              </c:ext>
            </c:extLst>
          </c:dPt>
          <c:dPt>
            <c:idx val="16"/>
            <c:marker>
              <c:symbol val="none"/>
            </c:marker>
            <c:bubble3D val="0"/>
            <c:spPr>
              <a:ln w="25400" cap="rnd">
                <a:solidFill>
                  <a:schemeClr val="tx1">
                    <a:lumMod val="65000"/>
                    <a:lumOff val="35000"/>
                  </a:schemeClr>
                </a:solidFill>
                <a:prstDash val="dash"/>
                <a:round/>
              </a:ln>
              <a:effectLst/>
            </c:spPr>
            <c:extLst>
              <c:ext xmlns:c16="http://schemas.microsoft.com/office/drawing/2014/chart" uri="{C3380CC4-5D6E-409C-BE32-E72D297353CC}">
                <c16:uniqueId val="{00000012-0ECA-4EFA-AB44-D647A0E7A443}"/>
              </c:ext>
            </c:extLst>
          </c:dPt>
          <c:cat>
            <c:strRef>
              <c:f>Chart_GGNetdebtGSPGrowth!$AJ$26:$AZ$26</c:f>
              <c:strCache>
                <c:ptCount val="17"/>
                <c:pt idx="0">
                  <c:v>2013-14</c:v>
                </c:pt>
                <c:pt idx="1">
                  <c:v>2014-15</c:v>
                </c:pt>
                <c:pt idx="2">
                  <c:v>2015-16</c:v>
                </c:pt>
                <c:pt idx="3">
                  <c:v>2016-17</c:v>
                </c:pt>
                <c:pt idx="4">
                  <c:v>2017-18</c:v>
                </c:pt>
                <c:pt idx="5">
                  <c:v>2018-19</c:v>
                </c:pt>
                <c:pt idx="6">
                  <c:v>2019-20</c:v>
                </c:pt>
                <c:pt idx="7">
                  <c:v>2020-21</c:v>
                </c:pt>
                <c:pt idx="8">
                  <c:v>2021-22</c:v>
                </c:pt>
                <c:pt idx="9">
                  <c:v>2022-23</c:v>
                </c:pt>
                <c:pt idx="10">
                  <c:v>2023-24</c:v>
                </c:pt>
                <c:pt idx="11">
                  <c:v>2024-25</c:v>
                </c:pt>
                <c:pt idx="12">
                  <c:v>2025-26</c:v>
                </c:pt>
                <c:pt idx="13">
                  <c:v>2026-27</c:v>
                </c:pt>
                <c:pt idx="14">
                  <c:v>2027-28</c:v>
                </c:pt>
                <c:pt idx="15">
                  <c:v>2028-29</c:v>
                </c:pt>
                <c:pt idx="16">
                  <c:v>2029-30</c:v>
                </c:pt>
              </c:strCache>
            </c:strRef>
          </c:cat>
          <c:val>
            <c:numRef>
              <c:f>Chart_GGNetdebtGSPGrowth!$AJ$28:$AZ$28</c:f>
              <c:numCache>
                <c:formatCode>0.0</c:formatCode>
                <c:ptCount val="17"/>
                <c:pt idx="0">
                  <c:v>5.7762988947836469</c:v>
                </c:pt>
                <c:pt idx="1">
                  <c:v>5.8544191040990938</c:v>
                </c:pt>
                <c:pt idx="2">
                  <c:v>5.6341942769837674</c:v>
                </c:pt>
                <c:pt idx="3">
                  <c:v>3.7650390846864923</c:v>
                </c:pt>
                <c:pt idx="4">
                  <c:v>4.8961755354284549</c:v>
                </c:pt>
                <c:pt idx="5">
                  <c:v>5.5057608074518196</c:v>
                </c:pt>
                <c:pt idx="6">
                  <c:v>9.3974325846711775</c:v>
                </c:pt>
                <c:pt idx="7">
                  <c:v>15.228373313422276</c:v>
                </c:pt>
                <c:pt idx="8">
                  <c:v>19.072244984023484</c:v>
                </c:pt>
                <c:pt idx="9">
                  <c:v>20.036108947971382</c:v>
                </c:pt>
                <c:pt idx="10">
                  <c:v>21.894943798763613</c:v>
                </c:pt>
                <c:pt idx="11">
                  <c:v>23.667801914904299</c:v>
                </c:pt>
                <c:pt idx="12">
                  <c:v>24.753343897727891</c:v>
                </c:pt>
                <c:pt idx="13">
                  <c:v>24.849665061295408</c:v>
                </c:pt>
                <c:pt idx="14">
                  <c:v>24.684285085856253</c:v>
                </c:pt>
                <c:pt idx="15">
                  <c:v>24.558652958738641</c:v>
                </c:pt>
                <c:pt idx="16">
                  <c:v>24.384649993199304</c:v>
                </c:pt>
              </c:numCache>
            </c:numRef>
          </c:val>
          <c:smooth val="0"/>
          <c:extLst>
            <c:ext xmlns:c16="http://schemas.microsoft.com/office/drawing/2014/chart" uri="{C3380CC4-5D6E-409C-BE32-E72D297353CC}">
              <c16:uniqueId val="{00000013-0ECA-4EFA-AB44-D647A0E7A443}"/>
            </c:ext>
          </c:extLst>
        </c:ser>
        <c:dLbls>
          <c:showLegendKey val="0"/>
          <c:showVal val="0"/>
          <c:showCatName val="0"/>
          <c:showSerName val="0"/>
          <c:showPercent val="0"/>
          <c:showBubbleSize val="0"/>
        </c:dLbls>
        <c:marker val="1"/>
        <c:smooth val="0"/>
        <c:axId val="776155232"/>
        <c:axId val="776158184"/>
      </c:lineChart>
      <c:catAx>
        <c:axId val="680510152"/>
        <c:scaling>
          <c:orientation val="minMax"/>
        </c:scaling>
        <c:delete val="0"/>
        <c:axPos val="b"/>
        <c:numFmt formatCode="General" sourceLinked="1"/>
        <c:majorTickMark val="out"/>
        <c:minorTickMark val="none"/>
        <c:tickLblPos val="low"/>
        <c:spPr>
          <a:noFill/>
          <a:ln w="9525" cap="flat" cmpd="sng" algn="ctr">
            <a:solidFill>
              <a:sysClr val="windowText" lastClr="000000"/>
            </a:solidFill>
            <a:round/>
          </a:ln>
          <a:effectLst/>
        </c:spPr>
        <c:txPr>
          <a:bodyPr rot="-60000000" spcFirstLastPara="1" vertOverflow="ellipsis" vert="horz" wrap="square" anchor="ctr" anchorCtr="1"/>
          <a:lstStyle/>
          <a:p>
            <a:pPr>
              <a:defRPr sz="900" b="0" i="0" u="none" strike="noStrike" kern="0" baseline="0">
                <a:solidFill>
                  <a:sysClr val="windowText" lastClr="000000"/>
                </a:solidFill>
                <a:latin typeface="Calibri" panose="020F0502020204030204" pitchFamily="34" charset="0"/>
                <a:ea typeface="+mn-ea"/>
                <a:cs typeface="Calibri" panose="020F0502020204030204" pitchFamily="34" charset="0"/>
              </a:defRPr>
            </a:pPr>
            <a:endParaRPr lang="en-US"/>
          </a:p>
        </c:txPr>
        <c:crossAx val="680510480"/>
        <c:crosses val="autoZero"/>
        <c:auto val="1"/>
        <c:lblAlgn val="ctr"/>
        <c:lblOffset val="100"/>
        <c:tickLblSkip val="2"/>
        <c:noMultiLvlLbl val="0"/>
      </c:catAx>
      <c:valAx>
        <c:axId val="680510480"/>
        <c:scaling>
          <c:orientation val="minMax"/>
        </c:scaling>
        <c:delete val="0"/>
        <c:axPos val="l"/>
        <c:majorGridlines>
          <c:spPr>
            <a:ln w="9525" cap="flat" cmpd="sng" algn="ctr">
              <a:solidFill>
                <a:schemeClr val="bg1">
                  <a:lumMod val="75000"/>
                </a:schemeClr>
              </a:solidFill>
              <a:prstDash val="dash"/>
              <a:round/>
            </a:ln>
            <a:effectLst/>
          </c:spPr>
        </c:majorGridlines>
        <c:title>
          <c:tx>
            <c:rich>
              <a:bodyPr rot="-5400000" spcFirstLastPara="1" vertOverflow="ellipsis" vert="horz" wrap="square" anchor="ctr" anchorCtr="1"/>
              <a:lstStyle/>
              <a:p>
                <a:pPr>
                  <a:defRPr sz="900" b="0" i="1" u="none" strike="noStrike" kern="0" baseline="0">
                    <a:solidFill>
                      <a:sysClr val="windowText" lastClr="000000"/>
                    </a:solidFill>
                    <a:latin typeface="Calibri" panose="020F0502020204030204" pitchFamily="34" charset="0"/>
                    <a:ea typeface="+mn-ea"/>
                    <a:cs typeface="Calibri" panose="020F0502020204030204" pitchFamily="34" charset="0"/>
                  </a:defRPr>
                </a:pPr>
                <a:r>
                  <a:rPr lang="en-AU" sz="900" i="1"/>
                  <a:t>per cent (annual)</a:t>
                </a:r>
              </a:p>
            </c:rich>
          </c:tx>
          <c:layout>
            <c:manualLayout>
              <c:xMode val="edge"/>
              <c:yMode val="edge"/>
              <c:x val="2.2620417808567137E-3"/>
              <c:y val="0.29672296455415981"/>
            </c:manualLayout>
          </c:layout>
          <c:overlay val="0"/>
          <c:spPr>
            <a:noFill/>
            <a:ln>
              <a:noFill/>
            </a:ln>
            <a:effectLst/>
          </c:spPr>
          <c:txPr>
            <a:bodyPr rot="-5400000" spcFirstLastPara="1" vertOverflow="ellipsis" vert="horz" wrap="square" anchor="ctr" anchorCtr="1"/>
            <a:lstStyle/>
            <a:p>
              <a:pPr>
                <a:defRPr sz="900" b="0" i="1" u="none" strike="noStrike" kern="0" baseline="0">
                  <a:solidFill>
                    <a:sysClr val="windowText" lastClr="000000"/>
                  </a:solidFill>
                  <a:latin typeface="Calibri" panose="020F0502020204030204" pitchFamily="34" charset="0"/>
                  <a:ea typeface="+mn-ea"/>
                  <a:cs typeface="Calibri" panose="020F0502020204030204" pitchFamily="34" charset="0"/>
                </a:defRPr>
              </a:pPr>
              <a:endParaRPr lang="en-US"/>
            </a:p>
          </c:txPr>
        </c:title>
        <c:numFmt formatCode="#,##0" sourceLinked="0"/>
        <c:majorTickMark val="out"/>
        <c:minorTickMark val="none"/>
        <c:tickLblPos val="nextTo"/>
        <c:spPr>
          <a:noFill/>
          <a:ln>
            <a:solidFill>
              <a:sysClr val="windowText" lastClr="000000"/>
            </a:solidFill>
          </a:ln>
          <a:effectLst/>
        </c:spPr>
        <c:txPr>
          <a:bodyPr rot="-60000000" spcFirstLastPara="1" vertOverflow="ellipsis" vert="horz" wrap="square" anchor="ctr" anchorCtr="1"/>
          <a:lstStyle/>
          <a:p>
            <a:pPr>
              <a:defRPr sz="900" b="0" i="0" u="none" strike="noStrike" kern="0" baseline="0">
                <a:solidFill>
                  <a:sysClr val="windowText" lastClr="000000"/>
                </a:solidFill>
                <a:latin typeface="Calibri" panose="020F0502020204030204" pitchFamily="34" charset="0"/>
                <a:ea typeface="+mn-ea"/>
                <a:cs typeface="Calibri" panose="020F0502020204030204" pitchFamily="34" charset="0"/>
              </a:defRPr>
            </a:pPr>
            <a:endParaRPr lang="en-US"/>
          </a:p>
        </c:txPr>
        <c:crossAx val="680510152"/>
        <c:crosses val="autoZero"/>
        <c:crossBetween val="between"/>
      </c:valAx>
      <c:valAx>
        <c:axId val="776158184"/>
        <c:scaling>
          <c:orientation val="minMax"/>
          <c:max val="80"/>
          <c:min val="-40"/>
        </c:scaling>
        <c:delete val="0"/>
        <c:axPos val="r"/>
        <c:title>
          <c:tx>
            <c:rich>
              <a:bodyPr rot="-5400000" spcFirstLastPara="1" vertOverflow="ellipsis" vert="horz" wrap="square" anchor="ctr" anchorCtr="1"/>
              <a:lstStyle/>
              <a:p>
                <a:pPr>
                  <a:defRPr sz="900" b="0" i="1" u="none" strike="noStrike" kern="0" baseline="0">
                    <a:solidFill>
                      <a:sysClr val="windowText" lastClr="000000"/>
                    </a:solidFill>
                    <a:latin typeface="Calibri" panose="020F0502020204030204" pitchFamily="34" charset="0"/>
                    <a:ea typeface="+mn-ea"/>
                    <a:cs typeface="Calibri" panose="020F0502020204030204" pitchFamily="34" charset="0"/>
                  </a:defRPr>
                </a:pPr>
                <a:r>
                  <a:rPr lang="en-AU" sz="900" i="1"/>
                  <a:t>per cent (cumulative)</a:t>
                </a:r>
              </a:p>
            </c:rich>
          </c:tx>
          <c:layout>
            <c:manualLayout>
              <c:xMode val="edge"/>
              <c:yMode val="edge"/>
              <c:x val="0.95054142633956507"/>
              <c:y val="0.27328439110797975"/>
            </c:manualLayout>
          </c:layout>
          <c:overlay val="0"/>
          <c:spPr>
            <a:noFill/>
            <a:ln>
              <a:noFill/>
            </a:ln>
            <a:effectLst/>
          </c:spPr>
          <c:txPr>
            <a:bodyPr rot="-5400000" spcFirstLastPara="1" vertOverflow="ellipsis" vert="horz" wrap="square" anchor="ctr" anchorCtr="1"/>
            <a:lstStyle/>
            <a:p>
              <a:pPr>
                <a:defRPr sz="900" b="0" i="1" u="none" strike="noStrike" kern="0" baseline="0">
                  <a:solidFill>
                    <a:sysClr val="windowText" lastClr="000000"/>
                  </a:solidFill>
                  <a:latin typeface="Calibri" panose="020F0502020204030204" pitchFamily="34" charset="0"/>
                  <a:ea typeface="+mn-ea"/>
                  <a:cs typeface="Calibri" panose="020F0502020204030204" pitchFamily="34" charset="0"/>
                </a:defRPr>
              </a:pPr>
              <a:endParaRPr lang="en-US"/>
            </a:p>
          </c:txPr>
        </c:title>
        <c:numFmt formatCode="#,##0" sourceLinked="0"/>
        <c:majorTickMark val="out"/>
        <c:minorTickMark val="none"/>
        <c:tickLblPos val="nextTo"/>
        <c:spPr>
          <a:noFill/>
          <a:ln>
            <a:solidFill>
              <a:sysClr val="windowText" lastClr="000000"/>
            </a:solidFill>
          </a:ln>
          <a:effectLst/>
        </c:spPr>
        <c:txPr>
          <a:bodyPr rot="-60000000" spcFirstLastPara="1" vertOverflow="ellipsis" vert="horz" wrap="square" anchor="ctr" anchorCtr="1"/>
          <a:lstStyle/>
          <a:p>
            <a:pPr>
              <a:defRPr sz="900" b="0" i="0" u="none" strike="noStrike" kern="0" baseline="0">
                <a:solidFill>
                  <a:sysClr val="windowText" lastClr="000000"/>
                </a:solidFill>
                <a:latin typeface="Calibri" panose="020F0502020204030204" pitchFamily="34" charset="0"/>
                <a:ea typeface="+mn-ea"/>
                <a:cs typeface="Calibri" panose="020F0502020204030204" pitchFamily="34" charset="0"/>
              </a:defRPr>
            </a:pPr>
            <a:endParaRPr lang="en-US"/>
          </a:p>
        </c:txPr>
        <c:crossAx val="776155232"/>
        <c:crosses val="max"/>
        <c:crossBetween val="between"/>
        <c:majorUnit val="20"/>
      </c:valAx>
      <c:catAx>
        <c:axId val="776155232"/>
        <c:scaling>
          <c:orientation val="minMax"/>
        </c:scaling>
        <c:delete val="1"/>
        <c:axPos val="b"/>
        <c:numFmt formatCode="General" sourceLinked="1"/>
        <c:majorTickMark val="out"/>
        <c:minorTickMark val="none"/>
        <c:tickLblPos val="nextTo"/>
        <c:crossAx val="776158184"/>
        <c:crosses val="autoZero"/>
        <c:auto val="1"/>
        <c:lblAlgn val="ctr"/>
        <c:lblOffset val="100"/>
        <c:noMultiLvlLbl val="0"/>
      </c:catAx>
      <c:spPr>
        <a:noFill/>
        <a:ln>
          <a:noFill/>
        </a:ln>
        <a:effectLst/>
      </c:spPr>
    </c:plotArea>
    <c:legend>
      <c:legendPos val="b"/>
      <c:legendEntry>
        <c:idx val="0"/>
        <c:txPr>
          <a:bodyPr rot="0" spcFirstLastPara="1" vertOverflow="ellipsis" vert="horz" wrap="square" anchor="ctr" anchorCtr="1"/>
          <a:lstStyle/>
          <a:p>
            <a:pPr>
              <a:defRPr sz="750" b="0" i="0" u="none" strike="noStrike" kern="0" baseline="0">
                <a:solidFill>
                  <a:sysClr val="windowText" lastClr="000000"/>
                </a:solidFill>
                <a:latin typeface="Calibri" panose="020F0502020204030204" pitchFamily="34" charset="0"/>
                <a:ea typeface="+mn-ea"/>
                <a:cs typeface="Calibri" panose="020F0502020204030204" pitchFamily="34" charset="0"/>
              </a:defRPr>
            </a:pPr>
            <a:endParaRPr lang="en-US"/>
          </a:p>
        </c:txPr>
      </c:legendEntry>
      <c:legendEntry>
        <c:idx val="1"/>
        <c:txPr>
          <a:bodyPr rot="0" spcFirstLastPara="1" vertOverflow="ellipsis" vert="horz" wrap="square" anchor="ctr" anchorCtr="1"/>
          <a:lstStyle/>
          <a:p>
            <a:pPr>
              <a:defRPr sz="750" b="0" i="0" u="none" strike="noStrike" kern="0" baseline="0">
                <a:solidFill>
                  <a:sysClr val="windowText" lastClr="000000"/>
                </a:solidFill>
                <a:latin typeface="Calibri" panose="020F0502020204030204" pitchFamily="34" charset="0"/>
                <a:ea typeface="+mn-ea"/>
                <a:cs typeface="Calibri" panose="020F0502020204030204" pitchFamily="34" charset="0"/>
              </a:defRPr>
            </a:pPr>
            <a:endParaRPr lang="en-US"/>
          </a:p>
        </c:txPr>
      </c:legendEntry>
      <c:layout>
        <c:manualLayout>
          <c:xMode val="edge"/>
          <c:yMode val="edge"/>
          <c:x val="0"/>
          <c:y val="0.92288820722194642"/>
          <c:w val="0.94218801695065546"/>
          <c:h val="7.3457638107670614E-2"/>
        </c:manualLayout>
      </c:layout>
      <c:overlay val="0"/>
      <c:spPr>
        <a:noFill/>
        <a:ln>
          <a:noFill/>
        </a:ln>
        <a:effectLst/>
      </c:spPr>
      <c:txPr>
        <a:bodyPr rot="0" spcFirstLastPara="1" vertOverflow="ellipsis" vert="horz" wrap="square" anchor="ctr" anchorCtr="1"/>
        <a:lstStyle/>
        <a:p>
          <a:pPr>
            <a:defRPr sz="750" b="0" i="0" u="none" strike="noStrike" kern="0" baseline="0">
              <a:solidFill>
                <a:sysClr val="windowText" lastClr="000000"/>
              </a:solidFill>
              <a:latin typeface="Calibri" panose="020F0502020204030204" pitchFamily="34" charset="0"/>
              <a:ea typeface="+mn-ea"/>
              <a:cs typeface="Calibri" panose="020F0502020204030204" pitchFamily="34"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kern="0" baseline="0">
          <a:solidFill>
            <a:sysClr val="windowText" lastClr="000000"/>
          </a:solidFill>
          <a:latin typeface="Calibri" panose="020F0502020204030204" pitchFamily="34" charset="0"/>
          <a:cs typeface="Calibri" panose="020F0502020204030204" pitchFamily="34" charset="0"/>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1" i="0" u="none" strike="noStrike" kern="1200" spc="0" baseline="0">
                <a:solidFill>
                  <a:schemeClr val="tx1">
                    <a:lumMod val="65000"/>
                    <a:lumOff val="35000"/>
                  </a:schemeClr>
                </a:solidFill>
                <a:latin typeface="+mj-lt"/>
                <a:ea typeface="+mn-ea"/>
                <a:cs typeface="+mn-cs"/>
              </a:defRPr>
            </a:pPr>
            <a:r>
              <a:rPr lang="en-AU" sz="900" b="1"/>
              <a:t>Oil price</a:t>
            </a:r>
            <a:r>
              <a:rPr lang="en-AU" sz="900" b="1" baseline="30000"/>
              <a:t>(a)</a:t>
            </a:r>
          </a:p>
        </c:rich>
      </c:tx>
      <c:layout>
        <c:manualLayout>
          <c:xMode val="edge"/>
          <c:yMode val="edge"/>
          <c:x val="0.42598237272846862"/>
          <c:y val="0"/>
        </c:manualLayout>
      </c:layout>
      <c:overlay val="0"/>
      <c:spPr>
        <a:noFill/>
        <a:ln>
          <a:noFill/>
        </a:ln>
        <a:effectLst/>
      </c:spPr>
      <c:txPr>
        <a:bodyPr rot="0" spcFirstLastPara="1" vertOverflow="ellipsis" vert="horz" wrap="square" anchor="ctr" anchorCtr="1"/>
        <a:lstStyle/>
        <a:p>
          <a:pPr>
            <a:defRPr sz="900" b="1" i="0" u="none" strike="noStrike" kern="1200" spc="0" baseline="0">
              <a:solidFill>
                <a:schemeClr val="tx1">
                  <a:lumMod val="65000"/>
                  <a:lumOff val="35000"/>
                </a:schemeClr>
              </a:solidFill>
              <a:latin typeface="+mj-lt"/>
              <a:ea typeface="+mn-ea"/>
              <a:cs typeface="+mn-cs"/>
            </a:defRPr>
          </a:pPr>
          <a:endParaRPr lang="en-AU"/>
        </a:p>
      </c:txPr>
    </c:title>
    <c:autoTitleDeleted val="0"/>
    <c:plotArea>
      <c:layout>
        <c:manualLayout>
          <c:layoutTarget val="inner"/>
          <c:xMode val="edge"/>
          <c:yMode val="edge"/>
          <c:x val="0.21553745512823605"/>
          <c:y val="9.7937272837676614E-2"/>
          <c:w val="0.70028664448850475"/>
          <c:h val="0.76458491157993014"/>
        </c:manualLayout>
      </c:layout>
      <c:lineChart>
        <c:grouping val="standard"/>
        <c:varyColors val="0"/>
        <c:ser>
          <c:idx val="0"/>
          <c:order val="0"/>
          <c:spPr>
            <a:ln w="12700" cap="rnd">
              <a:solidFill>
                <a:schemeClr val="bg2">
                  <a:lumMod val="50000"/>
                </a:schemeClr>
              </a:solidFill>
              <a:round/>
            </a:ln>
            <a:effectLst/>
          </c:spPr>
          <c:marker>
            <c:symbol val="none"/>
          </c:marker>
          <c:cat>
            <c:numRef>
              <c:f>'Chart 2.1.1 data'!$B$3:$B$1110</c:f>
              <c:numCache>
                <c:formatCode>m/d/yyyy</c:formatCode>
                <c:ptCount val="1108"/>
                <c:pt idx="0">
                  <c:v>46142</c:v>
                </c:pt>
                <c:pt idx="1">
                  <c:v>46141</c:v>
                </c:pt>
                <c:pt idx="2">
                  <c:v>46140</c:v>
                </c:pt>
                <c:pt idx="3">
                  <c:v>46139</c:v>
                </c:pt>
                <c:pt idx="4">
                  <c:v>46136</c:v>
                </c:pt>
                <c:pt idx="5">
                  <c:v>46135</c:v>
                </c:pt>
                <c:pt idx="6">
                  <c:v>46134</c:v>
                </c:pt>
                <c:pt idx="7">
                  <c:v>46133</c:v>
                </c:pt>
                <c:pt idx="8">
                  <c:v>46132</c:v>
                </c:pt>
                <c:pt idx="9">
                  <c:v>46129</c:v>
                </c:pt>
                <c:pt idx="10">
                  <c:v>46128</c:v>
                </c:pt>
                <c:pt idx="11">
                  <c:v>46127</c:v>
                </c:pt>
                <c:pt idx="12">
                  <c:v>46126</c:v>
                </c:pt>
                <c:pt idx="13">
                  <c:v>46125</c:v>
                </c:pt>
                <c:pt idx="14">
                  <c:v>46122</c:v>
                </c:pt>
                <c:pt idx="15">
                  <c:v>46121</c:v>
                </c:pt>
                <c:pt idx="16">
                  <c:v>46120</c:v>
                </c:pt>
                <c:pt idx="17">
                  <c:v>46119</c:v>
                </c:pt>
                <c:pt idx="18">
                  <c:v>46118</c:v>
                </c:pt>
                <c:pt idx="19">
                  <c:v>46115</c:v>
                </c:pt>
                <c:pt idx="20">
                  <c:v>46114</c:v>
                </c:pt>
                <c:pt idx="21">
                  <c:v>46113</c:v>
                </c:pt>
                <c:pt idx="22">
                  <c:v>46112</c:v>
                </c:pt>
                <c:pt idx="23">
                  <c:v>46111</c:v>
                </c:pt>
                <c:pt idx="24">
                  <c:v>46108</c:v>
                </c:pt>
                <c:pt idx="25">
                  <c:v>46107</c:v>
                </c:pt>
                <c:pt idx="26">
                  <c:v>46106</c:v>
                </c:pt>
                <c:pt idx="27">
                  <c:v>46105</c:v>
                </c:pt>
                <c:pt idx="28">
                  <c:v>46104</c:v>
                </c:pt>
                <c:pt idx="29">
                  <c:v>46101</c:v>
                </c:pt>
                <c:pt idx="30">
                  <c:v>46100</c:v>
                </c:pt>
                <c:pt idx="31">
                  <c:v>46099</c:v>
                </c:pt>
                <c:pt idx="32">
                  <c:v>46098</c:v>
                </c:pt>
                <c:pt idx="33">
                  <c:v>46097</c:v>
                </c:pt>
                <c:pt idx="34">
                  <c:v>46094</c:v>
                </c:pt>
                <c:pt idx="35">
                  <c:v>46093</c:v>
                </c:pt>
                <c:pt idx="36">
                  <c:v>46092</c:v>
                </c:pt>
                <c:pt idx="37">
                  <c:v>46091</c:v>
                </c:pt>
                <c:pt idx="38">
                  <c:v>46090</c:v>
                </c:pt>
                <c:pt idx="39">
                  <c:v>46087</c:v>
                </c:pt>
                <c:pt idx="40">
                  <c:v>46086</c:v>
                </c:pt>
                <c:pt idx="41">
                  <c:v>46085</c:v>
                </c:pt>
                <c:pt idx="42">
                  <c:v>46084</c:v>
                </c:pt>
                <c:pt idx="43">
                  <c:v>46083</c:v>
                </c:pt>
                <c:pt idx="44">
                  <c:v>46080</c:v>
                </c:pt>
                <c:pt idx="45">
                  <c:v>46079</c:v>
                </c:pt>
                <c:pt idx="46">
                  <c:v>46078</c:v>
                </c:pt>
                <c:pt idx="47">
                  <c:v>46077</c:v>
                </c:pt>
                <c:pt idx="48">
                  <c:v>46076</c:v>
                </c:pt>
                <c:pt idx="49">
                  <c:v>46073</c:v>
                </c:pt>
                <c:pt idx="50">
                  <c:v>46072</c:v>
                </c:pt>
                <c:pt idx="51">
                  <c:v>46071</c:v>
                </c:pt>
                <c:pt idx="52">
                  <c:v>46070</c:v>
                </c:pt>
                <c:pt idx="53">
                  <c:v>46069</c:v>
                </c:pt>
                <c:pt idx="54">
                  <c:v>46066</c:v>
                </c:pt>
                <c:pt idx="55">
                  <c:v>46065</c:v>
                </c:pt>
                <c:pt idx="56">
                  <c:v>46064</c:v>
                </c:pt>
                <c:pt idx="57">
                  <c:v>46063</c:v>
                </c:pt>
                <c:pt idx="58">
                  <c:v>46062</c:v>
                </c:pt>
                <c:pt idx="59">
                  <c:v>46059</c:v>
                </c:pt>
                <c:pt idx="60">
                  <c:v>46058</c:v>
                </c:pt>
                <c:pt idx="61">
                  <c:v>46057</c:v>
                </c:pt>
                <c:pt idx="62">
                  <c:v>46056</c:v>
                </c:pt>
                <c:pt idx="63">
                  <c:v>46055</c:v>
                </c:pt>
                <c:pt idx="64">
                  <c:v>46052</c:v>
                </c:pt>
                <c:pt idx="65">
                  <c:v>46051</c:v>
                </c:pt>
                <c:pt idx="66">
                  <c:v>46050</c:v>
                </c:pt>
                <c:pt idx="67">
                  <c:v>46049</c:v>
                </c:pt>
                <c:pt idx="68">
                  <c:v>46048</c:v>
                </c:pt>
                <c:pt idx="69">
                  <c:v>46045</c:v>
                </c:pt>
                <c:pt idx="70">
                  <c:v>46044</c:v>
                </c:pt>
                <c:pt idx="71">
                  <c:v>46043</c:v>
                </c:pt>
                <c:pt idx="72">
                  <c:v>46042</c:v>
                </c:pt>
                <c:pt idx="73">
                  <c:v>46041</c:v>
                </c:pt>
                <c:pt idx="74">
                  <c:v>46038</c:v>
                </c:pt>
                <c:pt idx="75">
                  <c:v>46037</c:v>
                </c:pt>
                <c:pt idx="76">
                  <c:v>46036</c:v>
                </c:pt>
                <c:pt idx="77">
                  <c:v>46035</c:v>
                </c:pt>
                <c:pt idx="78">
                  <c:v>46034</c:v>
                </c:pt>
                <c:pt idx="79">
                  <c:v>46031</c:v>
                </c:pt>
                <c:pt idx="80">
                  <c:v>46030</c:v>
                </c:pt>
                <c:pt idx="81">
                  <c:v>46029</c:v>
                </c:pt>
                <c:pt idx="82">
                  <c:v>46028</c:v>
                </c:pt>
                <c:pt idx="83">
                  <c:v>46027</c:v>
                </c:pt>
                <c:pt idx="84">
                  <c:v>46024</c:v>
                </c:pt>
                <c:pt idx="85">
                  <c:v>46023</c:v>
                </c:pt>
                <c:pt idx="86">
                  <c:v>46022</c:v>
                </c:pt>
                <c:pt idx="87">
                  <c:v>46021</c:v>
                </c:pt>
                <c:pt idx="88">
                  <c:v>46020</c:v>
                </c:pt>
                <c:pt idx="89">
                  <c:v>46017</c:v>
                </c:pt>
                <c:pt idx="90">
                  <c:v>46016</c:v>
                </c:pt>
                <c:pt idx="91">
                  <c:v>46015</c:v>
                </c:pt>
                <c:pt idx="92">
                  <c:v>46014</c:v>
                </c:pt>
                <c:pt idx="93">
                  <c:v>46013</c:v>
                </c:pt>
                <c:pt idx="94">
                  <c:v>46010</c:v>
                </c:pt>
                <c:pt idx="95">
                  <c:v>46009</c:v>
                </c:pt>
                <c:pt idx="96">
                  <c:v>46008</c:v>
                </c:pt>
                <c:pt idx="97">
                  <c:v>46007</c:v>
                </c:pt>
                <c:pt idx="98">
                  <c:v>46006</c:v>
                </c:pt>
                <c:pt idx="99">
                  <c:v>46003</c:v>
                </c:pt>
                <c:pt idx="100">
                  <c:v>46002</c:v>
                </c:pt>
                <c:pt idx="101">
                  <c:v>46001</c:v>
                </c:pt>
                <c:pt idx="102">
                  <c:v>46000</c:v>
                </c:pt>
                <c:pt idx="103">
                  <c:v>45999</c:v>
                </c:pt>
                <c:pt idx="104">
                  <c:v>45996</c:v>
                </c:pt>
                <c:pt idx="105">
                  <c:v>45995</c:v>
                </c:pt>
                <c:pt idx="106">
                  <c:v>45994</c:v>
                </c:pt>
                <c:pt idx="107">
                  <c:v>45993</c:v>
                </c:pt>
                <c:pt idx="108">
                  <c:v>45992</c:v>
                </c:pt>
                <c:pt idx="109">
                  <c:v>45989</c:v>
                </c:pt>
                <c:pt idx="110">
                  <c:v>45988</c:v>
                </c:pt>
                <c:pt idx="111">
                  <c:v>45987</c:v>
                </c:pt>
                <c:pt idx="112">
                  <c:v>45986</c:v>
                </c:pt>
                <c:pt idx="113">
                  <c:v>45985</c:v>
                </c:pt>
                <c:pt idx="114">
                  <c:v>45982</c:v>
                </c:pt>
                <c:pt idx="115">
                  <c:v>45981</c:v>
                </c:pt>
                <c:pt idx="116">
                  <c:v>45980</c:v>
                </c:pt>
                <c:pt idx="117">
                  <c:v>45979</c:v>
                </c:pt>
                <c:pt idx="118">
                  <c:v>45978</c:v>
                </c:pt>
                <c:pt idx="119">
                  <c:v>45975</c:v>
                </c:pt>
                <c:pt idx="120">
                  <c:v>45974</c:v>
                </c:pt>
                <c:pt idx="121">
                  <c:v>45973</c:v>
                </c:pt>
                <c:pt idx="122">
                  <c:v>45972</c:v>
                </c:pt>
                <c:pt idx="123">
                  <c:v>45971</c:v>
                </c:pt>
                <c:pt idx="124">
                  <c:v>45968</c:v>
                </c:pt>
                <c:pt idx="125">
                  <c:v>45967</c:v>
                </c:pt>
                <c:pt idx="126">
                  <c:v>45966</c:v>
                </c:pt>
                <c:pt idx="127">
                  <c:v>45965</c:v>
                </c:pt>
                <c:pt idx="128">
                  <c:v>45964</c:v>
                </c:pt>
                <c:pt idx="129">
                  <c:v>45961</c:v>
                </c:pt>
                <c:pt idx="130">
                  <c:v>45960</c:v>
                </c:pt>
                <c:pt idx="131">
                  <c:v>45959</c:v>
                </c:pt>
                <c:pt idx="132">
                  <c:v>45958</c:v>
                </c:pt>
                <c:pt idx="133">
                  <c:v>45957</c:v>
                </c:pt>
                <c:pt idx="134">
                  <c:v>45954</c:v>
                </c:pt>
                <c:pt idx="135">
                  <c:v>45953</c:v>
                </c:pt>
                <c:pt idx="136">
                  <c:v>45952</c:v>
                </c:pt>
                <c:pt idx="137">
                  <c:v>45951</c:v>
                </c:pt>
                <c:pt idx="138">
                  <c:v>45950</c:v>
                </c:pt>
                <c:pt idx="139">
                  <c:v>45947</c:v>
                </c:pt>
                <c:pt idx="140">
                  <c:v>45946</c:v>
                </c:pt>
                <c:pt idx="141">
                  <c:v>45945</c:v>
                </c:pt>
                <c:pt idx="142">
                  <c:v>45944</c:v>
                </c:pt>
                <c:pt idx="143">
                  <c:v>45943</c:v>
                </c:pt>
                <c:pt idx="144">
                  <c:v>45940</c:v>
                </c:pt>
                <c:pt idx="145">
                  <c:v>45939</c:v>
                </c:pt>
                <c:pt idx="146">
                  <c:v>45938</c:v>
                </c:pt>
                <c:pt idx="147">
                  <c:v>45937</c:v>
                </c:pt>
                <c:pt idx="148">
                  <c:v>45936</c:v>
                </c:pt>
                <c:pt idx="149">
                  <c:v>45933</c:v>
                </c:pt>
                <c:pt idx="150">
                  <c:v>45932</c:v>
                </c:pt>
                <c:pt idx="151">
                  <c:v>45931</c:v>
                </c:pt>
                <c:pt idx="152">
                  <c:v>45930</c:v>
                </c:pt>
                <c:pt idx="153">
                  <c:v>45929</c:v>
                </c:pt>
                <c:pt idx="154">
                  <c:v>45926</c:v>
                </c:pt>
                <c:pt idx="155">
                  <c:v>45925</c:v>
                </c:pt>
                <c:pt idx="156">
                  <c:v>45924</c:v>
                </c:pt>
                <c:pt idx="157">
                  <c:v>45923</c:v>
                </c:pt>
                <c:pt idx="158">
                  <c:v>45922</c:v>
                </c:pt>
                <c:pt idx="159">
                  <c:v>45919</c:v>
                </c:pt>
                <c:pt idx="160">
                  <c:v>45918</c:v>
                </c:pt>
                <c:pt idx="161">
                  <c:v>45917</c:v>
                </c:pt>
                <c:pt idx="162">
                  <c:v>45916</c:v>
                </c:pt>
                <c:pt idx="163">
                  <c:v>45915</c:v>
                </c:pt>
                <c:pt idx="164">
                  <c:v>45912</c:v>
                </c:pt>
                <c:pt idx="165">
                  <c:v>45911</c:v>
                </c:pt>
                <c:pt idx="166">
                  <c:v>45910</c:v>
                </c:pt>
                <c:pt idx="167">
                  <c:v>45909</c:v>
                </c:pt>
                <c:pt idx="168">
                  <c:v>45908</c:v>
                </c:pt>
                <c:pt idx="169">
                  <c:v>45905</c:v>
                </c:pt>
                <c:pt idx="170">
                  <c:v>45904</c:v>
                </c:pt>
                <c:pt idx="171">
                  <c:v>45903</c:v>
                </c:pt>
                <c:pt idx="172">
                  <c:v>45902</c:v>
                </c:pt>
                <c:pt idx="173">
                  <c:v>45901</c:v>
                </c:pt>
                <c:pt idx="174">
                  <c:v>45898</c:v>
                </c:pt>
                <c:pt idx="175">
                  <c:v>45897</c:v>
                </c:pt>
                <c:pt idx="176">
                  <c:v>45896</c:v>
                </c:pt>
                <c:pt idx="177">
                  <c:v>45895</c:v>
                </c:pt>
                <c:pt idx="178">
                  <c:v>45894</c:v>
                </c:pt>
                <c:pt idx="179">
                  <c:v>45891</c:v>
                </c:pt>
                <c:pt idx="180">
                  <c:v>45890</c:v>
                </c:pt>
                <c:pt idx="181">
                  <c:v>45889</c:v>
                </c:pt>
                <c:pt idx="182">
                  <c:v>45888</c:v>
                </c:pt>
                <c:pt idx="183">
                  <c:v>45887</c:v>
                </c:pt>
                <c:pt idx="184">
                  <c:v>45884</c:v>
                </c:pt>
                <c:pt idx="185">
                  <c:v>45883</c:v>
                </c:pt>
                <c:pt idx="186">
                  <c:v>45882</c:v>
                </c:pt>
                <c:pt idx="187">
                  <c:v>45881</c:v>
                </c:pt>
                <c:pt idx="188">
                  <c:v>45880</c:v>
                </c:pt>
                <c:pt idx="189">
                  <c:v>45877</c:v>
                </c:pt>
                <c:pt idx="190">
                  <c:v>45876</c:v>
                </c:pt>
                <c:pt idx="191">
                  <c:v>45875</c:v>
                </c:pt>
                <c:pt idx="192">
                  <c:v>45874</c:v>
                </c:pt>
                <c:pt idx="193">
                  <c:v>45873</c:v>
                </c:pt>
                <c:pt idx="194">
                  <c:v>45870</c:v>
                </c:pt>
                <c:pt idx="195">
                  <c:v>45869</c:v>
                </c:pt>
                <c:pt idx="196">
                  <c:v>45868</c:v>
                </c:pt>
                <c:pt idx="197">
                  <c:v>45867</c:v>
                </c:pt>
                <c:pt idx="198">
                  <c:v>45866</c:v>
                </c:pt>
                <c:pt idx="199">
                  <c:v>45863</c:v>
                </c:pt>
                <c:pt idx="200">
                  <c:v>45862</c:v>
                </c:pt>
                <c:pt idx="201">
                  <c:v>45861</c:v>
                </c:pt>
                <c:pt idx="202">
                  <c:v>45860</c:v>
                </c:pt>
                <c:pt idx="203">
                  <c:v>45859</c:v>
                </c:pt>
                <c:pt idx="204">
                  <c:v>45856</c:v>
                </c:pt>
                <c:pt idx="205">
                  <c:v>45855</c:v>
                </c:pt>
                <c:pt idx="206">
                  <c:v>45854</c:v>
                </c:pt>
                <c:pt idx="207">
                  <c:v>45853</c:v>
                </c:pt>
                <c:pt idx="208">
                  <c:v>45852</c:v>
                </c:pt>
                <c:pt idx="209">
                  <c:v>45849</c:v>
                </c:pt>
                <c:pt idx="210">
                  <c:v>45848</c:v>
                </c:pt>
                <c:pt idx="211">
                  <c:v>45847</c:v>
                </c:pt>
                <c:pt idx="212">
                  <c:v>45846</c:v>
                </c:pt>
                <c:pt idx="213">
                  <c:v>45845</c:v>
                </c:pt>
                <c:pt idx="214">
                  <c:v>45842</c:v>
                </c:pt>
                <c:pt idx="215">
                  <c:v>45841</c:v>
                </c:pt>
                <c:pt idx="216">
                  <c:v>45840</c:v>
                </c:pt>
                <c:pt idx="217">
                  <c:v>45839</c:v>
                </c:pt>
                <c:pt idx="218">
                  <c:v>45838</c:v>
                </c:pt>
                <c:pt idx="219">
                  <c:v>45835</c:v>
                </c:pt>
                <c:pt idx="220">
                  <c:v>45834</c:v>
                </c:pt>
                <c:pt idx="221">
                  <c:v>45833</c:v>
                </c:pt>
                <c:pt idx="222">
                  <c:v>45832</c:v>
                </c:pt>
                <c:pt idx="223">
                  <c:v>45831</c:v>
                </c:pt>
                <c:pt idx="224">
                  <c:v>45828</c:v>
                </c:pt>
                <c:pt idx="225">
                  <c:v>45827</c:v>
                </c:pt>
                <c:pt idx="226">
                  <c:v>45826</c:v>
                </c:pt>
                <c:pt idx="227">
                  <c:v>45825</c:v>
                </c:pt>
                <c:pt idx="228">
                  <c:v>45824</c:v>
                </c:pt>
                <c:pt idx="229">
                  <c:v>45821</c:v>
                </c:pt>
                <c:pt idx="230">
                  <c:v>45820</c:v>
                </c:pt>
                <c:pt idx="231">
                  <c:v>45819</c:v>
                </c:pt>
                <c:pt idx="232">
                  <c:v>45818</c:v>
                </c:pt>
                <c:pt idx="233">
                  <c:v>45817</c:v>
                </c:pt>
                <c:pt idx="234">
                  <c:v>45814</c:v>
                </c:pt>
                <c:pt idx="235">
                  <c:v>45813</c:v>
                </c:pt>
                <c:pt idx="236">
                  <c:v>45812</c:v>
                </c:pt>
                <c:pt idx="237">
                  <c:v>45811</c:v>
                </c:pt>
                <c:pt idx="238">
                  <c:v>45810</c:v>
                </c:pt>
                <c:pt idx="239">
                  <c:v>45807</c:v>
                </c:pt>
                <c:pt idx="240">
                  <c:v>45806</c:v>
                </c:pt>
                <c:pt idx="241">
                  <c:v>45805</c:v>
                </c:pt>
                <c:pt idx="242">
                  <c:v>45804</c:v>
                </c:pt>
                <c:pt idx="243">
                  <c:v>45803</c:v>
                </c:pt>
                <c:pt idx="244">
                  <c:v>45800</c:v>
                </c:pt>
                <c:pt idx="245">
                  <c:v>45799</c:v>
                </c:pt>
                <c:pt idx="246">
                  <c:v>45798</c:v>
                </c:pt>
                <c:pt idx="247">
                  <c:v>45797</c:v>
                </c:pt>
                <c:pt idx="248">
                  <c:v>45796</c:v>
                </c:pt>
                <c:pt idx="249">
                  <c:v>45793</c:v>
                </c:pt>
                <c:pt idx="250">
                  <c:v>45792</c:v>
                </c:pt>
                <c:pt idx="251">
                  <c:v>45791</c:v>
                </c:pt>
                <c:pt idx="252">
                  <c:v>45790</c:v>
                </c:pt>
                <c:pt idx="253">
                  <c:v>45789</c:v>
                </c:pt>
                <c:pt idx="254">
                  <c:v>45786</c:v>
                </c:pt>
                <c:pt idx="255">
                  <c:v>45785</c:v>
                </c:pt>
                <c:pt idx="256">
                  <c:v>45784</c:v>
                </c:pt>
                <c:pt idx="257">
                  <c:v>45783</c:v>
                </c:pt>
                <c:pt idx="258">
                  <c:v>45782</c:v>
                </c:pt>
                <c:pt idx="259">
                  <c:v>45779</c:v>
                </c:pt>
                <c:pt idx="260">
                  <c:v>45778</c:v>
                </c:pt>
                <c:pt idx="261">
                  <c:v>45777</c:v>
                </c:pt>
                <c:pt idx="262">
                  <c:v>45776</c:v>
                </c:pt>
                <c:pt idx="263">
                  <c:v>45775</c:v>
                </c:pt>
                <c:pt idx="264">
                  <c:v>45772</c:v>
                </c:pt>
                <c:pt idx="265">
                  <c:v>45771</c:v>
                </c:pt>
                <c:pt idx="266">
                  <c:v>45770</c:v>
                </c:pt>
                <c:pt idx="267">
                  <c:v>45769</c:v>
                </c:pt>
                <c:pt idx="268">
                  <c:v>45768</c:v>
                </c:pt>
                <c:pt idx="269">
                  <c:v>45765</c:v>
                </c:pt>
                <c:pt idx="270">
                  <c:v>45764</c:v>
                </c:pt>
                <c:pt idx="271">
                  <c:v>45763</c:v>
                </c:pt>
                <c:pt idx="272">
                  <c:v>45762</c:v>
                </c:pt>
                <c:pt idx="273">
                  <c:v>45761</c:v>
                </c:pt>
                <c:pt idx="274">
                  <c:v>45758</c:v>
                </c:pt>
                <c:pt idx="275">
                  <c:v>45757</c:v>
                </c:pt>
                <c:pt idx="276">
                  <c:v>45756</c:v>
                </c:pt>
                <c:pt idx="277">
                  <c:v>45755</c:v>
                </c:pt>
                <c:pt idx="278">
                  <c:v>45754</c:v>
                </c:pt>
                <c:pt idx="279">
                  <c:v>45751</c:v>
                </c:pt>
                <c:pt idx="280">
                  <c:v>45750</c:v>
                </c:pt>
                <c:pt idx="281">
                  <c:v>45749</c:v>
                </c:pt>
                <c:pt idx="282">
                  <c:v>45748</c:v>
                </c:pt>
                <c:pt idx="283">
                  <c:v>45747</c:v>
                </c:pt>
                <c:pt idx="284">
                  <c:v>45744</c:v>
                </c:pt>
                <c:pt idx="285">
                  <c:v>45743</c:v>
                </c:pt>
                <c:pt idx="286">
                  <c:v>45742</c:v>
                </c:pt>
                <c:pt idx="287">
                  <c:v>45741</c:v>
                </c:pt>
                <c:pt idx="288">
                  <c:v>45740</c:v>
                </c:pt>
                <c:pt idx="289">
                  <c:v>45737</c:v>
                </c:pt>
                <c:pt idx="290">
                  <c:v>45736</c:v>
                </c:pt>
                <c:pt idx="291">
                  <c:v>45735</c:v>
                </c:pt>
                <c:pt idx="292">
                  <c:v>45734</c:v>
                </c:pt>
                <c:pt idx="293">
                  <c:v>45733</c:v>
                </c:pt>
                <c:pt idx="294">
                  <c:v>45730</c:v>
                </c:pt>
                <c:pt idx="295">
                  <c:v>45729</c:v>
                </c:pt>
                <c:pt idx="296">
                  <c:v>45728</c:v>
                </c:pt>
                <c:pt idx="297">
                  <c:v>45727</c:v>
                </c:pt>
                <c:pt idx="298">
                  <c:v>45726</c:v>
                </c:pt>
                <c:pt idx="299">
                  <c:v>45723</c:v>
                </c:pt>
                <c:pt idx="300">
                  <c:v>45722</c:v>
                </c:pt>
                <c:pt idx="301">
                  <c:v>45721</c:v>
                </c:pt>
                <c:pt idx="302">
                  <c:v>45720</c:v>
                </c:pt>
                <c:pt idx="303">
                  <c:v>45719</c:v>
                </c:pt>
                <c:pt idx="304">
                  <c:v>45716</c:v>
                </c:pt>
                <c:pt idx="305">
                  <c:v>45715</c:v>
                </c:pt>
                <c:pt idx="306">
                  <c:v>45714</c:v>
                </c:pt>
                <c:pt idx="307">
                  <c:v>45713</c:v>
                </c:pt>
                <c:pt idx="308">
                  <c:v>45712</c:v>
                </c:pt>
                <c:pt idx="309">
                  <c:v>45709</c:v>
                </c:pt>
                <c:pt idx="310">
                  <c:v>45708</c:v>
                </c:pt>
                <c:pt idx="311">
                  <c:v>45707</c:v>
                </c:pt>
                <c:pt idx="312">
                  <c:v>45706</c:v>
                </c:pt>
                <c:pt idx="313">
                  <c:v>45705</c:v>
                </c:pt>
                <c:pt idx="314">
                  <c:v>45702</c:v>
                </c:pt>
                <c:pt idx="315">
                  <c:v>45701</c:v>
                </c:pt>
                <c:pt idx="316">
                  <c:v>45700</c:v>
                </c:pt>
                <c:pt idx="317">
                  <c:v>45699</c:v>
                </c:pt>
                <c:pt idx="318">
                  <c:v>45698</c:v>
                </c:pt>
                <c:pt idx="319">
                  <c:v>45695</c:v>
                </c:pt>
                <c:pt idx="320">
                  <c:v>45694</c:v>
                </c:pt>
                <c:pt idx="321">
                  <c:v>45693</c:v>
                </c:pt>
                <c:pt idx="322">
                  <c:v>45692</c:v>
                </c:pt>
                <c:pt idx="323">
                  <c:v>45691</c:v>
                </c:pt>
                <c:pt idx="324">
                  <c:v>45688</c:v>
                </c:pt>
                <c:pt idx="325">
                  <c:v>45687</c:v>
                </c:pt>
                <c:pt idx="326">
                  <c:v>45686</c:v>
                </c:pt>
                <c:pt idx="327">
                  <c:v>45685</c:v>
                </c:pt>
                <c:pt idx="328">
                  <c:v>45684</c:v>
                </c:pt>
                <c:pt idx="329">
                  <c:v>45681</c:v>
                </c:pt>
                <c:pt idx="330">
                  <c:v>45680</c:v>
                </c:pt>
                <c:pt idx="331">
                  <c:v>45679</c:v>
                </c:pt>
                <c:pt idx="332">
                  <c:v>45678</c:v>
                </c:pt>
                <c:pt idx="333">
                  <c:v>45677</c:v>
                </c:pt>
                <c:pt idx="334">
                  <c:v>45674</c:v>
                </c:pt>
                <c:pt idx="335">
                  <c:v>45673</c:v>
                </c:pt>
                <c:pt idx="336">
                  <c:v>45672</c:v>
                </c:pt>
                <c:pt idx="337">
                  <c:v>45671</c:v>
                </c:pt>
                <c:pt idx="338">
                  <c:v>45670</c:v>
                </c:pt>
                <c:pt idx="339">
                  <c:v>45667</c:v>
                </c:pt>
                <c:pt idx="340">
                  <c:v>45666</c:v>
                </c:pt>
                <c:pt idx="341">
                  <c:v>45665</c:v>
                </c:pt>
                <c:pt idx="342">
                  <c:v>45664</c:v>
                </c:pt>
                <c:pt idx="343">
                  <c:v>45663</c:v>
                </c:pt>
                <c:pt idx="344">
                  <c:v>45660</c:v>
                </c:pt>
                <c:pt idx="345">
                  <c:v>45659</c:v>
                </c:pt>
                <c:pt idx="346">
                  <c:v>45658</c:v>
                </c:pt>
                <c:pt idx="347">
                  <c:v>45657</c:v>
                </c:pt>
                <c:pt idx="348">
                  <c:v>45656</c:v>
                </c:pt>
                <c:pt idx="349">
                  <c:v>45653</c:v>
                </c:pt>
                <c:pt idx="350">
                  <c:v>45652</c:v>
                </c:pt>
                <c:pt idx="351">
                  <c:v>45651</c:v>
                </c:pt>
                <c:pt idx="352">
                  <c:v>45650</c:v>
                </c:pt>
                <c:pt idx="353">
                  <c:v>45649</c:v>
                </c:pt>
                <c:pt idx="354">
                  <c:v>45646</c:v>
                </c:pt>
                <c:pt idx="355">
                  <c:v>45645</c:v>
                </c:pt>
                <c:pt idx="356">
                  <c:v>45644</c:v>
                </c:pt>
                <c:pt idx="357">
                  <c:v>45643</c:v>
                </c:pt>
                <c:pt idx="358">
                  <c:v>45642</c:v>
                </c:pt>
                <c:pt idx="359">
                  <c:v>45639</c:v>
                </c:pt>
                <c:pt idx="360">
                  <c:v>45638</c:v>
                </c:pt>
                <c:pt idx="361">
                  <c:v>45637</c:v>
                </c:pt>
                <c:pt idx="362">
                  <c:v>45636</c:v>
                </c:pt>
                <c:pt idx="363">
                  <c:v>45635</c:v>
                </c:pt>
                <c:pt idx="364">
                  <c:v>45632</c:v>
                </c:pt>
                <c:pt idx="365">
                  <c:v>45631</c:v>
                </c:pt>
                <c:pt idx="366">
                  <c:v>45630</c:v>
                </c:pt>
                <c:pt idx="367">
                  <c:v>45629</c:v>
                </c:pt>
                <c:pt idx="368">
                  <c:v>45628</c:v>
                </c:pt>
                <c:pt idx="369">
                  <c:v>45625</c:v>
                </c:pt>
                <c:pt idx="370">
                  <c:v>45624</c:v>
                </c:pt>
                <c:pt idx="371">
                  <c:v>45623</c:v>
                </c:pt>
                <c:pt idx="372">
                  <c:v>45622</c:v>
                </c:pt>
                <c:pt idx="373">
                  <c:v>45621</c:v>
                </c:pt>
                <c:pt idx="374">
                  <c:v>45618</c:v>
                </c:pt>
                <c:pt idx="375">
                  <c:v>45617</c:v>
                </c:pt>
                <c:pt idx="376">
                  <c:v>45616</c:v>
                </c:pt>
                <c:pt idx="377">
                  <c:v>45615</c:v>
                </c:pt>
                <c:pt idx="378">
                  <c:v>45614</c:v>
                </c:pt>
                <c:pt idx="379">
                  <c:v>45611</c:v>
                </c:pt>
                <c:pt idx="380">
                  <c:v>45610</c:v>
                </c:pt>
                <c:pt idx="381">
                  <c:v>45609</c:v>
                </c:pt>
                <c:pt idx="382">
                  <c:v>45608</c:v>
                </c:pt>
                <c:pt idx="383">
                  <c:v>45607</c:v>
                </c:pt>
                <c:pt idx="384">
                  <c:v>45604</c:v>
                </c:pt>
                <c:pt idx="385">
                  <c:v>45603</c:v>
                </c:pt>
                <c:pt idx="386">
                  <c:v>45602</c:v>
                </c:pt>
                <c:pt idx="387">
                  <c:v>45601</c:v>
                </c:pt>
                <c:pt idx="388">
                  <c:v>45600</c:v>
                </c:pt>
                <c:pt idx="389">
                  <c:v>45597</c:v>
                </c:pt>
                <c:pt idx="390">
                  <c:v>45596</c:v>
                </c:pt>
                <c:pt idx="391">
                  <c:v>45595</c:v>
                </c:pt>
                <c:pt idx="392">
                  <c:v>45594</c:v>
                </c:pt>
                <c:pt idx="393">
                  <c:v>45593</c:v>
                </c:pt>
                <c:pt idx="394">
                  <c:v>45590</c:v>
                </c:pt>
                <c:pt idx="395">
                  <c:v>45589</c:v>
                </c:pt>
                <c:pt idx="396">
                  <c:v>45588</c:v>
                </c:pt>
                <c:pt idx="397">
                  <c:v>45587</c:v>
                </c:pt>
                <c:pt idx="398">
                  <c:v>45586</c:v>
                </c:pt>
                <c:pt idx="399">
                  <c:v>45583</c:v>
                </c:pt>
                <c:pt idx="400">
                  <c:v>45582</c:v>
                </c:pt>
                <c:pt idx="401">
                  <c:v>45581</c:v>
                </c:pt>
                <c:pt idx="402">
                  <c:v>45580</c:v>
                </c:pt>
                <c:pt idx="403">
                  <c:v>45579</c:v>
                </c:pt>
                <c:pt idx="404">
                  <c:v>45576</c:v>
                </c:pt>
                <c:pt idx="405">
                  <c:v>45575</c:v>
                </c:pt>
                <c:pt idx="406">
                  <c:v>45574</c:v>
                </c:pt>
                <c:pt idx="407">
                  <c:v>45573</c:v>
                </c:pt>
                <c:pt idx="408">
                  <c:v>45572</c:v>
                </c:pt>
                <c:pt idx="409">
                  <c:v>45569</c:v>
                </c:pt>
                <c:pt idx="410">
                  <c:v>45568</c:v>
                </c:pt>
                <c:pt idx="411">
                  <c:v>45567</c:v>
                </c:pt>
                <c:pt idx="412">
                  <c:v>45566</c:v>
                </c:pt>
                <c:pt idx="413">
                  <c:v>45565</c:v>
                </c:pt>
                <c:pt idx="414">
                  <c:v>45562</c:v>
                </c:pt>
                <c:pt idx="415">
                  <c:v>45561</c:v>
                </c:pt>
                <c:pt idx="416">
                  <c:v>45560</c:v>
                </c:pt>
                <c:pt idx="417">
                  <c:v>45559</c:v>
                </c:pt>
                <c:pt idx="418">
                  <c:v>45558</c:v>
                </c:pt>
                <c:pt idx="419">
                  <c:v>45555</c:v>
                </c:pt>
                <c:pt idx="420">
                  <c:v>45554</c:v>
                </c:pt>
                <c:pt idx="421">
                  <c:v>45553</c:v>
                </c:pt>
                <c:pt idx="422">
                  <c:v>45552</c:v>
                </c:pt>
                <c:pt idx="423">
                  <c:v>45551</c:v>
                </c:pt>
                <c:pt idx="424">
                  <c:v>45548</c:v>
                </c:pt>
                <c:pt idx="425">
                  <c:v>45547</c:v>
                </c:pt>
                <c:pt idx="426">
                  <c:v>45546</c:v>
                </c:pt>
                <c:pt idx="427">
                  <c:v>45545</c:v>
                </c:pt>
                <c:pt idx="428">
                  <c:v>45544</c:v>
                </c:pt>
                <c:pt idx="429">
                  <c:v>45541</c:v>
                </c:pt>
                <c:pt idx="430">
                  <c:v>45540</c:v>
                </c:pt>
                <c:pt idx="431">
                  <c:v>45539</c:v>
                </c:pt>
                <c:pt idx="432">
                  <c:v>45538</c:v>
                </c:pt>
                <c:pt idx="433">
                  <c:v>45537</c:v>
                </c:pt>
                <c:pt idx="434">
                  <c:v>45534</c:v>
                </c:pt>
                <c:pt idx="435">
                  <c:v>45533</c:v>
                </c:pt>
                <c:pt idx="436">
                  <c:v>45532</c:v>
                </c:pt>
                <c:pt idx="437">
                  <c:v>45531</c:v>
                </c:pt>
                <c:pt idx="438">
                  <c:v>45530</c:v>
                </c:pt>
                <c:pt idx="439">
                  <c:v>45527</c:v>
                </c:pt>
                <c:pt idx="440">
                  <c:v>45526</c:v>
                </c:pt>
                <c:pt idx="441">
                  <c:v>45525</c:v>
                </c:pt>
                <c:pt idx="442">
                  <c:v>45524</c:v>
                </c:pt>
                <c:pt idx="443">
                  <c:v>45523</c:v>
                </c:pt>
                <c:pt idx="444">
                  <c:v>45520</c:v>
                </c:pt>
                <c:pt idx="445">
                  <c:v>45519</c:v>
                </c:pt>
                <c:pt idx="446">
                  <c:v>45518</c:v>
                </c:pt>
                <c:pt idx="447">
                  <c:v>45517</c:v>
                </c:pt>
                <c:pt idx="448">
                  <c:v>45516</c:v>
                </c:pt>
                <c:pt idx="449">
                  <c:v>45513</c:v>
                </c:pt>
                <c:pt idx="450">
                  <c:v>45512</c:v>
                </c:pt>
                <c:pt idx="451">
                  <c:v>45511</c:v>
                </c:pt>
                <c:pt idx="452">
                  <c:v>45510</c:v>
                </c:pt>
                <c:pt idx="453">
                  <c:v>45509</c:v>
                </c:pt>
                <c:pt idx="454">
                  <c:v>45506</c:v>
                </c:pt>
                <c:pt idx="455">
                  <c:v>45505</c:v>
                </c:pt>
                <c:pt idx="456">
                  <c:v>45504</c:v>
                </c:pt>
                <c:pt idx="457">
                  <c:v>45503</c:v>
                </c:pt>
                <c:pt idx="458">
                  <c:v>45502</c:v>
                </c:pt>
                <c:pt idx="459">
                  <c:v>45499</c:v>
                </c:pt>
                <c:pt idx="460">
                  <c:v>45498</c:v>
                </c:pt>
                <c:pt idx="461">
                  <c:v>45497</c:v>
                </c:pt>
                <c:pt idx="462">
                  <c:v>45496</c:v>
                </c:pt>
                <c:pt idx="463">
                  <c:v>45495</c:v>
                </c:pt>
                <c:pt idx="464">
                  <c:v>45492</c:v>
                </c:pt>
                <c:pt idx="465">
                  <c:v>45491</c:v>
                </c:pt>
                <c:pt idx="466">
                  <c:v>45490</c:v>
                </c:pt>
                <c:pt idx="467">
                  <c:v>45489</c:v>
                </c:pt>
                <c:pt idx="468">
                  <c:v>45488</c:v>
                </c:pt>
                <c:pt idx="469">
                  <c:v>45485</c:v>
                </c:pt>
                <c:pt idx="470">
                  <c:v>45484</c:v>
                </c:pt>
                <c:pt idx="471">
                  <c:v>45483</c:v>
                </c:pt>
                <c:pt idx="472">
                  <c:v>45482</c:v>
                </c:pt>
                <c:pt idx="473">
                  <c:v>45481</c:v>
                </c:pt>
                <c:pt idx="474">
                  <c:v>45478</c:v>
                </c:pt>
                <c:pt idx="475">
                  <c:v>45477</c:v>
                </c:pt>
                <c:pt idx="476">
                  <c:v>45476</c:v>
                </c:pt>
                <c:pt idx="477">
                  <c:v>45475</c:v>
                </c:pt>
                <c:pt idx="478">
                  <c:v>45474</c:v>
                </c:pt>
                <c:pt idx="479">
                  <c:v>45471</c:v>
                </c:pt>
                <c:pt idx="480">
                  <c:v>45470</c:v>
                </c:pt>
                <c:pt idx="481">
                  <c:v>45469</c:v>
                </c:pt>
                <c:pt idx="482">
                  <c:v>45468</c:v>
                </c:pt>
                <c:pt idx="483">
                  <c:v>45467</c:v>
                </c:pt>
                <c:pt idx="484">
                  <c:v>45464</c:v>
                </c:pt>
                <c:pt idx="485">
                  <c:v>45463</c:v>
                </c:pt>
                <c:pt idx="486">
                  <c:v>45462</c:v>
                </c:pt>
                <c:pt idx="487">
                  <c:v>45461</c:v>
                </c:pt>
                <c:pt idx="488">
                  <c:v>45460</c:v>
                </c:pt>
                <c:pt idx="489">
                  <c:v>45457</c:v>
                </c:pt>
                <c:pt idx="490">
                  <c:v>45456</c:v>
                </c:pt>
                <c:pt idx="491">
                  <c:v>45455</c:v>
                </c:pt>
                <c:pt idx="492">
                  <c:v>45454</c:v>
                </c:pt>
                <c:pt idx="493">
                  <c:v>45453</c:v>
                </c:pt>
                <c:pt idx="494">
                  <c:v>45450</c:v>
                </c:pt>
                <c:pt idx="495">
                  <c:v>45449</c:v>
                </c:pt>
                <c:pt idx="496">
                  <c:v>45448</c:v>
                </c:pt>
                <c:pt idx="497">
                  <c:v>45447</c:v>
                </c:pt>
                <c:pt idx="498">
                  <c:v>45446</c:v>
                </c:pt>
                <c:pt idx="499">
                  <c:v>45443</c:v>
                </c:pt>
                <c:pt idx="500">
                  <c:v>45442</c:v>
                </c:pt>
                <c:pt idx="501">
                  <c:v>45441</c:v>
                </c:pt>
                <c:pt idx="502">
                  <c:v>45440</c:v>
                </c:pt>
                <c:pt idx="503">
                  <c:v>45439</c:v>
                </c:pt>
                <c:pt idx="504">
                  <c:v>45436</c:v>
                </c:pt>
                <c:pt idx="505">
                  <c:v>45435</c:v>
                </c:pt>
                <c:pt idx="506">
                  <c:v>45434</c:v>
                </c:pt>
                <c:pt idx="507">
                  <c:v>45433</c:v>
                </c:pt>
                <c:pt idx="508">
                  <c:v>45432</c:v>
                </c:pt>
                <c:pt idx="509">
                  <c:v>45429</c:v>
                </c:pt>
                <c:pt idx="510">
                  <c:v>45428</c:v>
                </c:pt>
                <c:pt idx="511">
                  <c:v>45427</c:v>
                </c:pt>
                <c:pt idx="512">
                  <c:v>45426</c:v>
                </c:pt>
                <c:pt idx="513">
                  <c:v>45425</c:v>
                </c:pt>
                <c:pt idx="514">
                  <c:v>45422</c:v>
                </c:pt>
                <c:pt idx="515">
                  <c:v>45421</c:v>
                </c:pt>
                <c:pt idx="516">
                  <c:v>45420</c:v>
                </c:pt>
                <c:pt idx="517">
                  <c:v>45419</c:v>
                </c:pt>
                <c:pt idx="518">
                  <c:v>45418</c:v>
                </c:pt>
                <c:pt idx="519">
                  <c:v>45415</c:v>
                </c:pt>
                <c:pt idx="520">
                  <c:v>45414</c:v>
                </c:pt>
                <c:pt idx="521">
                  <c:v>45413</c:v>
                </c:pt>
                <c:pt idx="522">
                  <c:v>45412</c:v>
                </c:pt>
                <c:pt idx="523">
                  <c:v>45411</c:v>
                </c:pt>
                <c:pt idx="524">
                  <c:v>45408</c:v>
                </c:pt>
                <c:pt idx="525">
                  <c:v>45407</c:v>
                </c:pt>
                <c:pt idx="526">
                  <c:v>45406</c:v>
                </c:pt>
                <c:pt idx="527">
                  <c:v>45405</c:v>
                </c:pt>
                <c:pt idx="528">
                  <c:v>45404</c:v>
                </c:pt>
                <c:pt idx="529">
                  <c:v>45401</c:v>
                </c:pt>
                <c:pt idx="530">
                  <c:v>45400</c:v>
                </c:pt>
                <c:pt idx="531">
                  <c:v>45399</c:v>
                </c:pt>
                <c:pt idx="532">
                  <c:v>45398</c:v>
                </c:pt>
                <c:pt idx="533">
                  <c:v>45397</c:v>
                </c:pt>
                <c:pt idx="534">
                  <c:v>45394</c:v>
                </c:pt>
                <c:pt idx="535">
                  <c:v>45393</c:v>
                </c:pt>
                <c:pt idx="536">
                  <c:v>45392</c:v>
                </c:pt>
                <c:pt idx="537">
                  <c:v>45391</c:v>
                </c:pt>
                <c:pt idx="538">
                  <c:v>45390</c:v>
                </c:pt>
                <c:pt idx="539">
                  <c:v>45387</c:v>
                </c:pt>
                <c:pt idx="540">
                  <c:v>45386</c:v>
                </c:pt>
                <c:pt idx="541">
                  <c:v>45385</c:v>
                </c:pt>
                <c:pt idx="542">
                  <c:v>45384</c:v>
                </c:pt>
                <c:pt idx="543">
                  <c:v>45383</c:v>
                </c:pt>
                <c:pt idx="544">
                  <c:v>45380</c:v>
                </c:pt>
                <c:pt idx="545">
                  <c:v>45379</c:v>
                </c:pt>
                <c:pt idx="546">
                  <c:v>45378</c:v>
                </c:pt>
                <c:pt idx="547">
                  <c:v>45377</c:v>
                </c:pt>
                <c:pt idx="548">
                  <c:v>45376</c:v>
                </c:pt>
                <c:pt idx="549">
                  <c:v>45373</c:v>
                </c:pt>
                <c:pt idx="550">
                  <c:v>45372</c:v>
                </c:pt>
                <c:pt idx="551">
                  <c:v>45371</c:v>
                </c:pt>
                <c:pt idx="552">
                  <c:v>45370</c:v>
                </c:pt>
                <c:pt idx="553">
                  <c:v>45369</c:v>
                </c:pt>
                <c:pt idx="554">
                  <c:v>45366</c:v>
                </c:pt>
                <c:pt idx="555">
                  <c:v>45365</c:v>
                </c:pt>
                <c:pt idx="556">
                  <c:v>45364</c:v>
                </c:pt>
                <c:pt idx="557">
                  <c:v>45363</c:v>
                </c:pt>
                <c:pt idx="558">
                  <c:v>45362</c:v>
                </c:pt>
                <c:pt idx="559">
                  <c:v>45359</c:v>
                </c:pt>
                <c:pt idx="560">
                  <c:v>45358</c:v>
                </c:pt>
                <c:pt idx="561">
                  <c:v>45357</c:v>
                </c:pt>
                <c:pt idx="562">
                  <c:v>45356</c:v>
                </c:pt>
                <c:pt idx="563">
                  <c:v>45355</c:v>
                </c:pt>
                <c:pt idx="564">
                  <c:v>45352</c:v>
                </c:pt>
                <c:pt idx="565">
                  <c:v>45351</c:v>
                </c:pt>
                <c:pt idx="566">
                  <c:v>45350</c:v>
                </c:pt>
                <c:pt idx="567">
                  <c:v>45349</c:v>
                </c:pt>
                <c:pt idx="568">
                  <c:v>45348</c:v>
                </c:pt>
                <c:pt idx="569">
                  <c:v>45345</c:v>
                </c:pt>
                <c:pt idx="570">
                  <c:v>45344</c:v>
                </c:pt>
                <c:pt idx="571">
                  <c:v>45343</c:v>
                </c:pt>
                <c:pt idx="572">
                  <c:v>45342</c:v>
                </c:pt>
                <c:pt idx="573">
                  <c:v>45341</c:v>
                </c:pt>
                <c:pt idx="574">
                  <c:v>45338</c:v>
                </c:pt>
                <c:pt idx="575">
                  <c:v>45337</c:v>
                </c:pt>
                <c:pt idx="576">
                  <c:v>45336</c:v>
                </c:pt>
                <c:pt idx="577">
                  <c:v>45335</c:v>
                </c:pt>
                <c:pt idx="578">
                  <c:v>45334</c:v>
                </c:pt>
                <c:pt idx="579">
                  <c:v>45331</c:v>
                </c:pt>
                <c:pt idx="580">
                  <c:v>45330</c:v>
                </c:pt>
                <c:pt idx="581">
                  <c:v>45329</c:v>
                </c:pt>
                <c:pt idx="582">
                  <c:v>45328</c:v>
                </c:pt>
                <c:pt idx="583">
                  <c:v>45327</c:v>
                </c:pt>
                <c:pt idx="584">
                  <c:v>45324</c:v>
                </c:pt>
                <c:pt idx="585">
                  <c:v>45323</c:v>
                </c:pt>
                <c:pt idx="586">
                  <c:v>45322</c:v>
                </c:pt>
                <c:pt idx="587">
                  <c:v>45321</c:v>
                </c:pt>
                <c:pt idx="588">
                  <c:v>45320</c:v>
                </c:pt>
                <c:pt idx="589">
                  <c:v>45317</c:v>
                </c:pt>
                <c:pt idx="590">
                  <c:v>45316</c:v>
                </c:pt>
                <c:pt idx="591">
                  <c:v>45315</c:v>
                </c:pt>
                <c:pt idx="592">
                  <c:v>45314</c:v>
                </c:pt>
                <c:pt idx="593">
                  <c:v>45313</c:v>
                </c:pt>
                <c:pt idx="594">
                  <c:v>45310</c:v>
                </c:pt>
                <c:pt idx="595">
                  <c:v>45309</c:v>
                </c:pt>
                <c:pt idx="596">
                  <c:v>45308</c:v>
                </c:pt>
                <c:pt idx="597">
                  <c:v>45307</c:v>
                </c:pt>
                <c:pt idx="598">
                  <c:v>45306</c:v>
                </c:pt>
                <c:pt idx="599">
                  <c:v>45303</c:v>
                </c:pt>
                <c:pt idx="600">
                  <c:v>45302</c:v>
                </c:pt>
                <c:pt idx="601">
                  <c:v>45301</c:v>
                </c:pt>
                <c:pt idx="602">
                  <c:v>45300</c:v>
                </c:pt>
                <c:pt idx="603">
                  <c:v>45299</c:v>
                </c:pt>
                <c:pt idx="604">
                  <c:v>45296</c:v>
                </c:pt>
                <c:pt idx="605">
                  <c:v>45295</c:v>
                </c:pt>
                <c:pt idx="606">
                  <c:v>45294</c:v>
                </c:pt>
                <c:pt idx="607">
                  <c:v>45293</c:v>
                </c:pt>
                <c:pt idx="608">
                  <c:v>45292</c:v>
                </c:pt>
                <c:pt idx="609">
                  <c:v>45289</c:v>
                </c:pt>
                <c:pt idx="610">
                  <c:v>45288</c:v>
                </c:pt>
                <c:pt idx="611">
                  <c:v>45287</c:v>
                </c:pt>
                <c:pt idx="612">
                  <c:v>45286</c:v>
                </c:pt>
                <c:pt idx="613">
                  <c:v>45285</c:v>
                </c:pt>
                <c:pt idx="614">
                  <c:v>45282</c:v>
                </c:pt>
                <c:pt idx="615">
                  <c:v>45281</c:v>
                </c:pt>
                <c:pt idx="616">
                  <c:v>45280</c:v>
                </c:pt>
                <c:pt idx="617">
                  <c:v>45279</c:v>
                </c:pt>
                <c:pt idx="618">
                  <c:v>45278</c:v>
                </c:pt>
                <c:pt idx="619">
                  <c:v>45275</c:v>
                </c:pt>
                <c:pt idx="620">
                  <c:v>45274</c:v>
                </c:pt>
                <c:pt idx="621">
                  <c:v>45273</c:v>
                </c:pt>
                <c:pt idx="622">
                  <c:v>45272</c:v>
                </c:pt>
                <c:pt idx="623">
                  <c:v>45271</c:v>
                </c:pt>
                <c:pt idx="624">
                  <c:v>45268</c:v>
                </c:pt>
                <c:pt idx="625">
                  <c:v>45267</c:v>
                </c:pt>
                <c:pt idx="626">
                  <c:v>45266</c:v>
                </c:pt>
                <c:pt idx="627">
                  <c:v>45265</c:v>
                </c:pt>
                <c:pt idx="628">
                  <c:v>45264</c:v>
                </c:pt>
                <c:pt idx="629">
                  <c:v>45261</c:v>
                </c:pt>
                <c:pt idx="630">
                  <c:v>45260</c:v>
                </c:pt>
                <c:pt idx="631">
                  <c:v>45259</c:v>
                </c:pt>
                <c:pt idx="632">
                  <c:v>45258</c:v>
                </c:pt>
                <c:pt idx="633">
                  <c:v>45257</c:v>
                </c:pt>
                <c:pt idx="634">
                  <c:v>45254</c:v>
                </c:pt>
                <c:pt idx="635">
                  <c:v>45253</c:v>
                </c:pt>
                <c:pt idx="636">
                  <c:v>45252</c:v>
                </c:pt>
                <c:pt idx="637">
                  <c:v>45251</c:v>
                </c:pt>
                <c:pt idx="638">
                  <c:v>45250</c:v>
                </c:pt>
                <c:pt idx="639">
                  <c:v>45247</c:v>
                </c:pt>
                <c:pt idx="640">
                  <c:v>45246</c:v>
                </c:pt>
                <c:pt idx="641">
                  <c:v>45245</c:v>
                </c:pt>
                <c:pt idx="642">
                  <c:v>45244</c:v>
                </c:pt>
                <c:pt idx="643">
                  <c:v>45243</c:v>
                </c:pt>
                <c:pt idx="644">
                  <c:v>45240</c:v>
                </c:pt>
                <c:pt idx="645">
                  <c:v>45239</c:v>
                </c:pt>
                <c:pt idx="646">
                  <c:v>45238</c:v>
                </c:pt>
                <c:pt idx="647">
                  <c:v>45237</c:v>
                </c:pt>
                <c:pt idx="648">
                  <c:v>45236</c:v>
                </c:pt>
                <c:pt idx="649">
                  <c:v>45233</c:v>
                </c:pt>
                <c:pt idx="650">
                  <c:v>45232</c:v>
                </c:pt>
                <c:pt idx="651">
                  <c:v>45231</c:v>
                </c:pt>
                <c:pt idx="652">
                  <c:v>45230</c:v>
                </c:pt>
                <c:pt idx="653">
                  <c:v>45229</c:v>
                </c:pt>
                <c:pt idx="654">
                  <c:v>45226</c:v>
                </c:pt>
                <c:pt idx="655">
                  <c:v>45225</c:v>
                </c:pt>
                <c:pt idx="656">
                  <c:v>45224</c:v>
                </c:pt>
                <c:pt idx="657">
                  <c:v>45223</c:v>
                </c:pt>
                <c:pt idx="658">
                  <c:v>45222</c:v>
                </c:pt>
                <c:pt idx="659">
                  <c:v>45219</c:v>
                </c:pt>
                <c:pt idx="660">
                  <c:v>45218</c:v>
                </c:pt>
                <c:pt idx="661">
                  <c:v>45217</c:v>
                </c:pt>
                <c:pt idx="662">
                  <c:v>45216</c:v>
                </c:pt>
                <c:pt idx="663">
                  <c:v>45215</c:v>
                </c:pt>
                <c:pt idx="664">
                  <c:v>45212</c:v>
                </c:pt>
                <c:pt idx="665">
                  <c:v>45211</c:v>
                </c:pt>
                <c:pt idx="666">
                  <c:v>45210</c:v>
                </c:pt>
                <c:pt idx="667">
                  <c:v>45209</c:v>
                </c:pt>
                <c:pt idx="668">
                  <c:v>45208</c:v>
                </c:pt>
                <c:pt idx="669">
                  <c:v>45205</c:v>
                </c:pt>
                <c:pt idx="670">
                  <c:v>45204</c:v>
                </c:pt>
                <c:pt idx="671">
                  <c:v>45203</c:v>
                </c:pt>
                <c:pt idx="672">
                  <c:v>45202</c:v>
                </c:pt>
                <c:pt idx="673">
                  <c:v>45201</c:v>
                </c:pt>
                <c:pt idx="674">
                  <c:v>45198</c:v>
                </c:pt>
                <c:pt idx="675">
                  <c:v>45197</c:v>
                </c:pt>
                <c:pt idx="676">
                  <c:v>45196</c:v>
                </c:pt>
                <c:pt idx="677">
                  <c:v>45195</c:v>
                </c:pt>
                <c:pt idx="678">
                  <c:v>45194</c:v>
                </c:pt>
                <c:pt idx="679">
                  <c:v>45191</c:v>
                </c:pt>
                <c:pt idx="680">
                  <c:v>45190</c:v>
                </c:pt>
                <c:pt idx="681">
                  <c:v>45189</c:v>
                </c:pt>
                <c:pt idx="682">
                  <c:v>45188</c:v>
                </c:pt>
                <c:pt idx="683">
                  <c:v>45187</c:v>
                </c:pt>
                <c:pt idx="684">
                  <c:v>45184</c:v>
                </c:pt>
                <c:pt idx="685">
                  <c:v>45183</c:v>
                </c:pt>
                <c:pt idx="686">
                  <c:v>45182</c:v>
                </c:pt>
                <c:pt idx="687">
                  <c:v>45181</c:v>
                </c:pt>
                <c:pt idx="688">
                  <c:v>45180</c:v>
                </c:pt>
                <c:pt idx="689">
                  <c:v>45177</c:v>
                </c:pt>
                <c:pt idx="690">
                  <c:v>45176</c:v>
                </c:pt>
                <c:pt idx="691">
                  <c:v>45175</c:v>
                </c:pt>
                <c:pt idx="692">
                  <c:v>45174</c:v>
                </c:pt>
                <c:pt idx="693">
                  <c:v>45173</c:v>
                </c:pt>
                <c:pt idx="694">
                  <c:v>45170</c:v>
                </c:pt>
                <c:pt idx="695">
                  <c:v>45169</c:v>
                </c:pt>
                <c:pt idx="696">
                  <c:v>45168</c:v>
                </c:pt>
                <c:pt idx="697">
                  <c:v>45167</c:v>
                </c:pt>
                <c:pt idx="698">
                  <c:v>45166</c:v>
                </c:pt>
                <c:pt idx="699">
                  <c:v>45163</c:v>
                </c:pt>
                <c:pt idx="700">
                  <c:v>45162</c:v>
                </c:pt>
                <c:pt idx="701">
                  <c:v>45161</c:v>
                </c:pt>
                <c:pt idx="702">
                  <c:v>45160</c:v>
                </c:pt>
                <c:pt idx="703">
                  <c:v>45159</c:v>
                </c:pt>
                <c:pt idx="704">
                  <c:v>45156</c:v>
                </c:pt>
                <c:pt idx="705">
                  <c:v>45155</c:v>
                </c:pt>
                <c:pt idx="706">
                  <c:v>45154</c:v>
                </c:pt>
                <c:pt idx="707">
                  <c:v>45153</c:v>
                </c:pt>
                <c:pt idx="708">
                  <c:v>45152</c:v>
                </c:pt>
                <c:pt idx="709">
                  <c:v>45149</c:v>
                </c:pt>
                <c:pt idx="710">
                  <c:v>45148</c:v>
                </c:pt>
                <c:pt idx="711">
                  <c:v>45147</c:v>
                </c:pt>
                <c:pt idx="712">
                  <c:v>45146</c:v>
                </c:pt>
                <c:pt idx="713">
                  <c:v>45145</c:v>
                </c:pt>
                <c:pt idx="714">
                  <c:v>45142</c:v>
                </c:pt>
                <c:pt idx="715">
                  <c:v>45141</c:v>
                </c:pt>
                <c:pt idx="716">
                  <c:v>45140</c:v>
                </c:pt>
                <c:pt idx="717">
                  <c:v>45139</c:v>
                </c:pt>
                <c:pt idx="718">
                  <c:v>45138</c:v>
                </c:pt>
                <c:pt idx="719">
                  <c:v>45135</c:v>
                </c:pt>
                <c:pt idx="720">
                  <c:v>45134</c:v>
                </c:pt>
                <c:pt idx="721">
                  <c:v>45133</c:v>
                </c:pt>
                <c:pt idx="722">
                  <c:v>45132</c:v>
                </c:pt>
                <c:pt idx="723">
                  <c:v>45131</c:v>
                </c:pt>
                <c:pt idx="724">
                  <c:v>45128</c:v>
                </c:pt>
                <c:pt idx="725">
                  <c:v>45127</c:v>
                </c:pt>
                <c:pt idx="726">
                  <c:v>45126</c:v>
                </c:pt>
                <c:pt idx="727">
                  <c:v>45125</c:v>
                </c:pt>
                <c:pt idx="728">
                  <c:v>45124</c:v>
                </c:pt>
                <c:pt idx="729">
                  <c:v>45121</c:v>
                </c:pt>
                <c:pt idx="730">
                  <c:v>45120</c:v>
                </c:pt>
                <c:pt idx="731">
                  <c:v>45119</c:v>
                </c:pt>
                <c:pt idx="732">
                  <c:v>45118</c:v>
                </c:pt>
                <c:pt idx="733">
                  <c:v>45117</c:v>
                </c:pt>
                <c:pt idx="734">
                  <c:v>45114</c:v>
                </c:pt>
                <c:pt idx="735">
                  <c:v>45113</c:v>
                </c:pt>
                <c:pt idx="736">
                  <c:v>45112</c:v>
                </c:pt>
                <c:pt idx="737">
                  <c:v>45111</c:v>
                </c:pt>
                <c:pt idx="738">
                  <c:v>45110</c:v>
                </c:pt>
                <c:pt idx="739">
                  <c:v>45107</c:v>
                </c:pt>
                <c:pt idx="740">
                  <c:v>45106</c:v>
                </c:pt>
                <c:pt idx="741">
                  <c:v>45105</c:v>
                </c:pt>
                <c:pt idx="742">
                  <c:v>45104</c:v>
                </c:pt>
                <c:pt idx="743">
                  <c:v>45103</c:v>
                </c:pt>
                <c:pt idx="744">
                  <c:v>45100</c:v>
                </c:pt>
                <c:pt idx="745">
                  <c:v>45099</c:v>
                </c:pt>
                <c:pt idx="746">
                  <c:v>45098</c:v>
                </c:pt>
                <c:pt idx="747">
                  <c:v>45097</c:v>
                </c:pt>
                <c:pt idx="748">
                  <c:v>45096</c:v>
                </c:pt>
                <c:pt idx="749">
                  <c:v>45093</c:v>
                </c:pt>
                <c:pt idx="750">
                  <c:v>45092</c:v>
                </c:pt>
                <c:pt idx="751">
                  <c:v>45091</c:v>
                </c:pt>
                <c:pt idx="752">
                  <c:v>45090</c:v>
                </c:pt>
                <c:pt idx="753">
                  <c:v>45089</c:v>
                </c:pt>
                <c:pt idx="754">
                  <c:v>45086</c:v>
                </c:pt>
                <c:pt idx="755">
                  <c:v>45085</c:v>
                </c:pt>
                <c:pt idx="756">
                  <c:v>45084</c:v>
                </c:pt>
                <c:pt idx="757">
                  <c:v>45083</c:v>
                </c:pt>
                <c:pt idx="758">
                  <c:v>45082</c:v>
                </c:pt>
                <c:pt idx="759">
                  <c:v>45079</c:v>
                </c:pt>
                <c:pt idx="760">
                  <c:v>45078</c:v>
                </c:pt>
                <c:pt idx="761">
                  <c:v>45077</c:v>
                </c:pt>
                <c:pt idx="762">
                  <c:v>45076</c:v>
                </c:pt>
                <c:pt idx="763">
                  <c:v>45075</c:v>
                </c:pt>
                <c:pt idx="764">
                  <c:v>45072</c:v>
                </c:pt>
                <c:pt idx="765">
                  <c:v>45071</c:v>
                </c:pt>
                <c:pt idx="766">
                  <c:v>45070</c:v>
                </c:pt>
                <c:pt idx="767">
                  <c:v>45069</c:v>
                </c:pt>
                <c:pt idx="768">
                  <c:v>45068</c:v>
                </c:pt>
                <c:pt idx="769">
                  <c:v>45065</c:v>
                </c:pt>
                <c:pt idx="770">
                  <c:v>45064</c:v>
                </c:pt>
                <c:pt idx="771">
                  <c:v>45063</c:v>
                </c:pt>
                <c:pt idx="772">
                  <c:v>45062</c:v>
                </c:pt>
                <c:pt idx="773">
                  <c:v>45061</c:v>
                </c:pt>
                <c:pt idx="774">
                  <c:v>45058</c:v>
                </c:pt>
                <c:pt idx="775">
                  <c:v>45057</c:v>
                </c:pt>
                <c:pt idx="776">
                  <c:v>45056</c:v>
                </c:pt>
                <c:pt idx="777">
                  <c:v>45055</c:v>
                </c:pt>
                <c:pt idx="778">
                  <c:v>45054</c:v>
                </c:pt>
                <c:pt idx="779">
                  <c:v>45051</c:v>
                </c:pt>
                <c:pt idx="780">
                  <c:v>45050</c:v>
                </c:pt>
                <c:pt idx="781">
                  <c:v>45049</c:v>
                </c:pt>
                <c:pt idx="782">
                  <c:v>45048</c:v>
                </c:pt>
                <c:pt idx="783">
                  <c:v>45047</c:v>
                </c:pt>
                <c:pt idx="784">
                  <c:v>45044</c:v>
                </c:pt>
                <c:pt idx="785">
                  <c:v>45043</c:v>
                </c:pt>
                <c:pt idx="786">
                  <c:v>45042</c:v>
                </c:pt>
                <c:pt idx="787">
                  <c:v>45041</c:v>
                </c:pt>
                <c:pt idx="788">
                  <c:v>45040</c:v>
                </c:pt>
                <c:pt idx="789">
                  <c:v>45037</c:v>
                </c:pt>
                <c:pt idx="790">
                  <c:v>45036</c:v>
                </c:pt>
                <c:pt idx="791">
                  <c:v>45035</c:v>
                </c:pt>
                <c:pt idx="792">
                  <c:v>45034</c:v>
                </c:pt>
                <c:pt idx="793">
                  <c:v>45033</c:v>
                </c:pt>
                <c:pt idx="794">
                  <c:v>45030</c:v>
                </c:pt>
                <c:pt idx="795">
                  <c:v>45029</c:v>
                </c:pt>
                <c:pt idx="796">
                  <c:v>45028</c:v>
                </c:pt>
                <c:pt idx="797">
                  <c:v>45027</c:v>
                </c:pt>
                <c:pt idx="798">
                  <c:v>45026</c:v>
                </c:pt>
                <c:pt idx="799">
                  <c:v>45023</c:v>
                </c:pt>
                <c:pt idx="800">
                  <c:v>45022</c:v>
                </c:pt>
                <c:pt idx="801">
                  <c:v>45021</c:v>
                </c:pt>
                <c:pt idx="802">
                  <c:v>45020</c:v>
                </c:pt>
                <c:pt idx="803">
                  <c:v>45019</c:v>
                </c:pt>
                <c:pt idx="804">
                  <c:v>45016</c:v>
                </c:pt>
                <c:pt idx="805">
                  <c:v>45015</c:v>
                </c:pt>
                <c:pt idx="806">
                  <c:v>45014</c:v>
                </c:pt>
                <c:pt idx="807">
                  <c:v>45013</c:v>
                </c:pt>
                <c:pt idx="808">
                  <c:v>45012</c:v>
                </c:pt>
                <c:pt idx="809">
                  <c:v>45009</c:v>
                </c:pt>
                <c:pt idx="810">
                  <c:v>45008</c:v>
                </c:pt>
                <c:pt idx="811">
                  <c:v>45007</c:v>
                </c:pt>
                <c:pt idx="812">
                  <c:v>45006</c:v>
                </c:pt>
                <c:pt idx="813">
                  <c:v>45005</c:v>
                </c:pt>
                <c:pt idx="814">
                  <c:v>45002</c:v>
                </c:pt>
                <c:pt idx="815">
                  <c:v>45001</c:v>
                </c:pt>
                <c:pt idx="816">
                  <c:v>45000</c:v>
                </c:pt>
                <c:pt idx="817">
                  <c:v>44999</c:v>
                </c:pt>
                <c:pt idx="818">
                  <c:v>44998</c:v>
                </c:pt>
                <c:pt idx="819">
                  <c:v>44995</c:v>
                </c:pt>
                <c:pt idx="820">
                  <c:v>44994</c:v>
                </c:pt>
                <c:pt idx="821">
                  <c:v>44993</c:v>
                </c:pt>
                <c:pt idx="822">
                  <c:v>44992</c:v>
                </c:pt>
                <c:pt idx="823">
                  <c:v>44991</c:v>
                </c:pt>
                <c:pt idx="824">
                  <c:v>44988</c:v>
                </c:pt>
                <c:pt idx="825">
                  <c:v>44987</c:v>
                </c:pt>
                <c:pt idx="826">
                  <c:v>44986</c:v>
                </c:pt>
                <c:pt idx="827">
                  <c:v>44985</c:v>
                </c:pt>
                <c:pt idx="828">
                  <c:v>44984</c:v>
                </c:pt>
                <c:pt idx="829">
                  <c:v>44981</c:v>
                </c:pt>
                <c:pt idx="830">
                  <c:v>44980</c:v>
                </c:pt>
                <c:pt idx="831">
                  <c:v>44979</c:v>
                </c:pt>
                <c:pt idx="832">
                  <c:v>44978</c:v>
                </c:pt>
                <c:pt idx="833">
                  <c:v>44977</c:v>
                </c:pt>
                <c:pt idx="834">
                  <c:v>44974</c:v>
                </c:pt>
                <c:pt idx="835">
                  <c:v>44973</c:v>
                </c:pt>
                <c:pt idx="836">
                  <c:v>44972</c:v>
                </c:pt>
                <c:pt idx="837">
                  <c:v>44971</c:v>
                </c:pt>
                <c:pt idx="838">
                  <c:v>44970</c:v>
                </c:pt>
                <c:pt idx="839">
                  <c:v>44967</c:v>
                </c:pt>
                <c:pt idx="840">
                  <c:v>44966</c:v>
                </c:pt>
                <c:pt idx="841">
                  <c:v>44965</c:v>
                </c:pt>
                <c:pt idx="842">
                  <c:v>44964</c:v>
                </c:pt>
                <c:pt idx="843">
                  <c:v>44963</c:v>
                </c:pt>
                <c:pt idx="844">
                  <c:v>44960</c:v>
                </c:pt>
                <c:pt idx="845">
                  <c:v>44959</c:v>
                </c:pt>
                <c:pt idx="846">
                  <c:v>44958</c:v>
                </c:pt>
                <c:pt idx="847">
                  <c:v>44957</c:v>
                </c:pt>
                <c:pt idx="848">
                  <c:v>44956</c:v>
                </c:pt>
                <c:pt idx="849">
                  <c:v>44953</c:v>
                </c:pt>
                <c:pt idx="850">
                  <c:v>44952</c:v>
                </c:pt>
                <c:pt idx="851">
                  <c:v>44951</c:v>
                </c:pt>
                <c:pt idx="852">
                  <c:v>44950</c:v>
                </c:pt>
                <c:pt idx="853">
                  <c:v>44949</c:v>
                </c:pt>
                <c:pt idx="854">
                  <c:v>44946</c:v>
                </c:pt>
                <c:pt idx="855">
                  <c:v>44945</c:v>
                </c:pt>
                <c:pt idx="856">
                  <c:v>44944</c:v>
                </c:pt>
                <c:pt idx="857">
                  <c:v>44943</c:v>
                </c:pt>
                <c:pt idx="858">
                  <c:v>44942</c:v>
                </c:pt>
                <c:pt idx="859">
                  <c:v>44939</c:v>
                </c:pt>
                <c:pt idx="860">
                  <c:v>44938</c:v>
                </c:pt>
                <c:pt idx="861">
                  <c:v>44937</c:v>
                </c:pt>
                <c:pt idx="862">
                  <c:v>44936</c:v>
                </c:pt>
                <c:pt idx="863">
                  <c:v>44935</c:v>
                </c:pt>
                <c:pt idx="864">
                  <c:v>44932</c:v>
                </c:pt>
                <c:pt idx="865">
                  <c:v>44931</c:v>
                </c:pt>
                <c:pt idx="866">
                  <c:v>44930</c:v>
                </c:pt>
                <c:pt idx="867">
                  <c:v>44929</c:v>
                </c:pt>
                <c:pt idx="868">
                  <c:v>44928</c:v>
                </c:pt>
                <c:pt idx="869">
                  <c:v>44925</c:v>
                </c:pt>
                <c:pt idx="870">
                  <c:v>44924</c:v>
                </c:pt>
                <c:pt idx="871">
                  <c:v>44923</c:v>
                </c:pt>
                <c:pt idx="872">
                  <c:v>44922</c:v>
                </c:pt>
                <c:pt idx="873">
                  <c:v>44921</c:v>
                </c:pt>
                <c:pt idx="874">
                  <c:v>44918</c:v>
                </c:pt>
                <c:pt idx="875">
                  <c:v>44917</c:v>
                </c:pt>
                <c:pt idx="876">
                  <c:v>44916</c:v>
                </c:pt>
                <c:pt idx="877">
                  <c:v>44915</c:v>
                </c:pt>
                <c:pt idx="878">
                  <c:v>44914</c:v>
                </c:pt>
                <c:pt idx="879">
                  <c:v>44911</c:v>
                </c:pt>
                <c:pt idx="880">
                  <c:v>44910</c:v>
                </c:pt>
                <c:pt idx="881">
                  <c:v>44909</c:v>
                </c:pt>
                <c:pt idx="882">
                  <c:v>44908</c:v>
                </c:pt>
                <c:pt idx="883">
                  <c:v>44907</c:v>
                </c:pt>
                <c:pt idx="884">
                  <c:v>44904</c:v>
                </c:pt>
                <c:pt idx="885">
                  <c:v>44903</c:v>
                </c:pt>
                <c:pt idx="886">
                  <c:v>44902</c:v>
                </c:pt>
                <c:pt idx="887">
                  <c:v>44901</c:v>
                </c:pt>
                <c:pt idx="888">
                  <c:v>44900</c:v>
                </c:pt>
                <c:pt idx="889">
                  <c:v>44897</c:v>
                </c:pt>
                <c:pt idx="890">
                  <c:v>44896</c:v>
                </c:pt>
                <c:pt idx="891">
                  <c:v>44895</c:v>
                </c:pt>
                <c:pt idx="892">
                  <c:v>44894</c:v>
                </c:pt>
                <c:pt idx="893">
                  <c:v>44893</c:v>
                </c:pt>
                <c:pt idx="894">
                  <c:v>44890</c:v>
                </c:pt>
                <c:pt idx="895">
                  <c:v>44889</c:v>
                </c:pt>
                <c:pt idx="896">
                  <c:v>44888</c:v>
                </c:pt>
                <c:pt idx="897">
                  <c:v>44887</c:v>
                </c:pt>
                <c:pt idx="898">
                  <c:v>44886</c:v>
                </c:pt>
                <c:pt idx="899">
                  <c:v>44883</c:v>
                </c:pt>
                <c:pt idx="900">
                  <c:v>44882</c:v>
                </c:pt>
                <c:pt idx="901">
                  <c:v>44881</c:v>
                </c:pt>
                <c:pt idx="902">
                  <c:v>44880</c:v>
                </c:pt>
                <c:pt idx="903">
                  <c:v>44879</c:v>
                </c:pt>
                <c:pt idx="904">
                  <c:v>44876</c:v>
                </c:pt>
                <c:pt idx="905">
                  <c:v>44875</c:v>
                </c:pt>
                <c:pt idx="906">
                  <c:v>44874</c:v>
                </c:pt>
                <c:pt idx="907">
                  <c:v>44873</c:v>
                </c:pt>
                <c:pt idx="908">
                  <c:v>44872</c:v>
                </c:pt>
                <c:pt idx="909">
                  <c:v>44869</c:v>
                </c:pt>
                <c:pt idx="910">
                  <c:v>44868</c:v>
                </c:pt>
                <c:pt idx="911">
                  <c:v>44867</c:v>
                </c:pt>
                <c:pt idx="912">
                  <c:v>44866</c:v>
                </c:pt>
                <c:pt idx="913">
                  <c:v>44865</c:v>
                </c:pt>
                <c:pt idx="914">
                  <c:v>44862</c:v>
                </c:pt>
                <c:pt idx="915">
                  <c:v>44861</c:v>
                </c:pt>
                <c:pt idx="916">
                  <c:v>44860</c:v>
                </c:pt>
                <c:pt idx="917">
                  <c:v>44859</c:v>
                </c:pt>
                <c:pt idx="918">
                  <c:v>44858</c:v>
                </c:pt>
                <c:pt idx="919">
                  <c:v>44855</c:v>
                </c:pt>
                <c:pt idx="920">
                  <c:v>44854</c:v>
                </c:pt>
                <c:pt idx="921">
                  <c:v>44853</c:v>
                </c:pt>
                <c:pt idx="922">
                  <c:v>44852</c:v>
                </c:pt>
                <c:pt idx="923">
                  <c:v>44851</c:v>
                </c:pt>
                <c:pt idx="924">
                  <c:v>44848</c:v>
                </c:pt>
                <c:pt idx="925">
                  <c:v>44847</c:v>
                </c:pt>
                <c:pt idx="926">
                  <c:v>44846</c:v>
                </c:pt>
                <c:pt idx="927">
                  <c:v>44845</c:v>
                </c:pt>
                <c:pt idx="928">
                  <c:v>44844</c:v>
                </c:pt>
                <c:pt idx="929">
                  <c:v>44841</c:v>
                </c:pt>
                <c:pt idx="930">
                  <c:v>44840</c:v>
                </c:pt>
                <c:pt idx="931">
                  <c:v>44839</c:v>
                </c:pt>
                <c:pt idx="932">
                  <c:v>44838</c:v>
                </c:pt>
                <c:pt idx="933">
                  <c:v>44837</c:v>
                </c:pt>
                <c:pt idx="934">
                  <c:v>44834</c:v>
                </c:pt>
                <c:pt idx="935">
                  <c:v>44833</c:v>
                </c:pt>
                <c:pt idx="936">
                  <c:v>44832</c:v>
                </c:pt>
                <c:pt idx="937">
                  <c:v>44831</c:v>
                </c:pt>
                <c:pt idx="938">
                  <c:v>44830</c:v>
                </c:pt>
                <c:pt idx="939">
                  <c:v>44827</c:v>
                </c:pt>
                <c:pt idx="940">
                  <c:v>44826</c:v>
                </c:pt>
                <c:pt idx="941">
                  <c:v>44825</c:v>
                </c:pt>
                <c:pt idx="942">
                  <c:v>44824</c:v>
                </c:pt>
                <c:pt idx="943">
                  <c:v>44823</c:v>
                </c:pt>
                <c:pt idx="944">
                  <c:v>44820</c:v>
                </c:pt>
                <c:pt idx="945">
                  <c:v>44819</c:v>
                </c:pt>
                <c:pt idx="946">
                  <c:v>44818</c:v>
                </c:pt>
                <c:pt idx="947">
                  <c:v>44817</c:v>
                </c:pt>
                <c:pt idx="948">
                  <c:v>44816</c:v>
                </c:pt>
                <c:pt idx="949">
                  <c:v>44813</c:v>
                </c:pt>
                <c:pt idx="950">
                  <c:v>44812</c:v>
                </c:pt>
                <c:pt idx="951">
                  <c:v>44811</c:v>
                </c:pt>
                <c:pt idx="952">
                  <c:v>44810</c:v>
                </c:pt>
                <c:pt idx="953">
                  <c:v>44809</c:v>
                </c:pt>
                <c:pt idx="954">
                  <c:v>44806</c:v>
                </c:pt>
                <c:pt idx="955">
                  <c:v>44805</c:v>
                </c:pt>
                <c:pt idx="956">
                  <c:v>44804</c:v>
                </c:pt>
                <c:pt idx="957">
                  <c:v>44803</c:v>
                </c:pt>
                <c:pt idx="958">
                  <c:v>44802</c:v>
                </c:pt>
                <c:pt idx="959">
                  <c:v>44799</c:v>
                </c:pt>
                <c:pt idx="960">
                  <c:v>44798</c:v>
                </c:pt>
                <c:pt idx="961">
                  <c:v>44797</c:v>
                </c:pt>
                <c:pt idx="962">
                  <c:v>44796</c:v>
                </c:pt>
                <c:pt idx="963">
                  <c:v>44795</c:v>
                </c:pt>
                <c:pt idx="964">
                  <c:v>44792</c:v>
                </c:pt>
                <c:pt idx="965">
                  <c:v>44791</c:v>
                </c:pt>
                <c:pt idx="966">
                  <c:v>44790</c:v>
                </c:pt>
                <c:pt idx="967">
                  <c:v>44789</c:v>
                </c:pt>
                <c:pt idx="968">
                  <c:v>44788</c:v>
                </c:pt>
                <c:pt idx="969">
                  <c:v>44785</c:v>
                </c:pt>
                <c:pt idx="970">
                  <c:v>44784</c:v>
                </c:pt>
                <c:pt idx="971">
                  <c:v>44783</c:v>
                </c:pt>
                <c:pt idx="972">
                  <c:v>44782</c:v>
                </c:pt>
                <c:pt idx="973">
                  <c:v>44781</c:v>
                </c:pt>
                <c:pt idx="974">
                  <c:v>44778</c:v>
                </c:pt>
                <c:pt idx="975">
                  <c:v>44777</c:v>
                </c:pt>
                <c:pt idx="976">
                  <c:v>44776</c:v>
                </c:pt>
                <c:pt idx="977">
                  <c:v>44775</c:v>
                </c:pt>
                <c:pt idx="978">
                  <c:v>44774</c:v>
                </c:pt>
                <c:pt idx="979">
                  <c:v>44771</c:v>
                </c:pt>
                <c:pt idx="980">
                  <c:v>44770</c:v>
                </c:pt>
                <c:pt idx="981">
                  <c:v>44769</c:v>
                </c:pt>
                <c:pt idx="982">
                  <c:v>44768</c:v>
                </c:pt>
                <c:pt idx="983">
                  <c:v>44767</c:v>
                </c:pt>
                <c:pt idx="984">
                  <c:v>44764</c:v>
                </c:pt>
                <c:pt idx="985">
                  <c:v>44763</c:v>
                </c:pt>
                <c:pt idx="986">
                  <c:v>44762</c:v>
                </c:pt>
                <c:pt idx="987">
                  <c:v>44761</c:v>
                </c:pt>
                <c:pt idx="988">
                  <c:v>44760</c:v>
                </c:pt>
                <c:pt idx="989">
                  <c:v>44757</c:v>
                </c:pt>
                <c:pt idx="990">
                  <c:v>44756</c:v>
                </c:pt>
                <c:pt idx="991">
                  <c:v>44755</c:v>
                </c:pt>
                <c:pt idx="992">
                  <c:v>44754</c:v>
                </c:pt>
                <c:pt idx="993">
                  <c:v>44753</c:v>
                </c:pt>
                <c:pt idx="994">
                  <c:v>44750</c:v>
                </c:pt>
                <c:pt idx="995">
                  <c:v>44749</c:v>
                </c:pt>
                <c:pt idx="996">
                  <c:v>44748</c:v>
                </c:pt>
                <c:pt idx="997">
                  <c:v>44747</c:v>
                </c:pt>
                <c:pt idx="998">
                  <c:v>44746</c:v>
                </c:pt>
                <c:pt idx="999">
                  <c:v>44743</c:v>
                </c:pt>
                <c:pt idx="1000">
                  <c:v>44742</c:v>
                </c:pt>
                <c:pt idx="1001">
                  <c:v>44741</c:v>
                </c:pt>
                <c:pt idx="1002">
                  <c:v>44740</c:v>
                </c:pt>
                <c:pt idx="1003">
                  <c:v>44739</c:v>
                </c:pt>
                <c:pt idx="1004">
                  <c:v>44736</c:v>
                </c:pt>
                <c:pt idx="1005">
                  <c:v>44735</c:v>
                </c:pt>
                <c:pt idx="1006">
                  <c:v>44734</c:v>
                </c:pt>
                <c:pt idx="1007">
                  <c:v>44733</c:v>
                </c:pt>
                <c:pt idx="1008">
                  <c:v>44732</c:v>
                </c:pt>
                <c:pt idx="1009">
                  <c:v>44729</c:v>
                </c:pt>
                <c:pt idx="1010">
                  <c:v>44728</c:v>
                </c:pt>
                <c:pt idx="1011">
                  <c:v>44727</c:v>
                </c:pt>
                <c:pt idx="1012">
                  <c:v>44726</c:v>
                </c:pt>
                <c:pt idx="1013">
                  <c:v>44725</c:v>
                </c:pt>
                <c:pt idx="1014">
                  <c:v>44722</c:v>
                </c:pt>
                <c:pt idx="1015">
                  <c:v>44721</c:v>
                </c:pt>
                <c:pt idx="1016">
                  <c:v>44720</c:v>
                </c:pt>
                <c:pt idx="1017">
                  <c:v>44719</c:v>
                </c:pt>
                <c:pt idx="1018">
                  <c:v>44718</c:v>
                </c:pt>
                <c:pt idx="1019">
                  <c:v>44715</c:v>
                </c:pt>
                <c:pt idx="1020">
                  <c:v>44714</c:v>
                </c:pt>
                <c:pt idx="1021">
                  <c:v>44713</c:v>
                </c:pt>
                <c:pt idx="1022">
                  <c:v>44712</c:v>
                </c:pt>
                <c:pt idx="1023">
                  <c:v>44711</c:v>
                </c:pt>
                <c:pt idx="1024">
                  <c:v>44708</c:v>
                </c:pt>
                <c:pt idx="1025">
                  <c:v>44707</c:v>
                </c:pt>
                <c:pt idx="1026">
                  <c:v>44706</c:v>
                </c:pt>
                <c:pt idx="1027">
                  <c:v>44705</c:v>
                </c:pt>
                <c:pt idx="1028">
                  <c:v>44704</c:v>
                </c:pt>
                <c:pt idx="1029">
                  <c:v>44701</c:v>
                </c:pt>
                <c:pt idx="1030">
                  <c:v>44700</c:v>
                </c:pt>
                <c:pt idx="1031">
                  <c:v>44699</c:v>
                </c:pt>
                <c:pt idx="1032">
                  <c:v>44698</c:v>
                </c:pt>
                <c:pt idx="1033">
                  <c:v>44697</c:v>
                </c:pt>
                <c:pt idx="1034">
                  <c:v>44694</c:v>
                </c:pt>
                <c:pt idx="1035">
                  <c:v>44693</c:v>
                </c:pt>
                <c:pt idx="1036">
                  <c:v>44692</c:v>
                </c:pt>
                <c:pt idx="1037">
                  <c:v>44691</c:v>
                </c:pt>
                <c:pt idx="1038">
                  <c:v>44690</c:v>
                </c:pt>
                <c:pt idx="1039">
                  <c:v>44687</c:v>
                </c:pt>
                <c:pt idx="1040">
                  <c:v>44686</c:v>
                </c:pt>
                <c:pt idx="1041">
                  <c:v>44685</c:v>
                </c:pt>
                <c:pt idx="1042">
                  <c:v>44684</c:v>
                </c:pt>
                <c:pt idx="1043">
                  <c:v>44683</c:v>
                </c:pt>
                <c:pt idx="1044">
                  <c:v>44680</c:v>
                </c:pt>
                <c:pt idx="1045">
                  <c:v>44679</c:v>
                </c:pt>
                <c:pt idx="1046">
                  <c:v>44678</c:v>
                </c:pt>
                <c:pt idx="1047">
                  <c:v>44677</c:v>
                </c:pt>
                <c:pt idx="1048">
                  <c:v>44676</c:v>
                </c:pt>
                <c:pt idx="1049">
                  <c:v>44673</c:v>
                </c:pt>
                <c:pt idx="1050">
                  <c:v>44672</c:v>
                </c:pt>
                <c:pt idx="1051">
                  <c:v>44671</c:v>
                </c:pt>
                <c:pt idx="1052">
                  <c:v>44670</c:v>
                </c:pt>
                <c:pt idx="1053">
                  <c:v>44669</c:v>
                </c:pt>
                <c:pt idx="1054">
                  <c:v>44666</c:v>
                </c:pt>
                <c:pt idx="1055">
                  <c:v>44665</c:v>
                </c:pt>
                <c:pt idx="1056">
                  <c:v>44664</c:v>
                </c:pt>
                <c:pt idx="1057">
                  <c:v>44663</c:v>
                </c:pt>
                <c:pt idx="1058">
                  <c:v>44662</c:v>
                </c:pt>
                <c:pt idx="1059">
                  <c:v>44659</c:v>
                </c:pt>
                <c:pt idx="1060">
                  <c:v>44658</c:v>
                </c:pt>
                <c:pt idx="1061">
                  <c:v>44657</c:v>
                </c:pt>
                <c:pt idx="1062">
                  <c:v>44656</c:v>
                </c:pt>
                <c:pt idx="1063">
                  <c:v>44655</c:v>
                </c:pt>
                <c:pt idx="1064">
                  <c:v>44652</c:v>
                </c:pt>
                <c:pt idx="1065">
                  <c:v>44651</c:v>
                </c:pt>
                <c:pt idx="1066">
                  <c:v>44650</c:v>
                </c:pt>
                <c:pt idx="1067">
                  <c:v>44649</c:v>
                </c:pt>
                <c:pt idx="1068">
                  <c:v>44648</c:v>
                </c:pt>
                <c:pt idx="1069">
                  <c:v>44645</c:v>
                </c:pt>
                <c:pt idx="1070">
                  <c:v>44644</c:v>
                </c:pt>
                <c:pt idx="1071">
                  <c:v>44643</c:v>
                </c:pt>
                <c:pt idx="1072">
                  <c:v>44642</c:v>
                </c:pt>
                <c:pt idx="1073">
                  <c:v>44641</c:v>
                </c:pt>
                <c:pt idx="1074">
                  <c:v>44638</c:v>
                </c:pt>
                <c:pt idx="1075">
                  <c:v>44637</c:v>
                </c:pt>
                <c:pt idx="1076">
                  <c:v>44636</c:v>
                </c:pt>
                <c:pt idx="1077">
                  <c:v>44635</c:v>
                </c:pt>
                <c:pt idx="1078">
                  <c:v>44634</c:v>
                </c:pt>
                <c:pt idx="1079">
                  <c:v>44631</c:v>
                </c:pt>
                <c:pt idx="1080">
                  <c:v>44630</c:v>
                </c:pt>
                <c:pt idx="1081">
                  <c:v>44629</c:v>
                </c:pt>
                <c:pt idx="1082">
                  <c:v>44628</c:v>
                </c:pt>
                <c:pt idx="1083">
                  <c:v>44627</c:v>
                </c:pt>
                <c:pt idx="1084">
                  <c:v>44624</c:v>
                </c:pt>
                <c:pt idx="1085">
                  <c:v>44623</c:v>
                </c:pt>
                <c:pt idx="1086">
                  <c:v>44622</c:v>
                </c:pt>
                <c:pt idx="1087">
                  <c:v>44621</c:v>
                </c:pt>
                <c:pt idx="1088">
                  <c:v>44620</c:v>
                </c:pt>
                <c:pt idx="1089">
                  <c:v>44617</c:v>
                </c:pt>
                <c:pt idx="1090">
                  <c:v>44616</c:v>
                </c:pt>
                <c:pt idx="1091">
                  <c:v>44615</c:v>
                </c:pt>
                <c:pt idx="1092">
                  <c:v>44614</c:v>
                </c:pt>
                <c:pt idx="1093">
                  <c:v>44613</c:v>
                </c:pt>
                <c:pt idx="1094">
                  <c:v>44610</c:v>
                </c:pt>
                <c:pt idx="1095">
                  <c:v>44609</c:v>
                </c:pt>
                <c:pt idx="1096">
                  <c:v>44608</c:v>
                </c:pt>
                <c:pt idx="1097">
                  <c:v>44607</c:v>
                </c:pt>
                <c:pt idx="1098">
                  <c:v>44606</c:v>
                </c:pt>
                <c:pt idx="1099">
                  <c:v>44603</c:v>
                </c:pt>
                <c:pt idx="1100">
                  <c:v>44602</c:v>
                </c:pt>
                <c:pt idx="1101">
                  <c:v>44601</c:v>
                </c:pt>
                <c:pt idx="1102">
                  <c:v>44600</c:v>
                </c:pt>
                <c:pt idx="1103">
                  <c:v>44599</c:v>
                </c:pt>
                <c:pt idx="1104">
                  <c:v>44596</c:v>
                </c:pt>
                <c:pt idx="1105">
                  <c:v>44595</c:v>
                </c:pt>
                <c:pt idx="1106">
                  <c:v>44594</c:v>
                </c:pt>
                <c:pt idx="1107">
                  <c:v>44593</c:v>
                </c:pt>
              </c:numCache>
            </c:numRef>
          </c:cat>
          <c:val>
            <c:numRef>
              <c:f>'Chart 2.1.1 data'!$C$3:$C$1110</c:f>
              <c:numCache>
                <c:formatCode>0.00</c:formatCode>
                <c:ptCount val="1108"/>
                <c:pt idx="0">
                  <c:v>#N/A</c:v>
                </c:pt>
                <c:pt idx="1">
                  <c:v>107.6</c:v>
                </c:pt>
                <c:pt idx="2">
                  <c:v>99.93</c:v>
                </c:pt>
                <c:pt idx="3">
                  <c:v>96.37</c:v>
                </c:pt>
                <c:pt idx="4">
                  <c:v>94.4</c:v>
                </c:pt>
                <c:pt idx="5">
                  <c:v>95.85</c:v>
                </c:pt>
                <c:pt idx="6">
                  <c:v>92.96</c:v>
                </c:pt>
                <c:pt idx="7">
                  <c:v>92.13</c:v>
                </c:pt>
                <c:pt idx="8">
                  <c:v>89.61</c:v>
                </c:pt>
                <c:pt idx="9">
                  <c:v>83.85</c:v>
                </c:pt>
                <c:pt idx="10">
                  <c:v>94.69</c:v>
                </c:pt>
                <c:pt idx="11">
                  <c:v>91.29</c:v>
                </c:pt>
                <c:pt idx="12">
                  <c:v>91.28</c:v>
                </c:pt>
                <c:pt idx="13">
                  <c:v>99.08</c:v>
                </c:pt>
                <c:pt idx="14">
                  <c:v>96.57</c:v>
                </c:pt>
                <c:pt idx="15">
                  <c:v>97.87</c:v>
                </c:pt>
                <c:pt idx="16">
                  <c:v>94.41</c:v>
                </c:pt>
                <c:pt idx="17">
                  <c:v>112.95</c:v>
                </c:pt>
                <c:pt idx="18">
                  <c:v>112.41</c:v>
                </c:pt>
                <c:pt idx="19">
                  <c:v>#N/A</c:v>
                </c:pt>
                <c:pt idx="20">
                  <c:v>111.54</c:v>
                </c:pt>
                <c:pt idx="21">
                  <c:v>100.12</c:v>
                </c:pt>
                <c:pt idx="22">
                  <c:v>101.38</c:v>
                </c:pt>
                <c:pt idx="23">
                  <c:v>102.88</c:v>
                </c:pt>
                <c:pt idx="24">
                  <c:v>99.64</c:v>
                </c:pt>
                <c:pt idx="25">
                  <c:v>94.48</c:v>
                </c:pt>
                <c:pt idx="26">
                  <c:v>90.32</c:v>
                </c:pt>
                <c:pt idx="27">
                  <c:v>92.35</c:v>
                </c:pt>
                <c:pt idx="28">
                  <c:v>88.13</c:v>
                </c:pt>
                <c:pt idx="29">
                  <c:v>98.32</c:v>
                </c:pt>
                <c:pt idx="30">
                  <c:v>96.14</c:v>
                </c:pt>
                <c:pt idx="31">
                  <c:v>96.32</c:v>
                </c:pt>
                <c:pt idx="32">
                  <c:v>96.21</c:v>
                </c:pt>
                <c:pt idx="33">
                  <c:v>93.5</c:v>
                </c:pt>
                <c:pt idx="34">
                  <c:v>98.71</c:v>
                </c:pt>
                <c:pt idx="35">
                  <c:v>95.73</c:v>
                </c:pt>
                <c:pt idx="36">
                  <c:v>87.25</c:v>
                </c:pt>
                <c:pt idx="37">
                  <c:v>83.45</c:v>
                </c:pt>
                <c:pt idx="38">
                  <c:v>94.77</c:v>
                </c:pt>
                <c:pt idx="39">
                  <c:v>90.9</c:v>
                </c:pt>
                <c:pt idx="40">
                  <c:v>81.010000000000005</c:v>
                </c:pt>
                <c:pt idx="41">
                  <c:v>74.66</c:v>
                </c:pt>
                <c:pt idx="42">
                  <c:v>74.56</c:v>
                </c:pt>
                <c:pt idx="43">
                  <c:v>71.23</c:v>
                </c:pt>
                <c:pt idx="44">
                  <c:v>67.02</c:v>
                </c:pt>
                <c:pt idx="45">
                  <c:v>65.209999999999994</c:v>
                </c:pt>
                <c:pt idx="46">
                  <c:v>65.42</c:v>
                </c:pt>
                <c:pt idx="47">
                  <c:v>65.63</c:v>
                </c:pt>
                <c:pt idx="48">
                  <c:v>66.31</c:v>
                </c:pt>
                <c:pt idx="49">
                  <c:v>66.39</c:v>
                </c:pt>
                <c:pt idx="50">
                  <c:v>66.430000000000007</c:v>
                </c:pt>
                <c:pt idx="51">
                  <c:v>65.19</c:v>
                </c:pt>
                <c:pt idx="52">
                  <c:v>62.33</c:v>
                </c:pt>
                <c:pt idx="53">
                  <c:v>#N/A</c:v>
                </c:pt>
                <c:pt idx="54">
                  <c:v>62.89</c:v>
                </c:pt>
                <c:pt idx="55">
                  <c:v>62.84</c:v>
                </c:pt>
                <c:pt idx="56">
                  <c:v>64.63</c:v>
                </c:pt>
                <c:pt idx="57">
                  <c:v>63.96</c:v>
                </c:pt>
                <c:pt idx="58">
                  <c:v>64.36</c:v>
                </c:pt>
                <c:pt idx="59">
                  <c:v>63.55</c:v>
                </c:pt>
                <c:pt idx="60">
                  <c:v>63.29</c:v>
                </c:pt>
                <c:pt idx="61">
                  <c:v>65.14</c:v>
                </c:pt>
                <c:pt idx="62">
                  <c:v>63.21</c:v>
                </c:pt>
                <c:pt idx="63">
                  <c:v>62.14</c:v>
                </c:pt>
                <c:pt idx="64">
                  <c:v>65.209999999999994</c:v>
                </c:pt>
                <c:pt idx="65">
                  <c:v>65.42</c:v>
                </c:pt>
                <c:pt idx="66">
                  <c:v>63.21</c:v>
                </c:pt>
                <c:pt idx="67">
                  <c:v>62.39</c:v>
                </c:pt>
                <c:pt idx="68">
                  <c:v>60.63</c:v>
                </c:pt>
                <c:pt idx="69">
                  <c:v>61.07</c:v>
                </c:pt>
                <c:pt idx="70">
                  <c:v>59.36</c:v>
                </c:pt>
                <c:pt idx="71">
                  <c:v>60.62</c:v>
                </c:pt>
                <c:pt idx="72">
                  <c:v>60.34</c:v>
                </c:pt>
                <c:pt idx="73">
                  <c:v>#N/A</c:v>
                </c:pt>
                <c:pt idx="74">
                  <c:v>59.44</c:v>
                </c:pt>
                <c:pt idx="75">
                  <c:v>59.19</c:v>
                </c:pt>
                <c:pt idx="76">
                  <c:v>62.02</c:v>
                </c:pt>
                <c:pt idx="77">
                  <c:v>61.15</c:v>
                </c:pt>
                <c:pt idx="78">
                  <c:v>59.5</c:v>
                </c:pt>
                <c:pt idx="79">
                  <c:v>59.12</c:v>
                </c:pt>
                <c:pt idx="80">
                  <c:v>57.76</c:v>
                </c:pt>
                <c:pt idx="81">
                  <c:v>55.99</c:v>
                </c:pt>
                <c:pt idx="82">
                  <c:v>57.13</c:v>
                </c:pt>
                <c:pt idx="83">
                  <c:v>58.32</c:v>
                </c:pt>
                <c:pt idx="84">
                  <c:v>57.32</c:v>
                </c:pt>
                <c:pt idx="85">
                  <c:v>#N/A</c:v>
                </c:pt>
                <c:pt idx="86">
                  <c:v>57.42</c:v>
                </c:pt>
                <c:pt idx="87">
                  <c:v>57.95</c:v>
                </c:pt>
                <c:pt idx="88">
                  <c:v>58.08</c:v>
                </c:pt>
                <c:pt idx="89">
                  <c:v>56.74</c:v>
                </c:pt>
                <c:pt idx="90">
                  <c:v>#N/A</c:v>
                </c:pt>
                <c:pt idx="91">
                  <c:v>58.35</c:v>
                </c:pt>
                <c:pt idx="92">
                  <c:v>58.38</c:v>
                </c:pt>
                <c:pt idx="93">
                  <c:v>58.01</c:v>
                </c:pt>
                <c:pt idx="94">
                  <c:v>56.66</c:v>
                </c:pt>
                <c:pt idx="95">
                  <c:v>56.15</c:v>
                </c:pt>
                <c:pt idx="96">
                  <c:v>55.94</c:v>
                </c:pt>
                <c:pt idx="97">
                  <c:v>55.27</c:v>
                </c:pt>
                <c:pt idx="98">
                  <c:v>56.82</c:v>
                </c:pt>
                <c:pt idx="99">
                  <c:v>57.44</c:v>
                </c:pt>
                <c:pt idx="100">
                  <c:v>57.6</c:v>
                </c:pt>
                <c:pt idx="101">
                  <c:v>58.46</c:v>
                </c:pt>
                <c:pt idx="102">
                  <c:v>58.25</c:v>
                </c:pt>
                <c:pt idx="103">
                  <c:v>58.88</c:v>
                </c:pt>
                <c:pt idx="104">
                  <c:v>60.08</c:v>
                </c:pt>
                <c:pt idx="105">
                  <c:v>59.67</c:v>
                </c:pt>
                <c:pt idx="106">
                  <c:v>58.95</c:v>
                </c:pt>
                <c:pt idx="107">
                  <c:v>58.64</c:v>
                </c:pt>
                <c:pt idx="108">
                  <c:v>59.32</c:v>
                </c:pt>
                <c:pt idx="109">
                  <c:v>58.55</c:v>
                </c:pt>
                <c:pt idx="110">
                  <c:v>#N/A</c:v>
                </c:pt>
                <c:pt idx="111">
                  <c:v>58.65</c:v>
                </c:pt>
                <c:pt idx="112">
                  <c:v>57.95</c:v>
                </c:pt>
                <c:pt idx="113">
                  <c:v>58.84</c:v>
                </c:pt>
                <c:pt idx="114">
                  <c:v>58.06</c:v>
                </c:pt>
                <c:pt idx="115">
                  <c:v>59.14</c:v>
                </c:pt>
                <c:pt idx="116">
                  <c:v>59.44</c:v>
                </c:pt>
                <c:pt idx="117">
                  <c:v>60.74</c:v>
                </c:pt>
                <c:pt idx="118">
                  <c:v>59.91</c:v>
                </c:pt>
                <c:pt idx="119">
                  <c:v>60.09</c:v>
                </c:pt>
                <c:pt idx="120">
                  <c:v>58.69</c:v>
                </c:pt>
                <c:pt idx="121">
                  <c:v>58.49</c:v>
                </c:pt>
                <c:pt idx="122">
                  <c:v>61.04</c:v>
                </c:pt>
                <c:pt idx="123">
                  <c:v>60.13</c:v>
                </c:pt>
                <c:pt idx="124">
                  <c:v>59.75</c:v>
                </c:pt>
                <c:pt idx="125">
                  <c:v>59.43</c:v>
                </c:pt>
                <c:pt idx="126">
                  <c:v>59.6</c:v>
                </c:pt>
                <c:pt idx="127">
                  <c:v>60.56</c:v>
                </c:pt>
                <c:pt idx="128">
                  <c:v>61.05</c:v>
                </c:pt>
                <c:pt idx="129">
                  <c:v>60.98</c:v>
                </c:pt>
                <c:pt idx="130">
                  <c:v>60.57</c:v>
                </c:pt>
                <c:pt idx="131">
                  <c:v>60.48</c:v>
                </c:pt>
                <c:pt idx="132">
                  <c:v>60.15</c:v>
                </c:pt>
                <c:pt idx="133">
                  <c:v>61.31</c:v>
                </c:pt>
                <c:pt idx="134">
                  <c:v>61.5</c:v>
                </c:pt>
                <c:pt idx="135">
                  <c:v>61.79</c:v>
                </c:pt>
                <c:pt idx="136">
                  <c:v>58.5</c:v>
                </c:pt>
                <c:pt idx="137">
                  <c:v>57.82</c:v>
                </c:pt>
                <c:pt idx="138">
                  <c:v>57.52</c:v>
                </c:pt>
                <c:pt idx="139">
                  <c:v>57.54</c:v>
                </c:pt>
                <c:pt idx="140">
                  <c:v>57.46</c:v>
                </c:pt>
                <c:pt idx="141">
                  <c:v>58.27</c:v>
                </c:pt>
                <c:pt idx="142">
                  <c:v>58.7</c:v>
                </c:pt>
                <c:pt idx="143">
                  <c:v>59.49</c:v>
                </c:pt>
                <c:pt idx="144">
                  <c:v>58.9</c:v>
                </c:pt>
                <c:pt idx="145">
                  <c:v>61.51</c:v>
                </c:pt>
                <c:pt idx="146">
                  <c:v>62.55</c:v>
                </c:pt>
                <c:pt idx="147">
                  <c:v>61.73</c:v>
                </c:pt>
                <c:pt idx="148">
                  <c:v>61.69</c:v>
                </c:pt>
                <c:pt idx="149">
                  <c:v>60.88</c:v>
                </c:pt>
                <c:pt idx="150">
                  <c:v>60.48</c:v>
                </c:pt>
                <c:pt idx="151">
                  <c:v>61.78</c:v>
                </c:pt>
                <c:pt idx="152">
                  <c:v>62.37</c:v>
                </c:pt>
                <c:pt idx="153">
                  <c:v>63.45</c:v>
                </c:pt>
                <c:pt idx="154">
                  <c:v>65.72</c:v>
                </c:pt>
                <c:pt idx="155">
                  <c:v>64.98</c:v>
                </c:pt>
                <c:pt idx="156">
                  <c:v>64.989999999999995</c:v>
                </c:pt>
                <c:pt idx="157">
                  <c:v>63.41</c:v>
                </c:pt>
                <c:pt idx="158">
                  <c:v>62.64</c:v>
                </c:pt>
                <c:pt idx="159">
                  <c:v>62.68</c:v>
                </c:pt>
                <c:pt idx="160">
                  <c:v>63.57</c:v>
                </c:pt>
                <c:pt idx="161">
                  <c:v>64.05</c:v>
                </c:pt>
                <c:pt idx="162">
                  <c:v>64.52</c:v>
                </c:pt>
                <c:pt idx="163">
                  <c:v>63.3</c:v>
                </c:pt>
                <c:pt idx="164">
                  <c:v>62.69</c:v>
                </c:pt>
                <c:pt idx="165">
                  <c:v>62.37</c:v>
                </c:pt>
                <c:pt idx="166">
                  <c:v>63.67</c:v>
                </c:pt>
                <c:pt idx="167">
                  <c:v>62.63</c:v>
                </c:pt>
                <c:pt idx="168">
                  <c:v>62.26</c:v>
                </c:pt>
                <c:pt idx="169">
                  <c:v>61.87</c:v>
                </c:pt>
                <c:pt idx="170">
                  <c:v>63.48</c:v>
                </c:pt>
                <c:pt idx="171">
                  <c:v>63.97</c:v>
                </c:pt>
                <c:pt idx="172">
                  <c:v>65.59</c:v>
                </c:pt>
                <c:pt idx="173">
                  <c:v>#N/A</c:v>
                </c:pt>
                <c:pt idx="174">
                  <c:v>64.010000000000005</c:v>
                </c:pt>
                <c:pt idx="175">
                  <c:v>64.599999999999994</c:v>
                </c:pt>
                <c:pt idx="176">
                  <c:v>64.150000000000006</c:v>
                </c:pt>
                <c:pt idx="177">
                  <c:v>63.25</c:v>
                </c:pt>
                <c:pt idx="178">
                  <c:v>64.8</c:v>
                </c:pt>
                <c:pt idx="179">
                  <c:v>63.66</c:v>
                </c:pt>
                <c:pt idx="180">
                  <c:v>63.52</c:v>
                </c:pt>
                <c:pt idx="181">
                  <c:v>63.21</c:v>
                </c:pt>
                <c:pt idx="182">
                  <c:v>62.35</c:v>
                </c:pt>
                <c:pt idx="183">
                  <c:v>63.42</c:v>
                </c:pt>
                <c:pt idx="184">
                  <c:v>62.8</c:v>
                </c:pt>
                <c:pt idx="185">
                  <c:v>63.96</c:v>
                </c:pt>
                <c:pt idx="186">
                  <c:v>62.65</c:v>
                </c:pt>
                <c:pt idx="187">
                  <c:v>63.17</c:v>
                </c:pt>
                <c:pt idx="188">
                  <c:v>63.96</c:v>
                </c:pt>
                <c:pt idx="189">
                  <c:v>63.88</c:v>
                </c:pt>
                <c:pt idx="190">
                  <c:v>63.88</c:v>
                </c:pt>
                <c:pt idx="191">
                  <c:v>64.349999999999994</c:v>
                </c:pt>
                <c:pt idx="192">
                  <c:v>65.16</c:v>
                </c:pt>
                <c:pt idx="193">
                  <c:v>66.290000000000006</c:v>
                </c:pt>
                <c:pt idx="194">
                  <c:v>67.33</c:v>
                </c:pt>
                <c:pt idx="195">
                  <c:v>69.260000000000005</c:v>
                </c:pt>
                <c:pt idx="196">
                  <c:v>70</c:v>
                </c:pt>
                <c:pt idx="197">
                  <c:v>69.209999999999994</c:v>
                </c:pt>
                <c:pt idx="198">
                  <c:v>66.709999999999994</c:v>
                </c:pt>
                <c:pt idx="199">
                  <c:v>65.16</c:v>
                </c:pt>
                <c:pt idx="200">
                  <c:v>66.03</c:v>
                </c:pt>
                <c:pt idx="201">
                  <c:v>65.25</c:v>
                </c:pt>
                <c:pt idx="202">
                  <c:v>66.209999999999994</c:v>
                </c:pt>
                <c:pt idx="203">
                  <c:v>67.2</c:v>
                </c:pt>
                <c:pt idx="204">
                  <c:v>67.34</c:v>
                </c:pt>
                <c:pt idx="205">
                  <c:v>67.540000000000006</c:v>
                </c:pt>
                <c:pt idx="206">
                  <c:v>66.38</c:v>
                </c:pt>
                <c:pt idx="207">
                  <c:v>66.52</c:v>
                </c:pt>
                <c:pt idx="208">
                  <c:v>66.98</c:v>
                </c:pt>
                <c:pt idx="209">
                  <c:v>68.45</c:v>
                </c:pt>
                <c:pt idx="210">
                  <c:v>66.569999999999993</c:v>
                </c:pt>
                <c:pt idx="211">
                  <c:v>68.38</c:v>
                </c:pt>
                <c:pt idx="212">
                  <c:v>68.33</c:v>
                </c:pt>
                <c:pt idx="213">
                  <c:v>67.930000000000007</c:v>
                </c:pt>
                <c:pt idx="214">
                  <c:v>#N/A</c:v>
                </c:pt>
                <c:pt idx="215">
                  <c:v>67</c:v>
                </c:pt>
                <c:pt idx="216">
                  <c:v>67.45</c:v>
                </c:pt>
                <c:pt idx="217">
                  <c:v>65.45</c:v>
                </c:pt>
                <c:pt idx="218">
                  <c:v>65.11</c:v>
                </c:pt>
                <c:pt idx="219">
                  <c:v>65.52</c:v>
                </c:pt>
                <c:pt idx="220">
                  <c:v>65.239999999999995</c:v>
                </c:pt>
                <c:pt idx="221">
                  <c:v>64.92</c:v>
                </c:pt>
                <c:pt idx="222">
                  <c:v>64.37</c:v>
                </c:pt>
                <c:pt idx="223">
                  <c:v>68.510000000000005</c:v>
                </c:pt>
                <c:pt idx="224">
                  <c:v>74.930000000000007</c:v>
                </c:pt>
                <c:pt idx="225">
                  <c:v>#N/A</c:v>
                </c:pt>
                <c:pt idx="226">
                  <c:v>75.14</c:v>
                </c:pt>
                <c:pt idx="227">
                  <c:v>74.84</c:v>
                </c:pt>
                <c:pt idx="228">
                  <c:v>71.77</c:v>
                </c:pt>
                <c:pt idx="229">
                  <c:v>72.98</c:v>
                </c:pt>
                <c:pt idx="230">
                  <c:v>68.040000000000006</c:v>
                </c:pt>
                <c:pt idx="231">
                  <c:v>68.150000000000006</c:v>
                </c:pt>
                <c:pt idx="232">
                  <c:v>64.98</c:v>
                </c:pt>
                <c:pt idx="233">
                  <c:v>65.290000000000006</c:v>
                </c:pt>
                <c:pt idx="234">
                  <c:v>64.58</c:v>
                </c:pt>
                <c:pt idx="235">
                  <c:v>63.37</c:v>
                </c:pt>
                <c:pt idx="236">
                  <c:v>62.85</c:v>
                </c:pt>
                <c:pt idx="237">
                  <c:v>63.41</c:v>
                </c:pt>
                <c:pt idx="238">
                  <c:v>62.52</c:v>
                </c:pt>
                <c:pt idx="239">
                  <c:v>60.79</c:v>
                </c:pt>
                <c:pt idx="240">
                  <c:v>60.94</c:v>
                </c:pt>
                <c:pt idx="241">
                  <c:v>61.84</c:v>
                </c:pt>
                <c:pt idx="242">
                  <c:v>60.89</c:v>
                </c:pt>
                <c:pt idx="243">
                  <c:v>#N/A</c:v>
                </c:pt>
                <c:pt idx="244">
                  <c:v>61.53</c:v>
                </c:pt>
                <c:pt idx="245">
                  <c:v>61.2</c:v>
                </c:pt>
                <c:pt idx="246">
                  <c:v>61.57</c:v>
                </c:pt>
                <c:pt idx="247">
                  <c:v>62.56</c:v>
                </c:pt>
                <c:pt idx="248">
                  <c:v>62.69</c:v>
                </c:pt>
                <c:pt idx="249">
                  <c:v>62.49</c:v>
                </c:pt>
                <c:pt idx="250">
                  <c:v>61.62</c:v>
                </c:pt>
                <c:pt idx="251">
                  <c:v>63.15</c:v>
                </c:pt>
                <c:pt idx="252">
                  <c:v>63.67</c:v>
                </c:pt>
                <c:pt idx="253">
                  <c:v>61.95</c:v>
                </c:pt>
                <c:pt idx="254">
                  <c:v>61.02</c:v>
                </c:pt>
                <c:pt idx="255">
                  <c:v>59.91</c:v>
                </c:pt>
                <c:pt idx="256">
                  <c:v>58.07</c:v>
                </c:pt>
                <c:pt idx="257">
                  <c:v>59.09</c:v>
                </c:pt>
                <c:pt idx="258">
                  <c:v>57.13</c:v>
                </c:pt>
                <c:pt idx="259">
                  <c:v>58.29</c:v>
                </c:pt>
                <c:pt idx="260">
                  <c:v>59.24</c:v>
                </c:pt>
                <c:pt idx="261">
                  <c:v>58.21</c:v>
                </c:pt>
                <c:pt idx="262">
                  <c:v>60.42</c:v>
                </c:pt>
                <c:pt idx="263">
                  <c:v>62.05</c:v>
                </c:pt>
                <c:pt idx="264">
                  <c:v>63.02</c:v>
                </c:pt>
                <c:pt idx="265">
                  <c:v>62.79</c:v>
                </c:pt>
                <c:pt idx="266">
                  <c:v>62.27</c:v>
                </c:pt>
                <c:pt idx="267">
                  <c:v>64.31</c:v>
                </c:pt>
                <c:pt idx="268">
                  <c:v>63.08</c:v>
                </c:pt>
                <c:pt idx="269">
                  <c:v>#N/A</c:v>
                </c:pt>
                <c:pt idx="270">
                  <c:v>64.680000000000007</c:v>
                </c:pt>
                <c:pt idx="271">
                  <c:v>62.47</c:v>
                </c:pt>
                <c:pt idx="272">
                  <c:v>61.33</c:v>
                </c:pt>
                <c:pt idx="273">
                  <c:v>61.53</c:v>
                </c:pt>
                <c:pt idx="274">
                  <c:v>61.5</c:v>
                </c:pt>
                <c:pt idx="275">
                  <c:v>60.07</c:v>
                </c:pt>
                <c:pt idx="276">
                  <c:v>62.35</c:v>
                </c:pt>
                <c:pt idx="277">
                  <c:v>59.58</c:v>
                </c:pt>
                <c:pt idx="278">
                  <c:v>60.7</c:v>
                </c:pt>
                <c:pt idx="279">
                  <c:v>61.99</c:v>
                </c:pt>
                <c:pt idx="280">
                  <c:v>66.95</c:v>
                </c:pt>
                <c:pt idx="281">
                  <c:v>71.709999999999994</c:v>
                </c:pt>
                <c:pt idx="282">
                  <c:v>71.2</c:v>
                </c:pt>
                <c:pt idx="283">
                  <c:v>71.48</c:v>
                </c:pt>
                <c:pt idx="284">
                  <c:v>69.36</c:v>
                </c:pt>
                <c:pt idx="285">
                  <c:v>69.92</c:v>
                </c:pt>
                <c:pt idx="286">
                  <c:v>69.650000000000006</c:v>
                </c:pt>
                <c:pt idx="287">
                  <c:v>69</c:v>
                </c:pt>
                <c:pt idx="288">
                  <c:v>69.11</c:v>
                </c:pt>
                <c:pt idx="289">
                  <c:v>68.28</c:v>
                </c:pt>
                <c:pt idx="290">
                  <c:v>68.260000000000005</c:v>
                </c:pt>
                <c:pt idx="291">
                  <c:v>67.16</c:v>
                </c:pt>
                <c:pt idx="292">
                  <c:v>66.900000000000006</c:v>
                </c:pt>
                <c:pt idx="293">
                  <c:v>67.58</c:v>
                </c:pt>
                <c:pt idx="294">
                  <c:v>67.180000000000007</c:v>
                </c:pt>
                <c:pt idx="295">
                  <c:v>66.55</c:v>
                </c:pt>
                <c:pt idx="296">
                  <c:v>67.680000000000007</c:v>
                </c:pt>
                <c:pt idx="297">
                  <c:v>66.25</c:v>
                </c:pt>
                <c:pt idx="298">
                  <c:v>66.03</c:v>
                </c:pt>
                <c:pt idx="299">
                  <c:v>67.040000000000006</c:v>
                </c:pt>
                <c:pt idx="300">
                  <c:v>66.36</c:v>
                </c:pt>
                <c:pt idx="301">
                  <c:v>66.31</c:v>
                </c:pt>
                <c:pt idx="302">
                  <c:v>68.260000000000005</c:v>
                </c:pt>
                <c:pt idx="303">
                  <c:v>68.37</c:v>
                </c:pt>
                <c:pt idx="304">
                  <c:v>69.760000000000005</c:v>
                </c:pt>
                <c:pt idx="305">
                  <c:v>70.349999999999994</c:v>
                </c:pt>
                <c:pt idx="306">
                  <c:v>68.62</c:v>
                </c:pt>
                <c:pt idx="307">
                  <c:v>68.930000000000007</c:v>
                </c:pt>
                <c:pt idx="308">
                  <c:v>70.7</c:v>
                </c:pt>
                <c:pt idx="309">
                  <c:v>70.400000000000006</c:v>
                </c:pt>
                <c:pt idx="310">
                  <c:v>72.569999999999993</c:v>
                </c:pt>
                <c:pt idx="311">
                  <c:v>72.25</c:v>
                </c:pt>
                <c:pt idx="312">
                  <c:v>71.849999999999994</c:v>
                </c:pt>
                <c:pt idx="313">
                  <c:v>#N/A</c:v>
                </c:pt>
                <c:pt idx="314">
                  <c:v>70.739999999999995</c:v>
                </c:pt>
                <c:pt idx="315">
                  <c:v>71.290000000000006</c:v>
                </c:pt>
                <c:pt idx="316">
                  <c:v>71.37</c:v>
                </c:pt>
                <c:pt idx="317">
                  <c:v>73.319999999999993</c:v>
                </c:pt>
                <c:pt idx="318">
                  <c:v>72.319999999999993</c:v>
                </c:pt>
                <c:pt idx="319">
                  <c:v>71</c:v>
                </c:pt>
                <c:pt idx="320">
                  <c:v>70.61</c:v>
                </c:pt>
                <c:pt idx="321">
                  <c:v>71.03</c:v>
                </c:pt>
                <c:pt idx="322">
                  <c:v>72.7</c:v>
                </c:pt>
                <c:pt idx="323">
                  <c:v>73.16</c:v>
                </c:pt>
                <c:pt idx="324">
                  <c:v>72.53</c:v>
                </c:pt>
                <c:pt idx="325">
                  <c:v>72.73</c:v>
                </c:pt>
                <c:pt idx="326">
                  <c:v>72.62</c:v>
                </c:pt>
                <c:pt idx="327">
                  <c:v>73.77</c:v>
                </c:pt>
                <c:pt idx="328">
                  <c:v>73.17</c:v>
                </c:pt>
                <c:pt idx="329">
                  <c:v>74.66</c:v>
                </c:pt>
                <c:pt idx="330">
                  <c:v>74.62</c:v>
                </c:pt>
                <c:pt idx="331">
                  <c:v>75.44</c:v>
                </c:pt>
                <c:pt idx="332">
                  <c:v>75.89</c:v>
                </c:pt>
                <c:pt idx="333">
                  <c:v>#N/A</c:v>
                </c:pt>
                <c:pt idx="334">
                  <c:v>77.88</c:v>
                </c:pt>
                <c:pt idx="335">
                  <c:v>78.680000000000007</c:v>
                </c:pt>
                <c:pt idx="336">
                  <c:v>80.040000000000006</c:v>
                </c:pt>
                <c:pt idx="337">
                  <c:v>77.5</c:v>
                </c:pt>
                <c:pt idx="338">
                  <c:v>78.819999999999993</c:v>
                </c:pt>
                <c:pt idx="339">
                  <c:v>76.569999999999993</c:v>
                </c:pt>
                <c:pt idx="340">
                  <c:v>73.92</c:v>
                </c:pt>
                <c:pt idx="341">
                  <c:v>73.319999999999993</c:v>
                </c:pt>
                <c:pt idx="342">
                  <c:v>74.25</c:v>
                </c:pt>
                <c:pt idx="343">
                  <c:v>73.56</c:v>
                </c:pt>
                <c:pt idx="344">
                  <c:v>73.959999999999994</c:v>
                </c:pt>
                <c:pt idx="345">
                  <c:v>73.13</c:v>
                </c:pt>
                <c:pt idx="346">
                  <c:v>#N/A</c:v>
                </c:pt>
                <c:pt idx="347">
                  <c:v>71.72</c:v>
                </c:pt>
                <c:pt idx="348">
                  <c:v>70.989999999999995</c:v>
                </c:pt>
                <c:pt idx="349">
                  <c:v>70.599999999999994</c:v>
                </c:pt>
                <c:pt idx="350">
                  <c:v>69.62</c:v>
                </c:pt>
                <c:pt idx="351">
                  <c:v>#N/A</c:v>
                </c:pt>
                <c:pt idx="352">
                  <c:v>70.099999999999994</c:v>
                </c:pt>
                <c:pt idx="353">
                  <c:v>69.239999999999995</c:v>
                </c:pt>
                <c:pt idx="354">
                  <c:v>69.459999999999994</c:v>
                </c:pt>
                <c:pt idx="355">
                  <c:v>69.91</c:v>
                </c:pt>
                <c:pt idx="356">
                  <c:v>70.58</c:v>
                </c:pt>
                <c:pt idx="357">
                  <c:v>70.08</c:v>
                </c:pt>
                <c:pt idx="358">
                  <c:v>70.709999999999994</c:v>
                </c:pt>
                <c:pt idx="359">
                  <c:v>71.290000000000006</c:v>
                </c:pt>
                <c:pt idx="360">
                  <c:v>70.02</c:v>
                </c:pt>
                <c:pt idx="361">
                  <c:v>70.290000000000006</c:v>
                </c:pt>
                <c:pt idx="362">
                  <c:v>68.59</c:v>
                </c:pt>
                <c:pt idx="363">
                  <c:v>68.37</c:v>
                </c:pt>
                <c:pt idx="364">
                  <c:v>67.2</c:v>
                </c:pt>
                <c:pt idx="365">
                  <c:v>68.3</c:v>
                </c:pt>
                <c:pt idx="366">
                  <c:v>68.540000000000006</c:v>
                </c:pt>
                <c:pt idx="367">
                  <c:v>69.94</c:v>
                </c:pt>
                <c:pt idx="368">
                  <c:v>68.099999999999994</c:v>
                </c:pt>
                <c:pt idx="369">
                  <c:v>68</c:v>
                </c:pt>
                <c:pt idx="370">
                  <c:v>#N/A</c:v>
                </c:pt>
                <c:pt idx="371">
                  <c:v>68.72</c:v>
                </c:pt>
                <c:pt idx="372">
                  <c:v>68.77</c:v>
                </c:pt>
                <c:pt idx="373">
                  <c:v>68.94</c:v>
                </c:pt>
                <c:pt idx="374">
                  <c:v>71.239999999999995</c:v>
                </c:pt>
                <c:pt idx="375">
                  <c:v>70.099999999999994</c:v>
                </c:pt>
                <c:pt idx="376">
                  <c:v>68.87</c:v>
                </c:pt>
                <c:pt idx="377">
                  <c:v>69.39</c:v>
                </c:pt>
                <c:pt idx="378">
                  <c:v>69.16</c:v>
                </c:pt>
                <c:pt idx="379">
                  <c:v>67.02</c:v>
                </c:pt>
                <c:pt idx="380">
                  <c:v>68.7</c:v>
                </c:pt>
                <c:pt idx="381">
                  <c:v>68.430000000000007</c:v>
                </c:pt>
                <c:pt idx="382">
                  <c:v>68.12</c:v>
                </c:pt>
                <c:pt idx="383">
                  <c:v>68.040000000000006</c:v>
                </c:pt>
                <c:pt idx="384">
                  <c:v>70.38</c:v>
                </c:pt>
                <c:pt idx="385">
                  <c:v>72.36</c:v>
                </c:pt>
                <c:pt idx="386">
                  <c:v>71.69</c:v>
                </c:pt>
                <c:pt idx="387">
                  <c:v>71.989999999999995</c:v>
                </c:pt>
                <c:pt idx="388">
                  <c:v>71.47</c:v>
                </c:pt>
                <c:pt idx="389">
                  <c:v>69.489999999999995</c:v>
                </c:pt>
                <c:pt idx="390">
                  <c:v>69.260000000000005</c:v>
                </c:pt>
                <c:pt idx="391">
                  <c:v>68.61</c:v>
                </c:pt>
                <c:pt idx="392">
                  <c:v>67.209999999999994</c:v>
                </c:pt>
                <c:pt idx="393">
                  <c:v>67.38</c:v>
                </c:pt>
                <c:pt idx="394">
                  <c:v>71.78</c:v>
                </c:pt>
                <c:pt idx="395">
                  <c:v>70.19</c:v>
                </c:pt>
                <c:pt idx="396">
                  <c:v>70.77</c:v>
                </c:pt>
                <c:pt idx="397">
                  <c:v>72.09</c:v>
                </c:pt>
                <c:pt idx="398">
                  <c:v>70.56</c:v>
                </c:pt>
                <c:pt idx="399">
                  <c:v>69.22</c:v>
                </c:pt>
                <c:pt idx="400">
                  <c:v>70.67</c:v>
                </c:pt>
                <c:pt idx="401">
                  <c:v>70.39</c:v>
                </c:pt>
                <c:pt idx="402">
                  <c:v>70.58</c:v>
                </c:pt>
                <c:pt idx="403">
                  <c:v>73.83</c:v>
                </c:pt>
                <c:pt idx="404">
                  <c:v>75.56</c:v>
                </c:pt>
                <c:pt idx="405">
                  <c:v>75.849999999999994</c:v>
                </c:pt>
                <c:pt idx="406">
                  <c:v>73.239999999999995</c:v>
                </c:pt>
                <c:pt idx="407">
                  <c:v>73.569999999999993</c:v>
                </c:pt>
                <c:pt idx="408">
                  <c:v>77.14</c:v>
                </c:pt>
                <c:pt idx="409">
                  <c:v>74.38</c:v>
                </c:pt>
                <c:pt idx="410">
                  <c:v>73.709999999999994</c:v>
                </c:pt>
                <c:pt idx="411">
                  <c:v>70.099999999999994</c:v>
                </c:pt>
                <c:pt idx="412">
                  <c:v>70.41</c:v>
                </c:pt>
                <c:pt idx="413">
                  <c:v>68.75</c:v>
                </c:pt>
                <c:pt idx="414">
                  <c:v>68.72</c:v>
                </c:pt>
                <c:pt idx="415">
                  <c:v>67.67</c:v>
                </c:pt>
                <c:pt idx="416">
                  <c:v>69.69</c:v>
                </c:pt>
                <c:pt idx="417">
                  <c:v>72.34</c:v>
                </c:pt>
                <c:pt idx="418">
                  <c:v>71.33</c:v>
                </c:pt>
                <c:pt idx="419">
                  <c:v>72.72</c:v>
                </c:pt>
                <c:pt idx="420">
                  <c:v>71.95</c:v>
                </c:pt>
                <c:pt idx="421">
                  <c:v>70.91</c:v>
                </c:pt>
                <c:pt idx="422">
                  <c:v>72.16</c:v>
                </c:pt>
                <c:pt idx="423">
                  <c:v>71.099999999999994</c:v>
                </c:pt>
                <c:pt idx="424">
                  <c:v>69.59</c:v>
                </c:pt>
                <c:pt idx="425">
                  <c:v>68.97</c:v>
                </c:pt>
                <c:pt idx="426">
                  <c:v>67.31</c:v>
                </c:pt>
                <c:pt idx="427">
                  <c:v>66.73</c:v>
                </c:pt>
                <c:pt idx="428">
                  <c:v>69.650000000000006</c:v>
                </c:pt>
                <c:pt idx="429">
                  <c:v>68.58</c:v>
                </c:pt>
                <c:pt idx="430">
                  <c:v>69.150000000000006</c:v>
                </c:pt>
                <c:pt idx="431">
                  <c:v>69.2</c:v>
                </c:pt>
                <c:pt idx="432">
                  <c:v>71.28</c:v>
                </c:pt>
                <c:pt idx="433">
                  <c:v>#N/A</c:v>
                </c:pt>
                <c:pt idx="434">
                  <c:v>74.52</c:v>
                </c:pt>
                <c:pt idx="435">
                  <c:v>75.91</c:v>
                </c:pt>
                <c:pt idx="436">
                  <c:v>74.52</c:v>
                </c:pt>
                <c:pt idx="437">
                  <c:v>76.5</c:v>
                </c:pt>
                <c:pt idx="438">
                  <c:v>78.400000000000006</c:v>
                </c:pt>
                <c:pt idx="439">
                  <c:v>75.819999999999993</c:v>
                </c:pt>
                <c:pt idx="440">
                  <c:v>73.010000000000005</c:v>
                </c:pt>
                <c:pt idx="441">
                  <c:v>71.930000000000007</c:v>
                </c:pt>
                <c:pt idx="442">
                  <c:v>75.27</c:v>
                </c:pt>
                <c:pt idx="443">
                  <c:v>75.819999999999993</c:v>
                </c:pt>
                <c:pt idx="444">
                  <c:v>78.05</c:v>
                </c:pt>
                <c:pt idx="445">
                  <c:v>78.16</c:v>
                </c:pt>
                <c:pt idx="446">
                  <c:v>76.98</c:v>
                </c:pt>
                <c:pt idx="447">
                  <c:v>79.81</c:v>
                </c:pt>
                <c:pt idx="448">
                  <c:v>81.45</c:v>
                </c:pt>
                <c:pt idx="449">
                  <c:v>78.28</c:v>
                </c:pt>
                <c:pt idx="450">
                  <c:v>76.19</c:v>
                </c:pt>
                <c:pt idx="451">
                  <c:v>75.23</c:v>
                </c:pt>
                <c:pt idx="452">
                  <c:v>74.599999999999994</c:v>
                </c:pt>
                <c:pt idx="453">
                  <c:v>74.459999999999994</c:v>
                </c:pt>
                <c:pt idx="454">
                  <c:v>74.989999999999995</c:v>
                </c:pt>
                <c:pt idx="455">
                  <c:v>76.31</c:v>
                </c:pt>
                <c:pt idx="456">
                  <c:v>77.91</c:v>
                </c:pt>
                <c:pt idx="457">
                  <c:v>76.17</c:v>
                </c:pt>
                <c:pt idx="458">
                  <c:v>77.27</c:v>
                </c:pt>
                <c:pt idx="459">
                  <c:v>78.58</c:v>
                </c:pt>
                <c:pt idx="460">
                  <c:v>78.28</c:v>
                </c:pt>
                <c:pt idx="461">
                  <c:v>77.59</c:v>
                </c:pt>
                <c:pt idx="462">
                  <c:v>78.239999999999995</c:v>
                </c:pt>
                <c:pt idx="463">
                  <c:v>81.25</c:v>
                </c:pt>
                <c:pt idx="464">
                  <c:v>81.430000000000007</c:v>
                </c:pt>
                <c:pt idx="465">
                  <c:v>82.82</c:v>
                </c:pt>
                <c:pt idx="466">
                  <c:v>82.85</c:v>
                </c:pt>
                <c:pt idx="467">
                  <c:v>81.92</c:v>
                </c:pt>
                <c:pt idx="468">
                  <c:v>83.22</c:v>
                </c:pt>
                <c:pt idx="469">
                  <c:v>83.49</c:v>
                </c:pt>
                <c:pt idx="470">
                  <c:v>82.62</c:v>
                </c:pt>
                <c:pt idx="471">
                  <c:v>82.1</c:v>
                </c:pt>
                <c:pt idx="472">
                  <c:v>82.78</c:v>
                </c:pt>
                <c:pt idx="473">
                  <c:v>83.63</c:v>
                </c:pt>
                <c:pt idx="474">
                  <c:v>84.44</c:v>
                </c:pt>
                <c:pt idx="475">
                  <c:v>#N/A</c:v>
                </c:pt>
                <c:pt idx="476">
                  <c:v>83.88</c:v>
                </c:pt>
                <c:pt idx="477">
                  <c:v>84.09</c:v>
                </c:pt>
                <c:pt idx="478">
                  <c:v>84.7</c:v>
                </c:pt>
                <c:pt idx="479">
                  <c:v>82.83</c:v>
                </c:pt>
                <c:pt idx="480">
                  <c:v>81.739999999999995</c:v>
                </c:pt>
                <c:pt idx="481">
                  <c:v>80.900000000000006</c:v>
                </c:pt>
                <c:pt idx="482">
                  <c:v>80.83</c:v>
                </c:pt>
                <c:pt idx="483">
                  <c:v>81.63</c:v>
                </c:pt>
                <c:pt idx="484">
                  <c:v>80.73</c:v>
                </c:pt>
                <c:pt idx="485">
                  <c:v>82.17</c:v>
                </c:pt>
                <c:pt idx="486">
                  <c:v>#N/A</c:v>
                </c:pt>
                <c:pt idx="487">
                  <c:v>81.569999999999993</c:v>
                </c:pt>
                <c:pt idx="488">
                  <c:v>80.33</c:v>
                </c:pt>
                <c:pt idx="489">
                  <c:v>78.45</c:v>
                </c:pt>
                <c:pt idx="490">
                  <c:v>78.62</c:v>
                </c:pt>
                <c:pt idx="491">
                  <c:v>78.5</c:v>
                </c:pt>
                <c:pt idx="492">
                  <c:v>77.900000000000006</c:v>
                </c:pt>
                <c:pt idx="493">
                  <c:v>77.739999999999995</c:v>
                </c:pt>
                <c:pt idx="494">
                  <c:v>75.53</c:v>
                </c:pt>
                <c:pt idx="495">
                  <c:v>75.55</c:v>
                </c:pt>
                <c:pt idx="496">
                  <c:v>74.069999999999993</c:v>
                </c:pt>
                <c:pt idx="497">
                  <c:v>73.25</c:v>
                </c:pt>
                <c:pt idx="498">
                  <c:v>74.22</c:v>
                </c:pt>
                <c:pt idx="499">
                  <c:v>76.989999999999995</c:v>
                </c:pt>
                <c:pt idx="500">
                  <c:v>77.91</c:v>
                </c:pt>
                <c:pt idx="501">
                  <c:v>79.23</c:v>
                </c:pt>
                <c:pt idx="502">
                  <c:v>80.900000000000006</c:v>
                </c:pt>
                <c:pt idx="503">
                  <c:v>#N/A</c:v>
                </c:pt>
                <c:pt idx="504">
                  <c:v>78.48</c:v>
                </c:pt>
                <c:pt idx="505">
                  <c:v>76.87</c:v>
                </c:pt>
                <c:pt idx="506">
                  <c:v>77.569999999999993</c:v>
                </c:pt>
                <c:pt idx="507">
                  <c:v>80.66</c:v>
                </c:pt>
                <c:pt idx="508">
                  <c:v>81.39</c:v>
                </c:pt>
                <c:pt idx="509">
                  <c:v>81.66</c:v>
                </c:pt>
                <c:pt idx="510">
                  <c:v>79.23</c:v>
                </c:pt>
                <c:pt idx="511">
                  <c:v>78.63</c:v>
                </c:pt>
                <c:pt idx="512">
                  <c:v>79.62</c:v>
                </c:pt>
                <c:pt idx="513">
                  <c:v>80.709999999999994</c:v>
                </c:pt>
                <c:pt idx="514">
                  <c:v>79.81</c:v>
                </c:pt>
                <c:pt idx="515">
                  <c:v>79.260000000000005</c:v>
                </c:pt>
                <c:pt idx="516">
                  <c:v>78.989999999999995</c:v>
                </c:pt>
                <c:pt idx="517">
                  <c:v>79.97</c:v>
                </c:pt>
                <c:pt idx="518">
                  <c:v>80.099999999999994</c:v>
                </c:pt>
                <c:pt idx="519">
                  <c:v>79.650000000000006</c:v>
                </c:pt>
                <c:pt idx="520">
                  <c:v>78.95</c:v>
                </c:pt>
                <c:pt idx="521">
                  <c:v>79</c:v>
                </c:pt>
                <c:pt idx="522">
                  <c:v>83.49</c:v>
                </c:pt>
                <c:pt idx="523">
                  <c:v>84.26</c:v>
                </c:pt>
                <c:pt idx="524">
                  <c:v>85.38</c:v>
                </c:pt>
                <c:pt idx="525">
                  <c:v>83.57</c:v>
                </c:pt>
                <c:pt idx="526">
                  <c:v>82.81</c:v>
                </c:pt>
                <c:pt idx="527">
                  <c:v>84.17</c:v>
                </c:pt>
                <c:pt idx="528">
                  <c:v>83.82</c:v>
                </c:pt>
                <c:pt idx="529">
                  <c:v>83.79</c:v>
                </c:pt>
                <c:pt idx="530">
                  <c:v>82.73</c:v>
                </c:pt>
                <c:pt idx="531">
                  <c:v>82.69</c:v>
                </c:pt>
                <c:pt idx="532">
                  <c:v>86.15</c:v>
                </c:pt>
                <c:pt idx="533">
                  <c:v>86.21</c:v>
                </c:pt>
                <c:pt idx="534">
                  <c:v>86.46</c:v>
                </c:pt>
                <c:pt idx="535">
                  <c:v>85.02</c:v>
                </c:pt>
                <c:pt idx="536">
                  <c:v>86.21</c:v>
                </c:pt>
                <c:pt idx="537">
                  <c:v>86.04</c:v>
                </c:pt>
                <c:pt idx="538">
                  <c:v>87.24</c:v>
                </c:pt>
                <c:pt idx="539">
                  <c:v>87.69</c:v>
                </c:pt>
                <c:pt idx="540">
                  <c:v>86.59</c:v>
                </c:pt>
                <c:pt idx="541">
                  <c:v>85.43</c:v>
                </c:pt>
                <c:pt idx="542">
                  <c:v>85.95</c:v>
                </c:pt>
                <c:pt idx="543">
                  <c:v>84.54</c:v>
                </c:pt>
                <c:pt idx="544">
                  <c:v>#N/A</c:v>
                </c:pt>
                <c:pt idx="545">
                  <c:v>83.17</c:v>
                </c:pt>
                <c:pt idx="546">
                  <c:v>81.349999999999994</c:v>
                </c:pt>
                <c:pt idx="547">
                  <c:v>82.41</c:v>
                </c:pt>
                <c:pt idx="548">
                  <c:v>82.41</c:v>
                </c:pt>
                <c:pt idx="549">
                  <c:v>81.099999999999994</c:v>
                </c:pt>
                <c:pt idx="550">
                  <c:v>81.069999999999993</c:v>
                </c:pt>
                <c:pt idx="551">
                  <c:v>81.680000000000007</c:v>
                </c:pt>
                <c:pt idx="552">
                  <c:v>84.39</c:v>
                </c:pt>
                <c:pt idx="553">
                  <c:v>83.68</c:v>
                </c:pt>
                <c:pt idx="554">
                  <c:v>81.94</c:v>
                </c:pt>
                <c:pt idx="555">
                  <c:v>81.260000000000005</c:v>
                </c:pt>
                <c:pt idx="556">
                  <c:v>79.72</c:v>
                </c:pt>
                <c:pt idx="557">
                  <c:v>78.510000000000005</c:v>
                </c:pt>
                <c:pt idx="558">
                  <c:v>78.87</c:v>
                </c:pt>
                <c:pt idx="559">
                  <c:v>78.959999999999994</c:v>
                </c:pt>
                <c:pt idx="560">
                  <c:v>78.930000000000007</c:v>
                </c:pt>
                <c:pt idx="561">
                  <c:v>79.13</c:v>
                </c:pt>
                <c:pt idx="562">
                  <c:v>79.11</c:v>
                </c:pt>
                <c:pt idx="563">
                  <c:v>79.67</c:v>
                </c:pt>
                <c:pt idx="564">
                  <c:v>80.900000000000006</c:v>
                </c:pt>
                <c:pt idx="565">
                  <c:v>78.260000000000005</c:v>
                </c:pt>
                <c:pt idx="566">
                  <c:v>78.540000000000006</c:v>
                </c:pt>
                <c:pt idx="567">
                  <c:v>79.8</c:v>
                </c:pt>
                <c:pt idx="568">
                  <c:v>78.53</c:v>
                </c:pt>
                <c:pt idx="569">
                  <c:v>77.599999999999994</c:v>
                </c:pt>
                <c:pt idx="570">
                  <c:v>78.61</c:v>
                </c:pt>
                <c:pt idx="571">
                  <c:v>77.91</c:v>
                </c:pt>
                <c:pt idx="572">
                  <c:v>78.72</c:v>
                </c:pt>
                <c:pt idx="573">
                  <c:v>#N/A</c:v>
                </c:pt>
                <c:pt idx="574">
                  <c:v>79.650000000000006</c:v>
                </c:pt>
                <c:pt idx="575">
                  <c:v>78.03</c:v>
                </c:pt>
                <c:pt idx="576">
                  <c:v>76.64</c:v>
                </c:pt>
                <c:pt idx="577">
                  <c:v>78.28</c:v>
                </c:pt>
                <c:pt idx="578">
                  <c:v>77.34</c:v>
                </c:pt>
                <c:pt idx="579">
                  <c:v>77.260000000000005</c:v>
                </c:pt>
                <c:pt idx="580">
                  <c:v>76.22</c:v>
                </c:pt>
                <c:pt idx="581">
                  <c:v>73.86</c:v>
                </c:pt>
                <c:pt idx="582">
                  <c:v>73.83</c:v>
                </c:pt>
                <c:pt idx="583">
                  <c:v>73.209999999999994</c:v>
                </c:pt>
                <c:pt idx="584">
                  <c:v>72.72</c:v>
                </c:pt>
                <c:pt idx="585">
                  <c:v>73.819999999999993</c:v>
                </c:pt>
                <c:pt idx="586">
                  <c:v>75.849999999999994</c:v>
                </c:pt>
                <c:pt idx="587">
                  <c:v>78.3</c:v>
                </c:pt>
                <c:pt idx="588">
                  <c:v>77.25</c:v>
                </c:pt>
                <c:pt idx="589">
                  <c:v>78.45</c:v>
                </c:pt>
                <c:pt idx="590">
                  <c:v>77.36</c:v>
                </c:pt>
                <c:pt idx="591">
                  <c:v>75.09</c:v>
                </c:pt>
                <c:pt idx="592">
                  <c:v>74.72</c:v>
                </c:pt>
                <c:pt idx="593">
                  <c:v>75.260000000000005</c:v>
                </c:pt>
                <c:pt idx="594">
                  <c:v>73.69</c:v>
                </c:pt>
                <c:pt idx="595">
                  <c:v>74.08</c:v>
                </c:pt>
                <c:pt idx="596">
                  <c:v>72.56</c:v>
                </c:pt>
                <c:pt idx="597">
                  <c:v>72.63</c:v>
                </c:pt>
                <c:pt idx="598">
                  <c:v>#N/A</c:v>
                </c:pt>
                <c:pt idx="599">
                  <c:v>72.94</c:v>
                </c:pt>
                <c:pt idx="600">
                  <c:v>72.02</c:v>
                </c:pt>
                <c:pt idx="601">
                  <c:v>71.37</c:v>
                </c:pt>
                <c:pt idx="602">
                  <c:v>72.430000000000007</c:v>
                </c:pt>
                <c:pt idx="603">
                  <c:v>71.06</c:v>
                </c:pt>
                <c:pt idx="604">
                  <c:v>74</c:v>
                </c:pt>
                <c:pt idx="605">
                  <c:v>72.19</c:v>
                </c:pt>
                <c:pt idx="606">
                  <c:v>72.7</c:v>
                </c:pt>
                <c:pt idx="607">
                  <c:v>70.62</c:v>
                </c:pt>
                <c:pt idx="608">
                  <c:v>#N/A</c:v>
                </c:pt>
                <c:pt idx="609">
                  <c:v>71.89</c:v>
                </c:pt>
                <c:pt idx="610">
                  <c:v>71.77</c:v>
                </c:pt>
                <c:pt idx="611">
                  <c:v>74.11</c:v>
                </c:pt>
                <c:pt idx="612">
                  <c:v>75.84</c:v>
                </c:pt>
                <c:pt idx="613">
                  <c:v>#N/A</c:v>
                </c:pt>
                <c:pt idx="614">
                  <c:v>73.290000000000006</c:v>
                </c:pt>
                <c:pt idx="615">
                  <c:v>73.89</c:v>
                </c:pt>
                <c:pt idx="616">
                  <c:v>74.22</c:v>
                </c:pt>
                <c:pt idx="617">
                  <c:v>73.23</c:v>
                </c:pt>
                <c:pt idx="618">
                  <c:v>72.16</c:v>
                </c:pt>
                <c:pt idx="619">
                  <c:v>71.05</c:v>
                </c:pt>
                <c:pt idx="620">
                  <c:v>71.58</c:v>
                </c:pt>
                <c:pt idx="621">
                  <c:v>69.47</c:v>
                </c:pt>
                <c:pt idx="622">
                  <c:v>68.27</c:v>
                </c:pt>
                <c:pt idx="623">
                  <c:v>70.95</c:v>
                </c:pt>
                <c:pt idx="624">
                  <c:v>70.87</c:v>
                </c:pt>
                <c:pt idx="625">
                  <c:v>69.34</c:v>
                </c:pt>
                <c:pt idx="626">
                  <c:v>69.38</c:v>
                </c:pt>
                <c:pt idx="627">
                  <c:v>71.95</c:v>
                </c:pt>
                <c:pt idx="628">
                  <c:v>72.73</c:v>
                </c:pt>
                <c:pt idx="629">
                  <c:v>73.7</c:v>
                </c:pt>
                <c:pt idx="630">
                  <c:v>75.959999999999994</c:v>
                </c:pt>
                <c:pt idx="631">
                  <c:v>77.86</c:v>
                </c:pt>
                <c:pt idx="632">
                  <c:v>76.09</c:v>
                </c:pt>
                <c:pt idx="633">
                  <c:v>74.459999999999994</c:v>
                </c:pt>
                <c:pt idx="634">
                  <c:v>74.83</c:v>
                </c:pt>
                <c:pt idx="635">
                  <c:v>#N/A</c:v>
                </c:pt>
                <c:pt idx="636">
                  <c:v>77.099999999999994</c:v>
                </c:pt>
                <c:pt idx="637">
                  <c:v>78.349999999999994</c:v>
                </c:pt>
                <c:pt idx="638">
                  <c:v>78.099999999999994</c:v>
                </c:pt>
                <c:pt idx="639">
                  <c:v>76.47</c:v>
                </c:pt>
                <c:pt idx="640">
                  <c:v>72.900000000000006</c:v>
                </c:pt>
                <c:pt idx="641">
                  <c:v>76.66</c:v>
                </c:pt>
                <c:pt idx="642">
                  <c:v>78.900000000000006</c:v>
                </c:pt>
                <c:pt idx="643">
                  <c:v>78.86</c:v>
                </c:pt>
                <c:pt idx="644">
                  <c:v>#N/A</c:v>
                </c:pt>
                <c:pt idx="645">
                  <c:v>75.739999999999995</c:v>
                </c:pt>
                <c:pt idx="646">
                  <c:v>75.33</c:v>
                </c:pt>
                <c:pt idx="647">
                  <c:v>77.37</c:v>
                </c:pt>
                <c:pt idx="648">
                  <c:v>80.819999999999993</c:v>
                </c:pt>
                <c:pt idx="649">
                  <c:v>80.510000000000005</c:v>
                </c:pt>
                <c:pt idx="650">
                  <c:v>82.46</c:v>
                </c:pt>
                <c:pt idx="651">
                  <c:v>80.44</c:v>
                </c:pt>
                <c:pt idx="652">
                  <c:v>81.64</c:v>
                </c:pt>
                <c:pt idx="653">
                  <c:v>83.03</c:v>
                </c:pt>
                <c:pt idx="654">
                  <c:v>86.04</c:v>
                </c:pt>
                <c:pt idx="655">
                  <c:v>83.21</c:v>
                </c:pt>
                <c:pt idx="656">
                  <c:v>85.39</c:v>
                </c:pt>
                <c:pt idx="657">
                  <c:v>84.58</c:v>
                </c:pt>
                <c:pt idx="658">
                  <c:v>85.49</c:v>
                </c:pt>
                <c:pt idx="659">
                  <c:v>89.12</c:v>
                </c:pt>
                <c:pt idx="660">
                  <c:v>89.37</c:v>
                </c:pt>
                <c:pt idx="661">
                  <c:v>88.32</c:v>
                </c:pt>
                <c:pt idx="662">
                  <c:v>86.66</c:v>
                </c:pt>
                <c:pt idx="663">
                  <c:v>86.65</c:v>
                </c:pt>
                <c:pt idx="664">
                  <c:v>87.67</c:v>
                </c:pt>
                <c:pt idx="665">
                  <c:v>82.91</c:v>
                </c:pt>
                <c:pt idx="666">
                  <c:v>83.49</c:v>
                </c:pt>
                <c:pt idx="667">
                  <c:v>85.89</c:v>
                </c:pt>
                <c:pt idx="668">
                  <c:v>86.38</c:v>
                </c:pt>
                <c:pt idx="669">
                  <c:v>82.83</c:v>
                </c:pt>
                <c:pt idx="670">
                  <c:v>82.31</c:v>
                </c:pt>
                <c:pt idx="671">
                  <c:v>84.22</c:v>
                </c:pt>
                <c:pt idx="672">
                  <c:v>89.26</c:v>
                </c:pt>
                <c:pt idx="673">
                  <c:v>88.81</c:v>
                </c:pt>
                <c:pt idx="674">
                  <c:v>90.77</c:v>
                </c:pt>
                <c:pt idx="675">
                  <c:v>91.71</c:v>
                </c:pt>
                <c:pt idx="676">
                  <c:v>93.68</c:v>
                </c:pt>
                <c:pt idx="677">
                  <c:v>91.43</c:v>
                </c:pt>
                <c:pt idx="678">
                  <c:v>89.68</c:v>
                </c:pt>
                <c:pt idx="679">
                  <c:v>90</c:v>
                </c:pt>
                <c:pt idx="680">
                  <c:v>89.63</c:v>
                </c:pt>
                <c:pt idx="681">
                  <c:v>90.28</c:v>
                </c:pt>
                <c:pt idx="682">
                  <c:v>91.16</c:v>
                </c:pt>
                <c:pt idx="683">
                  <c:v>91.47</c:v>
                </c:pt>
                <c:pt idx="684">
                  <c:v>90.83</c:v>
                </c:pt>
                <c:pt idx="685">
                  <c:v>90.16</c:v>
                </c:pt>
                <c:pt idx="686">
                  <c:v>88.52</c:v>
                </c:pt>
                <c:pt idx="687">
                  <c:v>88.87</c:v>
                </c:pt>
                <c:pt idx="688">
                  <c:v>87.3</c:v>
                </c:pt>
                <c:pt idx="689">
                  <c:v>87.51</c:v>
                </c:pt>
                <c:pt idx="690">
                  <c:v>86.87</c:v>
                </c:pt>
                <c:pt idx="691">
                  <c:v>87.54</c:v>
                </c:pt>
                <c:pt idx="692">
                  <c:v>86.74</c:v>
                </c:pt>
                <c:pt idx="693">
                  <c:v>#N/A</c:v>
                </c:pt>
                <c:pt idx="694">
                  <c:v>85.52</c:v>
                </c:pt>
                <c:pt idx="695">
                  <c:v>83.63</c:v>
                </c:pt>
                <c:pt idx="696">
                  <c:v>81.63</c:v>
                </c:pt>
                <c:pt idx="697">
                  <c:v>81.14</c:v>
                </c:pt>
                <c:pt idx="698">
                  <c:v>80.650000000000006</c:v>
                </c:pt>
                <c:pt idx="699">
                  <c:v>80.47</c:v>
                </c:pt>
                <c:pt idx="700">
                  <c:v>79.05</c:v>
                </c:pt>
                <c:pt idx="701">
                  <c:v>78.89</c:v>
                </c:pt>
                <c:pt idx="702">
                  <c:v>80.25</c:v>
                </c:pt>
                <c:pt idx="703">
                  <c:v>80.709999999999994</c:v>
                </c:pt>
                <c:pt idx="704">
                  <c:v>81.25</c:v>
                </c:pt>
                <c:pt idx="705">
                  <c:v>80.39</c:v>
                </c:pt>
                <c:pt idx="706">
                  <c:v>79.38</c:v>
                </c:pt>
                <c:pt idx="707">
                  <c:v>81.06</c:v>
                </c:pt>
                <c:pt idx="708">
                  <c:v>82.5</c:v>
                </c:pt>
                <c:pt idx="709">
                  <c:v>83.17</c:v>
                </c:pt>
                <c:pt idx="710">
                  <c:v>82.82</c:v>
                </c:pt>
                <c:pt idx="711">
                  <c:v>84.4</c:v>
                </c:pt>
                <c:pt idx="712">
                  <c:v>82.94</c:v>
                </c:pt>
                <c:pt idx="713">
                  <c:v>81.94</c:v>
                </c:pt>
                <c:pt idx="714">
                  <c:v>82.76</c:v>
                </c:pt>
                <c:pt idx="715">
                  <c:v>81.55</c:v>
                </c:pt>
                <c:pt idx="716">
                  <c:v>79.489999999999995</c:v>
                </c:pt>
                <c:pt idx="717">
                  <c:v>81.37</c:v>
                </c:pt>
                <c:pt idx="718">
                  <c:v>81.8</c:v>
                </c:pt>
                <c:pt idx="719">
                  <c:v>80.55</c:v>
                </c:pt>
                <c:pt idx="720">
                  <c:v>80.09</c:v>
                </c:pt>
                <c:pt idx="721">
                  <c:v>78.78</c:v>
                </c:pt>
                <c:pt idx="722">
                  <c:v>79.760000000000005</c:v>
                </c:pt>
                <c:pt idx="723">
                  <c:v>78.81</c:v>
                </c:pt>
                <c:pt idx="724">
                  <c:v>77.06</c:v>
                </c:pt>
                <c:pt idx="725">
                  <c:v>75.63</c:v>
                </c:pt>
                <c:pt idx="726">
                  <c:v>75.349999999999994</c:v>
                </c:pt>
                <c:pt idx="727">
                  <c:v>75.760000000000005</c:v>
                </c:pt>
                <c:pt idx="728">
                  <c:v>74.17</c:v>
                </c:pt>
                <c:pt idx="729">
                  <c:v>75.44</c:v>
                </c:pt>
                <c:pt idx="730">
                  <c:v>76.89</c:v>
                </c:pt>
                <c:pt idx="731">
                  <c:v>75.75</c:v>
                </c:pt>
                <c:pt idx="732">
                  <c:v>74.87</c:v>
                </c:pt>
                <c:pt idx="733">
                  <c:v>73.05</c:v>
                </c:pt>
                <c:pt idx="734">
                  <c:v>73.91</c:v>
                </c:pt>
                <c:pt idx="735">
                  <c:v>71.8</c:v>
                </c:pt>
                <c:pt idx="736">
                  <c:v>71.790000000000006</c:v>
                </c:pt>
                <c:pt idx="737">
                  <c:v>#N/A</c:v>
                </c:pt>
                <c:pt idx="738">
                  <c:v>69.709999999999994</c:v>
                </c:pt>
                <c:pt idx="739">
                  <c:v>70.66</c:v>
                </c:pt>
                <c:pt idx="740">
                  <c:v>69.86</c:v>
                </c:pt>
                <c:pt idx="741">
                  <c:v>69.56</c:v>
                </c:pt>
                <c:pt idx="742">
                  <c:v>67.680000000000007</c:v>
                </c:pt>
                <c:pt idx="743">
                  <c:v>69.09</c:v>
                </c:pt>
                <c:pt idx="744">
                  <c:v>68.91</c:v>
                </c:pt>
                <c:pt idx="745">
                  <c:v>69.510000000000005</c:v>
                </c:pt>
                <c:pt idx="746">
                  <c:v>72.53</c:v>
                </c:pt>
                <c:pt idx="747">
                  <c:v>70.94</c:v>
                </c:pt>
                <c:pt idx="748">
                  <c:v>#N/A</c:v>
                </c:pt>
                <c:pt idx="749">
                  <c:v>71.81</c:v>
                </c:pt>
                <c:pt idx="750">
                  <c:v>70.62</c:v>
                </c:pt>
                <c:pt idx="751">
                  <c:v>68.27</c:v>
                </c:pt>
                <c:pt idx="752">
                  <c:v>69.39</c:v>
                </c:pt>
                <c:pt idx="753">
                  <c:v>67.08</c:v>
                </c:pt>
                <c:pt idx="754">
                  <c:v>70.16</c:v>
                </c:pt>
                <c:pt idx="755">
                  <c:v>71.290000000000006</c:v>
                </c:pt>
                <c:pt idx="756">
                  <c:v>72.53</c:v>
                </c:pt>
                <c:pt idx="757">
                  <c:v>71.709999999999994</c:v>
                </c:pt>
                <c:pt idx="758">
                  <c:v>72.14</c:v>
                </c:pt>
                <c:pt idx="759">
                  <c:v>71.760000000000005</c:v>
                </c:pt>
                <c:pt idx="760">
                  <c:v>70.099999999999994</c:v>
                </c:pt>
                <c:pt idx="761">
                  <c:v>68.09</c:v>
                </c:pt>
                <c:pt idx="762">
                  <c:v>69.45</c:v>
                </c:pt>
                <c:pt idx="763">
                  <c:v>#N/A</c:v>
                </c:pt>
                <c:pt idx="764">
                  <c:v>72.349999999999994</c:v>
                </c:pt>
                <c:pt idx="765">
                  <c:v>71.83</c:v>
                </c:pt>
                <c:pt idx="766">
                  <c:v>74.34</c:v>
                </c:pt>
                <c:pt idx="767">
                  <c:v>72.87</c:v>
                </c:pt>
                <c:pt idx="768">
                  <c:v>71.81</c:v>
                </c:pt>
                <c:pt idx="769">
                  <c:v>71.569999999999993</c:v>
                </c:pt>
                <c:pt idx="770">
                  <c:v>71.86</c:v>
                </c:pt>
                <c:pt idx="771">
                  <c:v>72.83</c:v>
                </c:pt>
                <c:pt idx="772">
                  <c:v>70.849999999999994</c:v>
                </c:pt>
                <c:pt idx="773">
                  <c:v>71.069999999999993</c:v>
                </c:pt>
                <c:pt idx="774">
                  <c:v>70.02</c:v>
                </c:pt>
                <c:pt idx="775">
                  <c:v>70.87</c:v>
                </c:pt>
                <c:pt idx="776">
                  <c:v>72.56</c:v>
                </c:pt>
                <c:pt idx="777">
                  <c:v>73.680000000000007</c:v>
                </c:pt>
                <c:pt idx="778">
                  <c:v>73.13</c:v>
                </c:pt>
                <c:pt idx="779">
                  <c:v>71.319999999999993</c:v>
                </c:pt>
                <c:pt idx="780">
                  <c:v>68.56</c:v>
                </c:pt>
                <c:pt idx="781">
                  <c:v>68.599999999999994</c:v>
                </c:pt>
                <c:pt idx="782">
                  <c:v>71.709999999999994</c:v>
                </c:pt>
                <c:pt idx="783">
                  <c:v>75.650000000000006</c:v>
                </c:pt>
                <c:pt idx="784">
                  <c:v>76.78</c:v>
                </c:pt>
                <c:pt idx="785">
                  <c:v>74.760000000000005</c:v>
                </c:pt>
                <c:pt idx="786">
                  <c:v>74.3</c:v>
                </c:pt>
                <c:pt idx="787">
                  <c:v>77.05</c:v>
                </c:pt>
                <c:pt idx="788">
                  <c:v>78.64</c:v>
                </c:pt>
                <c:pt idx="789">
                  <c:v>77.86</c:v>
                </c:pt>
                <c:pt idx="790">
                  <c:v>77.290000000000006</c:v>
                </c:pt>
                <c:pt idx="791">
                  <c:v>79.16</c:v>
                </c:pt>
                <c:pt idx="792">
                  <c:v>80.849999999999994</c:v>
                </c:pt>
                <c:pt idx="793">
                  <c:v>80.930000000000007</c:v>
                </c:pt>
                <c:pt idx="794">
                  <c:v>82.58</c:v>
                </c:pt>
                <c:pt idx="795">
                  <c:v>82.16</c:v>
                </c:pt>
                <c:pt idx="796">
                  <c:v>83.26</c:v>
                </c:pt>
                <c:pt idx="797">
                  <c:v>81.540000000000006</c:v>
                </c:pt>
                <c:pt idx="798">
                  <c:v>79.790000000000006</c:v>
                </c:pt>
                <c:pt idx="799">
                  <c:v>#N/A</c:v>
                </c:pt>
                <c:pt idx="800">
                  <c:v>80.7</c:v>
                </c:pt>
                <c:pt idx="801">
                  <c:v>80.61</c:v>
                </c:pt>
                <c:pt idx="802">
                  <c:v>80.7</c:v>
                </c:pt>
                <c:pt idx="803">
                  <c:v>80.400000000000006</c:v>
                </c:pt>
                <c:pt idx="804">
                  <c:v>75.680000000000007</c:v>
                </c:pt>
                <c:pt idx="805">
                  <c:v>74.37</c:v>
                </c:pt>
                <c:pt idx="806">
                  <c:v>72.97</c:v>
                </c:pt>
                <c:pt idx="807">
                  <c:v>73.12</c:v>
                </c:pt>
                <c:pt idx="808">
                  <c:v>72.87</c:v>
                </c:pt>
                <c:pt idx="809">
                  <c:v>69.22</c:v>
                </c:pt>
                <c:pt idx="810">
                  <c:v>69.959999999999994</c:v>
                </c:pt>
                <c:pt idx="811">
                  <c:v>70.900000000000006</c:v>
                </c:pt>
                <c:pt idx="812">
                  <c:v>69.400000000000006</c:v>
                </c:pt>
                <c:pt idx="813">
                  <c:v>67.56</c:v>
                </c:pt>
                <c:pt idx="814">
                  <c:v>66.61</c:v>
                </c:pt>
                <c:pt idx="815">
                  <c:v>68.349999999999994</c:v>
                </c:pt>
                <c:pt idx="816">
                  <c:v>67.61</c:v>
                </c:pt>
                <c:pt idx="817">
                  <c:v>71.180000000000007</c:v>
                </c:pt>
                <c:pt idx="818">
                  <c:v>74.680000000000007</c:v>
                </c:pt>
                <c:pt idx="819">
                  <c:v>76.55</c:v>
                </c:pt>
                <c:pt idx="820">
                  <c:v>75.72</c:v>
                </c:pt>
                <c:pt idx="821">
                  <c:v>76.66</c:v>
                </c:pt>
                <c:pt idx="822">
                  <c:v>77.45</c:v>
                </c:pt>
                <c:pt idx="823">
                  <c:v>80.39</c:v>
                </c:pt>
                <c:pt idx="824">
                  <c:v>79.62</c:v>
                </c:pt>
                <c:pt idx="825">
                  <c:v>78.16</c:v>
                </c:pt>
                <c:pt idx="826">
                  <c:v>77.69</c:v>
                </c:pt>
                <c:pt idx="827">
                  <c:v>76.88</c:v>
                </c:pt>
                <c:pt idx="828">
                  <c:v>75.569999999999993</c:v>
                </c:pt>
                <c:pt idx="829">
                  <c:v>76.19</c:v>
                </c:pt>
                <c:pt idx="830">
                  <c:v>75.39</c:v>
                </c:pt>
                <c:pt idx="831">
                  <c:v>73.95</c:v>
                </c:pt>
                <c:pt idx="832">
                  <c:v>76.28</c:v>
                </c:pt>
                <c:pt idx="833">
                  <c:v>#N/A</c:v>
                </c:pt>
                <c:pt idx="834">
                  <c:v>76.31</c:v>
                </c:pt>
                <c:pt idx="835">
                  <c:v>78.489999999999995</c:v>
                </c:pt>
                <c:pt idx="836">
                  <c:v>78.59</c:v>
                </c:pt>
                <c:pt idx="837">
                  <c:v>79.08</c:v>
                </c:pt>
                <c:pt idx="838">
                  <c:v>80.14</c:v>
                </c:pt>
                <c:pt idx="839">
                  <c:v>79.739999999999995</c:v>
                </c:pt>
                <c:pt idx="840">
                  <c:v>78.06</c:v>
                </c:pt>
                <c:pt idx="841">
                  <c:v>78.47</c:v>
                </c:pt>
                <c:pt idx="842">
                  <c:v>77.17</c:v>
                </c:pt>
                <c:pt idx="843">
                  <c:v>74.11</c:v>
                </c:pt>
                <c:pt idx="844">
                  <c:v>73.400000000000006</c:v>
                </c:pt>
                <c:pt idx="845">
                  <c:v>75.88</c:v>
                </c:pt>
                <c:pt idx="846">
                  <c:v>76.41</c:v>
                </c:pt>
                <c:pt idx="847">
                  <c:v>78.95</c:v>
                </c:pt>
                <c:pt idx="848">
                  <c:v>77.97</c:v>
                </c:pt>
                <c:pt idx="849">
                  <c:v>79.73</c:v>
                </c:pt>
                <c:pt idx="850">
                  <c:v>81.010000000000005</c:v>
                </c:pt>
                <c:pt idx="851">
                  <c:v>80.150000000000006</c:v>
                </c:pt>
                <c:pt idx="852">
                  <c:v>79.86</c:v>
                </c:pt>
                <c:pt idx="853">
                  <c:v>81.62</c:v>
                </c:pt>
                <c:pt idx="854">
                  <c:v>81.27</c:v>
                </c:pt>
                <c:pt idx="855">
                  <c:v>80.33</c:v>
                </c:pt>
                <c:pt idx="856">
                  <c:v>79.48</c:v>
                </c:pt>
                <c:pt idx="857">
                  <c:v>80.25</c:v>
                </c:pt>
                <c:pt idx="858">
                  <c:v>#N/A</c:v>
                </c:pt>
                <c:pt idx="859">
                  <c:v>79.900000000000006</c:v>
                </c:pt>
                <c:pt idx="860">
                  <c:v>78.39</c:v>
                </c:pt>
                <c:pt idx="861">
                  <c:v>77.41</c:v>
                </c:pt>
                <c:pt idx="862">
                  <c:v>75.11</c:v>
                </c:pt>
                <c:pt idx="863">
                  <c:v>74.69</c:v>
                </c:pt>
                <c:pt idx="864">
                  <c:v>73.77</c:v>
                </c:pt>
                <c:pt idx="865">
                  <c:v>73.67</c:v>
                </c:pt>
                <c:pt idx="866">
                  <c:v>72.84</c:v>
                </c:pt>
                <c:pt idx="867">
                  <c:v>76.87</c:v>
                </c:pt>
                <c:pt idx="868">
                  <c:v>#N/A</c:v>
                </c:pt>
                <c:pt idx="869">
                  <c:v>80.16</c:v>
                </c:pt>
                <c:pt idx="870">
                  <c:v>78.400000000000006</c:v>
                </c:pt>
                <c:pt idx="871">
                  <c:v>78.959999999999994</c:v>
                </c:pt>
                <c:pt idx="872">
                  <c:v>79.45</c:v>
                </c:pt>
                <c:pt idx="873">
                  <c:v>79.569999999999993</c:v>
                </c:pt>
                <c:pt idx="874">
                  <c:v>79.569999999999993</c:v>
                </c:pt>
                <c:pt idx="875">
                  <c:v>77.489999999999995</c:v>
                </c:pt>
                <c:pt idx="876">
                  <c:v>78.290000000000006</c:v>
                </c:pt>
                <c:pt idx="877">
                  <c:v>75.92</c:v>
                </c:pt>
                <c:pt idx="878">
                  <c:v>75.05</c:v>
                </c:pt>
                <c:pt idx="879">
                  <c:v>74.19</c:v>
                </c:pt>
                <c:pt idx="880">
                  <c:v>76.11</c:v>
                </c:pt>
                <c:pt idx="881">
                  <c:v>77.28</c:v>
                </c:pt>
                <c:pt idx="882">
                  <c:v>75.39</c:v>
                </c:pt>
                <c:pt idx="883">
                  <c:v>72.959999999999994</c:v>
                </c:pt>
                <c:pt idx="884">
                  <c:v>71.05</c:v>
                </c:pt>
                <c:pt idx="885">
                  <c:v>71.459999999999994</c:v>
                </c:pt>
                <c:pt idx="886">
                  <c:v>72.010000000000005</c:v>
                </c:pt>
                <c:pt idx="887">
                  <c:v>74.209999999999994</c:v>
                </c:pt>
                <c:pt idx="888">
                  <c:v>76.83</c:v>
                </c:pt>
                <c:pt idx="889">
                  <c:v>79.86</c:v>
                </c:pt>
                <c:pt idx="890">
                  <c:v>81.22</c:v>
                </c:pt>
                <c:pt idx="891">
                  <c:v>80.55</c:v>
                </c:pt>
                <c:pt idx="892">
                  <c:v>77.959999999999994</c:v>
                </c:pt>
                <c:pt idx="893">
                  <c:v>77.099999999999994</c:v>
                </c:pt>
                <c:pt idx="894">
                  <c:v>76.45</c:v>
                </c:pt>
                <c:pt idx="895">
                  <c:v>#N/A</c:v>
                </c:pt>
                <c:pt idx="896">
                  <c:v>77.94</c:v>
                </c:pt>
                <c:pt idx="897">
                  <c:v>80.83</c:v>
                </c:pt>
                <c:pt idx="898">
                  <c:v>79.739999999999995</c:v>
                </c:pt>
                <c:pt idx="899">
                  <c:v>80.069999999999993</c:v>
                </c:pt>
                <c:pt idx="900">
                  <c:v>81.64</c:v>
                </c:pt>
                <c:pt idx="901">
                  <c:v>85.59</c:v>
                </c:pt>
                <c:pt idx="902">
                  <c:v>86.87</c:v>
                </c:pt>
                <c:pt idx="903">
                  <c:v>85.85</c:v>
                </c:pt>
                <c:pt idx="904">
                  <c:v>89.14</c:v>
                </c:pt>
                <c:pt idx="905">
                  <c:v>86.47</c:v>
                </c:pt>
                <c:pt idx="906">
                  <c:v>85.83</c:v>
                </c:pt>
                <c:pt idx="907">
                  <c:v>88.8</c:v>
                </c:pt>
                <c:pt idx="908">
                  <c:v>91.8</c:v>
                </c:pt>
                <c:pt idx="909">
                  <c:v>92.58</c:v>
                </c:pt>
                <c:pt idx="910">
                  <c:v>88.17</c:v>
                </c:pt>
                <c:pt idx="911">
                  <c:v>90</c:v>
                </c:pt>
                <c:pt idx="912">
                  <c:v>88.36</c:v>
                </c:pt>
                <c:pt idx="913">
                  <c:v>86.54</c:v>
                </c:pt>
                <c:pt idx="914">
                  <c:v>87.85</c:v>
                </c:pt>
                <c:pt idx="915">
                  <c:v>89.08</c:v>
                </c:pt>
                <c:pt idx="916">
                  <c:v>87.91</c:v>
                </c:pt>
                <c:pt idx="917">
                  <c:v>86.93</c:v>
                </c:pt>
                <c:pt idx="918">
                  <c:v>86.12</c:v>
                </c:pt>
                <c:pt idx="919">
                  <c:v>85.47</c:v>
                </c:pt>
                <c:pt idx="920">
                  <c:v>85.98</c:v>
                </c:pt>
                <c:pt idx="921">
                  <c:v>85.55</c:v>
                </c:pt>
                <c:pt idx="922">
                  <c:v>83.29</c:v>
                </c:pt>
                <c:pt idx="923">
                  <c:v>86</c:v>
                </c:pt>
                <c:pt idx="924">
                  <c:v>86.1</c:v>
                </c:pt>
                <c:pt idx="925">
                  <c:v>89.11</c:v>
                </c:pt>
                <c:pt idx="926">
                  <c:v>87.27</c:v>
                </c:pt>
                <c:pt idx="927">
                  <c:v>89.75</c:v>
                </c:pt>
                <c:pt idx="928">
                  <c:v>91.6</c:v>
                </c:pt>
                <c:pt idx="929">
                  <c:v>93.07</c:v>
                </c:pt>
                <c:pt idx="930">
                  <c:v>88.45</c:v>
                </c:pt>
                <c:pt idx="931">
                  <c:v>87.76</c:v>
                </c:pt>
                <c:pt idx="932">
                  <c:v>86.87</c:v>
                </c:pt>
                <c:pt idx="933">
                  <c:v>84.05</c:v>
                </c:pt>
                <c:pt idx="934">
                  <c:v>79.91</c:v>
                </c:pt>
                <c:pt idx="935">
                  <c:v>81.23</c:v>
                </c:pt>
                <c:pt idx="936">
                  <c:v>82.15</c:v>
                </c:pt>
                <c:pt idx="937">
                  <c:v>78.91</c:v>
                </c:pt>
                <c:pt idx="938">
                  <c:v>77.17</c:v>
                </c:pt>
                <c:pt idx="939">
                  <c:v>79.069999999999993</c:v>
                </c:pt>
                <c:pt idx="940">
                  <c:v>83.49</c:v>
                </c:pt>
                <c:pt idx="941">
                  <c:v>82.94</c:v>
                </c:pt>
                <c:pt idx="942">
                  <c:v>84.69</c:v>
                </c:pt>
                <c:pt idx="943">
                  <c:v>86.15</c:v>
                </c:pt>
                <c:pt idx="944">
                  <c:v>85.57</c:v>
                </c:pt>
                <c:pt idx="945">
                  <c:v>85.1</c:v>
                </c:pt>
                <c:pt idx="946">
                  <c:v>88.48</c:v>
                </c:pt>
                <c:pt idx="947">
                  <c:v>87.84</c:v>
                </c:pt>
                <c:pt idx="948">
                  <c:v>88.18</c:v>
                </c:pt>
                <c:pt idx="949">
                  <c:v>87.27</c:v>
                </c:pt>
                <c:pt idx="950">
                  <c:v>83.54</c:v>
                </c:pt>
                <c:pt idx="951">
                  <c:v>81.94</c:v>
                </c:pt>
                <c:pt idx="952">
                  <c:v>87.35</c:v>
                </c:pt>
                <c:pt idx="953">
                  <c:v>#N/A</c:v>
                </c:pt>
                <c:pt idx="954">
                  <c:v>87.29</c:v>
                </c:pt>
                <c:pt idx="955">
                  <c:v>86.61</c:v>
                </c:pt>
                <c:pt idx="956">
                  <c:v>89.55</c:v>
                </c:pt>
                <c:pt idx="957">
                  <c:v>92.08</c:v>
                </c:pt>
                <c:pt idx="958">
                  <c:v>97.4</c:v>
                </c:pt>
                <c:pt idx="959">
                  <c:v>93.63</c:v>
                </c:pt>
                <c:pt idx="960">
                  <c:v>92.52</c:v>
                </c:pt>
                <c:pt idx="961">
                  <c:v>94.89</c:v>
                </c:pt>
                <c:pt idx="962">
                  <c:v>96.46</c:v>
                </c:pt>
                <c:pt idx="963">
                  <c:v>93.42</c:v>
                </c:pt>
                <c:pt idx="964">
                  <c:v>93.55</c:v>
                </c:pt>
                <c:pt idx="965">
                  <c:v>90.5</c:v>
                </c:pt>
                <c:pt idx="966">
                  <c:v>88.11</c:v>
                </c:pt>
                <c:pt idx="967">
                  <c:v>89.23</c:v>
                </c:pt>
                <c:pt idx="968">
                  <c:v>92.24</c:v>
                </c:pt>
                <c:pt idx="969">
                  <c:v>94.86</c:v>
                </c:pt>
                <c:pt idx="970">
                  <c:v>97.02</c:v>
                </c:pt>
                <c:pt idx="971">
                  <c:v>94.68</c:v>
                </c:pt>
                <c:pt idx="972">
                  <c:v>93.18</c:v>
                </c:pt>
                <c:pt idx="973">
                  <c:v>93.52</c:v>
                </c:pt>
                <c:pt idx="974">
                  <c:v>91.77</c:v>
                </c:pt>
                <c:pt idx="975">
                  <c:v>88.54</c:v>
                </c:pt>
                <c:pt idx="976">
                  <c:v>90.66</c:v>
                </c:pt>
                <c:pt idx="977">
                  <c:v>97.14</c:v>
                </c:pt>
                <c:pt idx="978">
                  <c:v>96.59</c:v>
                </c:pt>
                <c:pt idx="979">
                  <c:v>101.31</c:v>
                </c:pt>
                <c:pt idx="980">
                  <c:v>96.42</c:v>
                </c:pt>
                <c:pt idx="981">
                  <c:v>97.26</c:v>
                </c:pt>
                <c:pt idx="982">
                  <c:v>97.74</c:v>
                </c:pt>
                <c:pt idx="983">
                  <c:v>99.83</c:v>
                </c:pt>
                <c:pt idx="984">
                  <c:v>97.71</c:v>
                </c:pt>
                <c:pt idx="985">
                  <c:v>96.35</c:v>
                </c:pt>
                <c:pt idx="986">
                  <c:v>102.26</c:v>
                </c:pt>
                <c:pt idx="987">
                  <c:v>106.12</c:v>
                </c:pt>
                <c:pt idx="988">
                  <c:v>104.48</c:v>
                </c:pt>
                <c:pt idx="989">
                  <c:v>99.59</c:v>
                </c:pt>
                <c:pt idx="990">
                  <c:v>95.78</c:v>
                </c:pt>
                <c:pt idx="991">
                  <c:v>96.3</c:v>
                </c:pt>
                <c:pt idx="992">
                  <c:v>97.69</c:v>
                </c:pt>
                <c:pt idx="993">
                  <c:v>106.09</c:v>
                </c:pt>
                <c:pt idx="994">
                  <c:v>106.78</c:v>
                </c:pt>
                <c:pt idx="995">
                  <c:v>102.73</c:v>
                </c:pt>
                <c:pt idx="996">
                  <c:v>98.53</c:v>
                </c:pt>
                <c:pt idx="997">
                  <c:v>101.55</c:v>
                </c:pt>
                <c:pt idx="998">
                  <c:v>#N/A</c:v>
                </c:pt>
                <c:pt idx="999">
                  <c:v>110.3</c:v>
                </c:pt>
                <c:pt idx="1000">
                  <c:v>105.76</c:v>
                </c:pt>
                <c:pt idx="1001">
                  <c:v>109.78</c:v>
                </c:pt>
                <c:pt idx="1002">
                  <c:v>113.66</c:v>
                </c:pt>
                <c:pt idx="1003">
                  <c:v>111.44</c:v>
                </c:pt>
                <c:pt idx="1004">
                  <c:v>109.07</c:v>
                </c:pt>
                <c:pt idx="1005">
                  <c:v>104.27</c:v>
                </c:pt>
                <c:pt idx="1006">
                  <c:v>106.19</c:v>
                </c:pt>
                <c:pt idx="1007">
                  <c:v>110.65</c:v>
                </c:pt>
                <c:pt idx="1008">
                  <c:v>#N/A</c:v>
                </c:pt>
                <c:pt idx="1009">
                  <c:v>109.56</c:v>
                </c:pt>
                <c:pt idx="1010">
                  <c:v>117.59</c:v>
                </c:pt>
                <c:pt idx="1011">
                  <c:v>115.31</c:v>
                </c:pt>
                <c:pt idx="1012">
                  <c:v>118.92</c:v>
                </c:pt>
                <c:pt idx="1013">
                  <c:v>120.92</c:v>
                </c:pt>
                <c:pt idx="1014">
                  <c:v>120.73</c:v>
                </c:pt>
                <c:pt idx="1015">
                  <c:v>121.51</c:v>
                </c:pt>
                <c:pt idx="1016">
                  <c:v>122.11</c:v>
                </c:pt>
                <c:pt idx="1017">
                  <c:v>119.55</c:v>
                </c:pt>
                <c:pt idx="1018">
                  <c:v>118.41</c:v>
                </c:pt>
                <c:pt idx="1019">
                  <c:v>118.97</c:v>
                </c:pt>
                <c:pt idx="1020">
                  <c:v>116.87</c:v>
                </c:pt>
                <c:pt idx="1021">
                  <c:v>115.26</c:v>
                </c:pt>
                <c:pt idx="1022">
                  <c:v>114.38</c:v>
                </c:pt>
                <c:pt idx="1023">
                  <c:v>#N/A</c:v>
                </c:pt>
                <c:pt idx="1024">
                  <c:v>114.96</c:v>
                </c:pt>
                <c:pt idx="1025">
                  <c:v>114.09</c:v>
                </c:pt>
                <c:pt idx="1026">
                  <c:v>110.33</c:v>
                </c:pt>
                <c:pt idx="1027">
                  <c:v>112.55</c:v>
                </c:pt>
                <c:pt idx="1028">
                  <c:v>110.32</c:v>
                </c:pt>
                <c:pt idx="1029">
                  <c:v>112.63</c:v>
                </c:pt>
                <c:pt idx="1030">
                  <c:v>112.21</c:v>
                </c:pt>
                <c:pt idx="1031">
                  <c:v>109.59</c:v>
                </c:pt>
                <c:pt idx="1032">
                  <c:v>112.31</c:v>
                </c:pt>
                <c:pt idx="1033">
                  <c:v>114.07</c:v>
                </c:pt>
                <c:pt idx="1034">
                  <c:v>110.52</c:v>
                </c:pt>
                <c:pt idx="1035">
                  <c:v>106.13</c:v>
                </c:pt>
                <c:pt idx="1036">
                  <c:v>105.71</c:v>
                </c:pt>
                <c:pt idx="1037">
                  <c:v>99.74</c:v>
                </c:pt>
                <c:pt idx="1038">
                  <c:v>103.08</c:v>
                </c:pt>
                <c:pt idx="1039">
                  <c:v>109.72</c:v>
                </c:pt>
                <c:pt idx="1040">
                  <c:v>108.26</c:v>
                </c:pt>
                <c:pt idx="1041">
                  <c:v>107.81</c:v>
                </c:pt>
                <c:pt idx="1042">
                  <c:v>102.53</c:v>
                </c:pt>
                <c:pt idx="1043">
                  <c:v>105.18</c:v>
                </c:pt>
                <c:pt idx="1044">
                  <c:v>104.59</c:v>
                </c:pt>
                <c:pt idx="1045">
                  <c:v>105.36</c:v>
                </c:pt>
                <c:pt idx="1046">
                  <c:v>102.02</c:v>
                </c:pt>
                <c:pt idx="1047">
                  <c:v>102.62</c:v>
                </c:pt>
                <c:pt idx="1048">
                  <c:v>99.6</c:v>
                </c:pt>
                <c:pt idx="1049">
                  <c:v>102.86</c:v>
                </c:pt>
                <c:pt idx="1050">
                  <c:v>103.79</c:v>
                </c:pt>
                <c:pt idx="1051">
                  <c:v>102.75</c:v>
                </c:pt>
                <c:pt idx="1052">
                  <c:v>102.54</c:v>
                </c:pt>
                <c:pt idx="1053">
                  <c:v>108.24</c:v>
                </c:pt>
                <c:pt idx="1054">
                  <c:v>#N/A</c:v>
                </c:pt>
                <c:pt idx="1055">
                  <c:v>106.95</c:v>
                </c:pt>
                <c:pt idx="1056">
                  <c:v>104.25</c:v>
                </c:pt>
                <c:pt idx="1057">
                  <c:v>100.52</c:v>
                </c:pt>
                <c:pt idx="1058">
                  <c:v>94.22</c:v>
                </c:pt>
                <c:pt idx="1059">
                  <c:v>98.35</c:v>
                </c:pt>
                <c:pt idx="1060">
                  <c:v>96.03</c:v>
                </c:pt>
                <c:pt idx="1061">
                  <c:v>96.23</c:v>
                </c:pt>
                <c:pt idx="1062">
                  <c:v>101.98</c:v>
                </c:pt>
                <c:pt idx="1063">
                  <c:v>103.29</c:v>
                </c:pt>
                <c:pt idx="1064">
                  <c:v>99.32</c:v>
                </c:pt>
                <c:pt idx="1065">
                  <c:v>100.28</c:v>
                </c:pt>
                <c:pt idx="1066">
                  <c:v>107.82</c:v>
                </c:pt>
                <c:pt idx="1067">
                  <c:v>104.25</c:v>
                </c:pt>
                <c:pt idx="1068">
                  <c:v>107.55</c:v>
                </c:pt>
                <c:pt idx="1069">
                  <c:v>116.2</c:v>
                </c:pt>
                <c:pt idx="1070">
                  <c:v>112.34</c:v>
                </c:pt>
                <c:pt idx="1071">
                  <c:v>114.93</c:v>
                </c:pt>
                <c:pt idx="1072">
                  <c:v>111.03</c:v>
                </c:pt>
                <c:pt idx="1073">
                  <c:v>112.14</c:v>
                </c:pt>
                <c:pt idx="1074">
                  <c:v>104.69</c:v>
                </c:pt>
                <c:pt idx="1075">
                  <c:v>102.98</c:v>
                </c:pt>
                <c:pt idx="1076">
                  <c:v>95.04</c:v>
                </c:pt>
                <c:pt idx="1077">
                  <c:v>96.42</c:v>
                </c:pt>
                <c:pt idx="1078">
                  <c:v>103.22</c:v>
                </c:pt>
                <c:pt idx="1079">
                  <c:v>109.31</c:v>
                </c:pt>
                <c:pt idx="1080">
                  <c:v>106.02</c:v>
                </c:pt>
                <c:pt idx="1081">
                  <c:v>108.7</c:v>
                </c:pt>
                <c:pt idx="1082">
                  <c:v>123.64</c:v>
                </c:pt>
                <c:pt idx="1083">
                  <c:v>119.26</c:v>
                </c:pt>
                <c:pt idx="1084">
                  <c:v>115.77</c:v>
                </c:pt>
                <c:pt idx="1085">
                  <c:v>107.67</c:v>
                </c:pt>
                <c:pt idx="1086">
                  <c:v>110.6</c:v>
                </c:pt>
                <c:pt idx="1087">
                  <c:v>103.66</c:v>
                </c:pt>
                <c:pt idx="1088">
                  <c:v>96.13</c:v>
                </c:pt>
                <c:pt idx="1089">
                  <c:v>91.68</c:v>
                </c:pt>
                <c:pt idx="1090">
                  <c:v>92.81</c:v>
                </c:pt>
                <c:pt idx="1091">
                  <c:v>92.1</c:v>
                </c:pt>
                <c:pt idx="1092">
                  <c:v>92.11</c:v>
                </c:pt>
                <c:pt idx="1093">
                  <c:v>#N/A</c:v>
                </c:pt>
                <c:pt idx="1094">
                  <c:v>91.26</c:v>
                </c:pt>
                <c:pt idx="1095">
                  <c:v>91.76</c:v>
                </c:pt>
                <c:pt idx="1096">
                  <c:v>93.66</c:v>
                </c:pt>
                <c:pt idx="1097">
                  <c:v>92.07</c:v>
                </c:pt>
                <c:pt idx="1098">
                  <c:v>95.52</c:v>
                </c:pt>
                <c:pt idx="1099">
                  <c:v>93.1</c:v>
                </c:pt>
                <c:pt idx="1100">
                  <c:v>89.88</c:v>
                </c:pt>
                <c:pt idx="1101">
                  <c:v>89.66</c:v>
                </c:pt>
                <c:pt idx="1102">
                  <c:v>89.32</c:v>
                </c:pt>
                <c:pt idx="1103">
                  <c:v>91.25</c:v>
                </c:pt>
                <c:pt idx="1104">
                  <c:v>92.27</c:v>
                </c:pt>
                <c:pt idx="1105">
                  <c:v>90.27</c:v>
                </c:pt>
                <c:pt idx="1106">
                  <c:v>88.26</c:v>
                </c:pt>
                <c:pt idx="1107">
                  <c:v>88.22</c:v>
                </c:pt>
              </c:numCache>
            </c:numRef>
          </c:val>
          <c:smooth val="0"/>
          <c:extLst>
            <c:ext xmlns:c16="http://schemas.microsoft.com/office/drawing/2014/chart" uri="{C3380CC4-5D6E-409C-BE32-E72D297353CC}">
              <c16:uniqueId val="{00000000-62A5-4FD0-B723-D74EE179E67F}"/>
            </c:ext>
          </c:extLst>
        </c:ser>
        <c:dLbls>
          <c:showLegendKey val="0"/>
          <c:showVal val="0"/>
          <c:showCatName val="0"/>
          <c:showSerName val="0"/>
          <c:showPercent val="0"/>
          <c:showBubbleSize val="0"/>
        </c:dLbls>
        <c:smooth val="0"/>
        <c:axId val="1502923631"/>
        <c:axId val="1502924591"/>
      </c:lineChart>
      <c:dateAx>
        <c:axId val="1502923631"/>
        <c:scaling>
          <c:orientation val="minMax"/>
        </c:scaling>
        <c:delete val="0"/>
        <c:axPos val="b"/>
        <c:numFmt formatCode="yyyy" sourceLinked="0"/>
        <c:majorTickMark val="out"/>
        <c:minorTickMark val="none"/>
        <c:tickLblPos val="low"/>
        <c:spPr>
          <a:noFill/>
          <a:ln w="9525" cap="flat" cmpd="sng" algn="ctr">
            <a:solidFill>
              <a:schemeClr val="bg1">
                <a:lumMod val="65000"/>
              </a:schemeClr>
            </a:solidFill>
            <a:round/>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n-US"/>
          </a:p>
        </c:txPr>
        <c:crossAx val="1502924591"/>
        <c:crosses val="autoZero"/>
        <c:auto val="1"/>
        <c:lblOffset val="100"/>
        <c:baseTimeUnit val="days"/>
        <c:majorUnit val="1"/>
        <c:majorTimeUnit val="years"/>
        <c:minorUnit val="1"/>
        <c:minorTimeUnit val="years"/>
      </c:dateAx>
      <c:valAx>
        <c:axId val="1502924591"/>
        <c:scaling>
          <c:orientation val="minMax"/>
          <c:max val="125"/>
          <c:min val="50"/>
        </c:scaling>
        <c:delete val="0"/>
        <c:axPos val="l"/>
        <c:majorGridlines>
          <c:spPr>
            <a:ln w="9525" cap="flat" cmpd="sng" algn="ctr">
              <a:solidFill>
                <a:sysClr val="window" lastClr="FFFFFF">
                  <a:lumMod val="85000"/>
                </a:sysClr>
              </a:solidFill>
              <a:prstDash val="dash"/>
              <a:round/>
              <a:headEnd type="none" w="med" len="med"/>
              <a:tailEnd type="none" w="med" len="med"/>
            </a:ln>
            <a:effectLst/>
          </c:spPr>
        </c:majorGridlines>
        <c:title>
          <c:tx>
            <c:rich>
              <a:bodyPr rot="-5400000" spcFirstLastPara="1" vertOverflow="ellipsis" vert="horz" wrap="square" anchor="ctr" anchorCtr="1"/>
              <a:lstStyle/>
              <a:p>
                <a:pPr>
                  <a:defRPr sz="900" b="0" i="1" u="none" strike="noStrike" kern="1200" baseline="0">
                    <a:solidFill>
                      <a:schemeClr val="tx1">
                        <a:lumMod val="65000"/>
                        <a:lumOff val="35000"/>
                      </a:schemeClr>
                    </a:solidFill>
                    <a:latin typeface="+mj-lt"/>
                    <a:ea typeface="+mn-ea"/>
                    <a:cs typeface="+mn-cs"/>
                  </a:defRPr>
                </a:pPr>
                <a:r>
                  <a:rPr lang="en-AU" i="1"/>
                  <a:t>US$ per barrel</a:t>
                </a:r>
              </a:p>
            </c:rich>
          </c:tx>
          <c:layout>
            <c:manualLayout>
              <c:xMode val="edge"/>
              <c:yMode val="edge"/>
              <c:x val="1.1217667014579464E-3"/>
              <c:y val="0.3377853642971273"/>
            </c:manualLayout>
          </c:layout>
          <c:overlay val="0"/>
          <c:spPr>
            <a:noFill/>
            <a:ln>
              <a:noFill/>
            </a:ln>
            <a:effectLst/>
          </c:spPr>
          <c:txPr>
            <a:bodyPr rot="-5400000" spcFirstLastPara="1" vertOverflow="ellipsis" vert="horz" wrap="square" anchor="ctr" anchorCtr="1"/>
            <a:lstStyle/>
            <a:p>
              <a:pPr>
                <a:defRPr sz="900" b="0" i="1" u="none" strike="noStrike" kern="1200" baseline="0">
                  <a:solidFill>
                    <a:schemeClr val="tx1">
                      <a:lumMod val="65000"/>
                      <a:lumOff val="35000"/>
                    </a:schemeClr>
                  </a:solidFill>
                  <a:latin typeface="+mj-lt"/>
                  <a:ea typeface="+mn-ea"/>
                  <a:cs typeface="+mn-cs"/>
                </a:defRPr>
              </a:pPr>
              <a:endParaRPr lang="en-US"/>
            </a:p>
          </c:txPr>
        </c:title>
        <c:numFmt formatCode="#,##0" sourceLinked="0"/>
        <c:majorTickMark val="none"/>
        <c:minorTickMark val="none"/>
        <c:tickLblPos val="nextTo"/>
        <c:spPr>
          <a:noFill/>
          <a:ln>
            <a:solidFill>
              <a:schemeClr val="bg1">
                <a:lumMod val="65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n-US"/>
          </a:p>
        </c:txPr>
        <c:crossAx val="1502923631"/>
        <c:crosses val="autoZero"/>
        <c:crossBetween val="midCat"/>
        <c:majorUnit val="25"/>
      </c:valAx>
      <c:spPr>
        <a:noFill/>
        <a:ln>
          <a:noFill/>
        </a:ln>
        <a:effectLst/>
        <a:extLst>
          <a:ext uri="{909E8E84-426E-40DD-AFC4-6F175D3DCCD1}">
            <a14:hiddenFill xmlns:a14="http://schemas.microsoft.com/office/drawing/2010/main">
              <a:noFill/>
            </a14:hiddenFill>
          </a:ext>
        </a:extLst>
      </c:spPr>
    </c:plotArea>
    <c:plotVisOnly val="1"/>
    <c:dispBlanksAs val="span"/>
    <c:showDLblsOverMax val="0"/>
    <c:extLst>
      <c:ext xmlns:c16r3="http://schemas.microsoft.com/office/drawing/2017/03/chart" uri="{56B9EC1D-385E-4148-901F-78D8002777C0}">
        <c16r3:dataDisplayOptions16>
          <c16r3:dispNaAsBlank val="1"/>
        </c16r3:dataDisplayOptions16>
      </c:ext>
    </c:extLst>
  </c:chart>
  <c:spPr>
    <a:noFill/>
    <a:ln w="9525" cap="flat" cmpd="sng" algn="ctr">
      <a:noFill/>
      <a:round/>
    </a:ln>
    <a:effectLst/>
    <a:extLst>
      <a:ext uri="{91240B29-F687-4F45-9708-019B960494DF}">
        <a14:hiddenLine xmlns:a14="http://schemas.microsoft.com/office/drawing/2010/main" w="9525" cap="flat" cmpd="sng" algn="ctr">
          <a:solidFill>
            <a:sysClr val="windowText" lastClr="000000">
              <a:lumMod val="15000"/>
              <a:lumOff val="85000"/>
            </a:sysClr>
          </a:solidFill>
          <a:round/>
        </a14:hiddenLine>
      </a:ext>
    </a:extLst>
  </c:spPr>
  <c:txPr>
    <a:bodyPr/>
    <a:lstStyle/>
    <a:p>
      <a:pPr>
        <a:defRPr sz="900">
          <a:latin typeface="+mj-lt"/>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1" i="0" u="none" strike="noStrike" kern="1200" spc="0" baseline="0">
                <a:solidFill>
                  <a:schemeClr val="tx1">
                    <a:lumMod val="65000"/>
                    <a:lumOff val="35000"/>
                  </a:schemeClr>
                </a:solidFill>
                <a:latin typeface="+mj-lt"/>
                <a:ea typeface="+mn-ea"/>
                <a:cs typeface="+mn-cs"/>
              </a:defRPr>
            </a:pPr>
            <a:r>
              <a:rPr lang="en-AU" sz="900" b="1"/>
              <a:t>Average weekly fuel prices</a:t>
            </a:r>
            <a:r>
              <a:rPr lang="en-AU" sz="900" b="1" baseline="30000"/>
              <a:t>(b)</a:t>
            </a:r>
          </a:p>
        </c:rich>
      </c:tx>
      <c:layout>
        <c:manualLayout>
          <c:xMode val="edge"/>
          <c:yMode val="edge"/>
          <c:x val="0.27541898491630018"/>
          <c:y val="0"/>
        </c:manualLayout>
      </c:layout>
      <c:overlay val="0"/>
      <c:spPr>
        <a:noFill/>
        <a:ln>
          <a:noFill/>
        </a:ln>
        <a:effectLst/>
      </c:spPr>
      <c:txPr>
        <a:bodyPr rot="0" spcFirstLastPara="1" vertOverflow="ellipsis" vert="horz" wrap="square" anchor="ctr" anchorCtr="1"/>
        <a:lstStyle/>
        <a:p>
          <a:pPr>
            <a:defRPr sz="900" b="1" i="0" u="none" strike="noStrike" kern="1200" spc="0" baseline="0">
              <a:solidFill>
                <a:schemeClr val="tx1">
                  <a:lumMod val="65000"/>
                  <a:lumOff val="35000"/>
                </a:schemeClr>
              </a:solidFill>
              <a:latin typeface="+mj-lt"/>
              <a:ea typeface="+mn-ea"/>
              <a:cs typeface="+mn-cs"/>
            </a:defRPr>
          </a:pPr>
          <a:endParaRPr lang="en-US"/>
        </a:p>
      </c:txPr>
    </c:title>
    <c:autoTitleDeleted val="0"/>
    <c:plotArea>
      <c:layout>
        <c:manualLayout>
          <c:layoutTarget val="inner"/>
          <c:xMode val="edge"/>
          <c:yMode val="edge"/>
          <c:x val="0.20159629754818387"/>
          <c:y val="9.685062502637283E-2"/>
          <c:w val="0.71836117097326835"/>
          <c:h val="0.74911464779535153"/>
        </c:manualLayout>
      </c:layout>
      <c:lineChart>
        <c:grouping val="standard"/>
        <c:varyColors val="0"/>
        <c:ser>
          <c:idx val="1"/>
          <c:order val="0"/>
          <c:tx>
            <c:v>Petrol</c:v>
          </c:tx>
          <c:spPr>
            <a:ln w="19050" cap="rnd">
              <a:solidFill>
                <a:schemeClr val="bg2">
                  <a:lumMod val="50000"/>
                </a:schemeClr>
              </a:solidFill>
              <a:round/>
            </a:ln>
            <a:effectLst/>
          </c:spPr>
          <c:marker>
            <c:symbol val="none"/>
          </c:marker>
          <c:cat>
            <c:numRef>
              <c:f>'Chart 2.1.2 data'!$O$9:$O$421</c:f>
              <c:numCache>
                <c:formatCode>General</c:formatCode>
                <c:ptCount val="413"/>
                <c:pt idx="14" formatCode="m/d/yyyy">
                  <c:v>43351</c:v>
                </c:pt>
                <c:pt idx="15" formatCode="m/d/yyyy">
                  <c:v>43358</c:v>
                </c:pt>
                <c:pt idx="16" formatCode="m/d/yyyy">
                  <c:v>43365</c:v>
                </c:pt>
                <c:pt idx="17" formatCode="m/d/yyyy">
                  <c:v>43372</c:v>
                </c:pt>
                <c:pt idx="18" formatCode="m/d/yyyy">
                  <c:v>43379</c:v>
                </c:pt>
                <c:pt idx="19" formatCode="m/d/yyyy">
                  <c:v>43386</c:v>
                </c:pt>
                <c:pt idx="20" formatCode="m/d/yyyy">
                  <c:v>43393</c:v>
                </c:pt>
                <c:pt idx="21" formatCode="m/d/yyyy">
                  <c:v>43400</c:v>
                </c:pt>
                <c:pt idx="22" formatCode="m/d/yyyy">
                  <c:v>43407</c:v>
                </c:pt>
                <c:pt idx="23" formatCode="m/d/yyyy">
                  <c:v>43414</c:v>
                </c:pt>
                <c:pt idx="24" formatCode="m/d/yyyy">
                  <c:v>43421</c:v>
                </c:pt>
                <c:pt idx="25" formatCode="m/d/yyyy">
                  <c:v>43428</c:v>
                </c:pt>
                <c:pt idx="26" formatCode="m/d/yyyy">
                  <c:v>43435</c:v>
                </c:pt>
                <c:pt idx="27" formatCode="m/d/yyyy">
                  <c:v>43442</c:v>
                </c:pt>
                <c:pt idx="28" formatCode="m/d/yyyy">
                  <c:v>43449</c:v>
                </c:pt>
                <c:pt idx="29" formatCode="m/d/yyyy">
                  <c:v>43456</c:v>
                </c:pt>
                <c:pt idx="30" formatCode="m/d/yyyy">
                  <c:v>43463</c:v>
                </c:pt>
                <c:pt idx="31" formatCode="m/d/yyyy">
                  <c:v>43470</c:v>
                </c:pt>
                <c:pt idx="32" formatCode="m/d/yyyy">
                  <c:v>43477</c:v>
                </c:pt>
                <c:pt idx="33" formatCode="m/d/yyyy">
                  <c:v>43484</c:v>
                </c:pt>
                <c:pt idx="34" formatCode="m/d/yyyy">
                  <c:v>43491</c:v>
                </c:pt>
                <c:pt idx="35" formatCode="m/d/yyyy">
                  <c:v>43498</c:v>
                </c:pt>
                <c:pt idx="36" formatCode="m/d/yyyy">
                  <c:v>43505</c:v>
                </c:pt>
                <c:pt idx="37" formatCode="m/d/yyyy">
                  <c:v>43512</c:v>
                </c:pt>
                <c:pt idx="38" formatCode="m/d/yyyy">
                  <c:v>43519</c:v>
                </c:pt>
                <c:pt idx="39" formatCode="m/d/yyyy">
                  <c:v>43526</c:v>
                </c:pt>
                <c:pt idx="40" formatCode="m/d/yyyy">
                  <c:v>43533</c:v>
                </c:pt>
                <c:pt idx="41" formatCode="m/d/yyyy">
                  <c:v>43540</c:v>
                </c:pt>
                <c:pt idx="42" formatCode="m/d/yyyy">
                  <c:v>43547</c:v>
                </c:pt>
                <c:pt idx="43" formatCode="m/d/yyyy">
                  <c:v>43554</c:v>
                </c:pt>
                <c:pt idx="44" formatCode="m/d/yyyy">
                  <c:v>43561</c:v>
                </c:pt>
                <c:pt idx="45" formatCode="m/d/yyyy">
                  <c:v>43568</c:v>
                </c:pt>
                <c:pt idx="46" formatCode="m/d/yyyy">
                  <c:v>43575</c:v>
                </c:pt>
                <c:pt idx="47" formatCode="m/d/yyyy">
                  <c:v>43582</c:v>
                </c:pt>
                <c:pt idx="48" formatCode="m/d/yyyy">
                  <c:v>43589</c:v>
                </c:pt>
                <c:pt idx="49" formatCode="m/d/yyyy">
                  <c:v>43596</c:v>
                </c:pt>
                <c:pt idx="50" formatCode="m/d/yyyy">
                  <c:v>43603</c:v>
                </c:pt>
                <c:pt idx="51" formatCode="m/d/yyyy">
                  <c:v>43610</c:v>
                </c:pt>
                <c:pt idx="52" formatCode="m/d/yyyy">
                  <c:v>43617</c:v>
                </c:pt>
                <c:pt idx="53" formatCode="m/d/yyyy">
                  <c:v>43624</c:v>
                </c:pt>
                <c:pt idx="54" formatCode="m/d/yyyy">
                  <c:v>43631</c:v>
                </c:pt>
                <c:pt idx="55" formatCode="m/d/yyyy">
                  <c:v>43638</c:v>
                </c:pt>
                <c:pt idx="56" formatCode="m/d/yyyy">
                  <c:v>43645</c:v>
                </c:pt>
                <c:pt idx="57" formatCode="m/d/yyyy">
                  <c:v>43652</c:v>
                </c:pt>
                <c:pt idx="58" formatCode="m/d/yyyy">
                  <c:v>43659</c:v>
                </c:pt>
                <c:pt idx="59" formatCode="m/d/yyyy">
                  <c:v>43666</c:v>
                </c:pt>
                <c:pt idx="60" formatCode="m/d/yyyy">
                  <c:v>43673</c:v>
                </c:pt>
                <c:pt idx="61" formatCode="m/d/yyyy">
                  <c:v>43680</c:v>
                </c:pt>
                <c:pt idx="62" formatCode="m/d/yyyy">
                  <c:v>43687</c:v>
                </c:pt>
                <c:pt idx="63" formatCode="m/d/yyyy">
                  <c:v>43694</c:v>
                </c:pt>
                <c:pt idx="64" formatCode="m/d/yyyy">
                  <c:v>43701</c:v>
                </c:pt>
                <c:pt idx="65" formatCode="m/d/yyyy">
                  <c:v>43708</c:v>
                </c:pt>
                <c:pt idx="66" formatCode="m/d/yyyy">
                  <c:v>43715</c:v>
                </c:pt>
                <c:pt idx="67" formatCode="m/d/yyyy">
                  <c:v>43722</c:v>
                </c:pt>
                <c:pt idx="68" formatCode="m/d/yyyy">
                  <c:v>43729</c:v>
                </c:pt>
                <c:pt idx="69" formatCode="m/d/yyyy">
                  <c:v>43736</c:v>
                </c:pt>
                <c:pt idx="70" formatCode="m/d/yyyy">
                  <c:v>43743</c:v>
                </c:pt>
                <c:pt idx="71" formatCode="m/d/yyyy">
                  <c:v>43750</c:v>
                </c:pt>
                <c:pt idx="72" formatCode="m/d/yyyy">
                  <c:v>43757</c:v>
                </c:pt>
                <c:pt idx="73" formatCode="m/d/yyyy">
                  <c:v>43764</c:v>
                </c:pt>
                <c:pt idx="74" formatCode="m/d/yyyy">
                  <c:v>43771</c:v>
                </c:pt>
                <c:pt idx="75" formatCode="m/d/yyyy">
                  <c:v>43778</c:v>
                </c:pt>
                <c:pt idx="76" formatCode="m/d/yyyy">
                  <c:v>43785</c:v>
                </c:pt>
                <c:pt idx="77" formatCode="m/d/yyyy">
                  <c:v>43792</c:v>
                </c:pt>
                <c:pt idx="78" formatCode="m/d/yyyy">
                  <c:v>43799</c:v>
                </c:pt>
                <c:pt idx="79" formatCode="m/d/yyyy">
                  <c:v>43806</c:v>
                </c:pt>
                <c:pt idx="80" formatCode="m/d/yyyy">
                  <c:v>43813</c:v>
                </c:pt>
                <c:pt idx="81" formatCode="m/d/yyyy">
                  <c:v>43820</c:v>
                </c:pt>
                <c:pt idx="82" formatCode="m/d/yyyy">
                  <c:v>43827</c:v>
                </c:pt>
                <c:pt idx="83" formatCode="m/d/yyyy">
                  <c:v>43834</c:v>
                </c:pt>
                <c:pt idx="84" formatCode="m/d/yyyy">
                  <c:v>43841</c:v>
                </c:pt>
                <c:pt idx="85" formatCode="m/d/yyyy">
                  <c:v>43848</c:v>
                </c:pt>
                <c:pt idx="86" formatCode="m/d/yyyy">
                  <c:v>43855</c:v>
                </c:pt>
                <c:pt idx="87" formatCode="m/d/yyyy">
                  <c:v>43862</c:v>
                </c:pt>
                <c:pt idx="88" formatCode="m/d/yyyy">
                  <c:v>43869</c:v>
                </c:pt>
                <c:pt idx="89" formatCode="m/d/yyyy">
                  <c:v>43876</c:v>
                </c:pt>
                <c:pt idx="90" formatCode="m/d/yyyy">
                  <c:v>43883</c:v>
                </c:pt>
                <c:pt idx="91" formatCode="m/d/yyyy">
                  <c:v>43890</c:v>
                </c:pt>
                <c:pt idx="92" formatCode="m/d/yyyy">
                  <c:v>43897</c:v>
                </c:pt>
                <c:pt idx="93" formatCode="m/d/yyyy">
                  <c:v>43904</c:v>
                </c:pt>
                <c:pt idx="94" formatCode="m/d/yyyy">
                  <c:v>43911</c:v>
                </c:pt>
                <c:pt idx="95" formatCode="m/d/yyyy">
                  <c:v>43918</c:v>
                </c:pt>
                <c:pt idx="96" formatCode="m/d/yyyy">
                  <c:v>43925</c:v>
                </c:pt>
                <c:pt idx="97" formatCode="m/d/yyyy">
                  <c:v>43932</c:v>
                </c:pt>
                <c:pt idx="98" formatCode="m/d/yyyy">
                  <c:v>43939</c:v>
                </c:pt>
                <c:pt idx="99" formatCode="m/d/yyyy">
                  <c:v>43946</c:v>
                </c:pt>
                <c:pt idx="100" formatCode="m/d/yyyy">
                  <c:v>43953</c:v>
                </c:pt>
                <c:pt idx="101" formatCode="m/d/yyyy">
                  <c:v>43960</c:v>
                </c:pt>
                <c:pt idx="102" formatCode="m/d/yyyy">
                  <c:v>43967</c:v>
                </c:pt>
                <c:pt idx="103" formatCode="m/d/yyyy">
                  <c:v>43974</c:v>
                </c:pt>
                <c:pt idx="104" formatCode="m/d/yyyy">
                  <c:v>43981</c:v>
                </c:pt>
                <c:pt idx="105" formatCode="m/d/yyyy">
                  <c:v>43988</c:v>
                </c:pt>
                <c:pt idx="106" formatCode="m/d/yyyy">
                  <c:v>43995</c:v>
                </c:pt>
                <c:pt idx="107" formatCode="m/d/yyyy">
                  <c:v>44002</c:v>
                </c:pt>
                <c:pt idx="108" formatCode="m/d/yyyy">
                  <c:v>44009</c:v>
                </c:pt>
                <c:pt idx="109" formatCode="m/d/yyyy">
                  <c:v>44016</c:v>
                </c:pt>
                <c:pt idx="110" formatCode="m/d/yyyy">
                  <c:v>44023</c:v>
                </c:pt>
                <c:pt idx="111" formatCode="m/d/yyyy">
                  <c:v>44030</c:v>
                </c:pt>
                <c:pt idx="112" formatCode="m/d/yyyy">
                  <c:v>44037</c:v>
                </c:pt>
                <c:pt idx="113" formatCode="m/d/yyyy">
                  <c:v>44044</c:v>
                </c:pt>
                <c:pt idx="114" formatCode="m/d/yyyy">
                  <c:v>44051</c:v>
                </c:pt>
                <c:pt idx="115" formatCode="m/d/yyyy">
                  <c:v>44058</c:v>
                </c:pt>
                <c:pt idx="116" formatCode="m/d/yyyy">
                  <c:v>44065</c:v>
                </c:pt>
                <c:pt idx="117" formatCode="m/d/yyyy">
                  <c:v>44072</c:v>
                </c:pt>
                <c:pt idx="118" formatCode="m/d/yyyy">
                  <c:v>44079</c:v>
                </c:pt>
                <c:pt idx="119" formatCode="m/d/yyyy">
                  <c:v>44086</c:v>
                </c:pt>
                <c:pt idx="120" formatCode="m/d/yyyy">
                  <c:v>44093</c:v>
                </c:pt>
                <c:pt idx="121" formatCode="m/d/yyyy">
                  <c:v>44100</c:v>
                </c:pt>
                <c:pt idx="122" formatCode="m/d/yyyy">
                  <c:v>44107</c:v>
                </c:pt>
                <c:pt idx="123" formatCode="m/d/yyyy">
                  <c:v>44114</c:v>
                </c:pt>
                <c:pt idx="124" formatCode="m/d/yyyy">
                  <c:v>44121</c:v>
                </c:pt>
                <c:pt idx="125" formatCode="m/d/yyyy">
                  <c:v>44128</c:v>
                </c:pt>
                <c:pt idx="126" formatCode="m/d/yyyy">
                  <c:v>44135</c:v>
                </c:pt>
                <c:pt idx="127" formatCode="m/d/yyyy">
                  <c:v>44142</c:v>
                </c:pt>
                <c:pt idx="128" formatCode="m/d/yyyy">
                  <c:v>44149</c:v>
                </c:pt>
                <c:pt idx="129" formatCode="m/d/yyyy">
                  <c:v>44156</c:v>
                </c:pt>
                <c:pt idx="130" formatCode="m/d/yyyy">
                  <c:v>44163</c:v>
                </c:pt>
                <c:pt idx="131" formatCode="m/d/yyyy">
                  <c:v>44170</c:v>
                </c:pt>
                <c:pt idx="132" formatCode="m/d/yyyy">
                  <c:v>44177</c:v>
                </c:pt>
                <c:pt idx="133" formatCode="m/d/yyyy">
                  <c:v>44184</c:v>
                </c:pt>
                <c:pt idx="134" formatCode="m/d/yyyy">
                  <c:v>44191</c:v>
                </c:pt>
                <c:pt idx="135" formatCode="m/d/yyyy">
                  <c:v>44198</c:v>
                </c:pt>
                <c:pt idx="136" formatCode="m/d/yyyy">
                  <c:v>44205</c:v>
                </c:pt>
                <c:pt idx="137" formatCode="m/d/yyyy">
                  <c:v>44212</c:v>
                </c:pt>
                <c:pt idx="138" formatCode="m/d/yyyy">
                  <c:v>44219</c:v>
                </c:pt>
                <c:pt idx="139" formatCode="m/d/yyyy">
                  <c:v>44226</c:v>
                </c:pt>
                <c:pt idx="140" formatCode="m/d/yyyy">
                  <c:v>44233</c:v>
                </c:pt>
                <c:pt idx="141" formatCode="m/d/yyyy">
                  <c:v>44240</c:v>
                </c:pt>
                <c:pt idx="142" formatCode="m/d/yyyy">
                  <c:v>44247</c:v>
                </c:pt>
                <c:pt idx="143" formatCode="m/d/yyyy">
                  <c:v>44254</c:v>
                </c:pt>
                <c:pt idx="144" formatCode="m/d/yyyy">
                  <c:v>44261</c:v>
                </c:pt>
                <c:pt idx="145" formatCode="m/d/yyyy">
                  <c:v>44268</c:v>
                </c:pt>
                <c:pt idx="146" formatCode="m/d/yyyy">
                  <c:v>44275</c:v>
                </c:pt>
                <c:pt idx="147" formatCode="m/d/yyyy">
                  <c:v>44282</c:v>
                </c:pt>
                <c:pt idx="148" formatCode="m/d/yyyy">
                  <c:v>44289</c:v>
                </c:pt>
                <c:pt idx="149" formatCode="m/d/yyyy">
                  <c:v>44296</c:v>
                </c:pt>
                <c:pt idx="150" formatCode="m/d/yyyy">
                  <c:v>44303</c:v>
                </c:pt>
                <c:pt idx="151" formatCode="m/d/yyyy">
                  <c:v>44310</c:v>
                </c:pt>
                <c:pt idx="152" formatCode="m/d/yyyy">
                  <c:v>44317</c:v>
                </c:pt>
                <c:pt idx="153" formatCode="m/d/yyyy">
                  <c:v>44324</c:v>
                </c:pt>
                <c:pt idx="154" formatCode="m/d/yyyy">
                  <c:v>44331</c:v>
                </c:pt>
                <c:pt idx="155" formatCode="m/d/yyyy">
                  <c:v>44338</c:v>
                </c:pt>
                <c:pt idx="156" formatCode="m/d/yyyy">
                  <c:v>44345</c:v>
                </c:pt>
                <c:pt idx="157" formatCode="m/d/yyyy">
                  <c:v>44352</c:v>
                </c:pt>
                <c:pt idx="158" formatCode="m/d/yyyy">
                  <c:v>44359</c:v>
                </c:pt>
                <c:pt idx="159" formatCode="m/d/yyyy">
                  <c:v>44366</c:v>
                </c:pt>
                <c:pt idx="160" formatCode="m/d/yyyy">
                  <c:v>44373</c:v>
                </c:pt>
                <c:pt idx="161" formatCode="m/d/yyyy">
                  <c:v>44380</c:v>
                </c:pt>
                <c:pt idx="162" formatCode="m/d/yyyy">
                  <c:v>44387</c:v>
                </c:pt>
                <c:pt idx="163" formatCode="m/d/yyyy">
                  <c:v>44394</c:v>
                </c:pt>
                <c:pt idx="164" formatCode="m/d/yyyy">
                  <c:v>44401</c:v>
                </c:pt>
                <c:pt idx="165" formatCode="m/d/yyyy">
                  <c:v>44408</c:v>
                </c:pt>
                <c:pt idx="166" formatCode="m/d/yyyy">
                  <c:v>44415</c:v>
                </c:pt>
                <c:pt idx="167" formatCode="m/d/yyyy">
                  <c:v>44422</c:v>
                </c:pt>
                <c:pt idx="168" formatCode="m/d/yyyy">
                  <c:v>44429</c:v>
                </c:pt>
                <c:pt idx="169" formatCode="m/d/yyyy">
                  <c:v>44436</c:v>
                </c:pt>
                <c:pt idx="170" formatCode="m/d/yyyy">
                  <c:v>44443</c:v>
                </c:pt>
                <c:pt idx="171" formatCode="m/d/yyyy">
                  <c:v>44450</c:v>
                </c:pt>
                <c:pt idx="172" formatCode="m/d/yyyy">
                  <c:v>44457</c:v>
                </c:pt>
                <c:pt idx="173" formatCode="m/d/yyyy">
                  <c:v>44464</c:v>
                </c:pt>
                <c:pt idx="174" formatCode="m/d/yyyy">
                  <c:v>44471</c:v>
                </c:pt>
                <c:pt idx="175" formatCode="m/d/yyyy">
                  <c:v>44478</c:v>
                </c:pt>
                <c:pt idx="176" formatCode="m/d/yyyy">
                  <c:v>44485</c:v>
                </c:pt>
                <c:pt idx="177" formatCode="m/d/yyyy">
                  <c:v>44492</c:v>
                </c:pt>
                <c:pt idx="178" formatCode="m/d/yyyy">
                  <c:v>44499</c:v>
                </c:pt>
                <c:pt idx="179" formatCode="m/d/yyyy">
                  <c:v>44506</c:v>
                </c:pt>
                <c:pt idx="180" formatCode="m/d/yyyy">
                  <c:v>44513</c:v>
                </c:pt>
                <c:pt idx="181" formatCode="m/d/yyyy">
                  <c:v>44520</c:v>
                </c:pt>
                <c:pt idx="182" formatCode="m/d/yyyy">
                  <c:v>44527</c:v>
                </c:pt>
                <c:pt idx="183" formatCode="m/d/yyyy">
                  <c:v>44534</c:v>
                </c:pt>
                <c:pt idx="184" formatCode="m/d/yyyy">
                  <c:v>44541</c:v>
                </c:pt>
                <c:pt idx="185" formatCode="m/d/yyyy">
                  <c:v>44548</c:v>
                </c:pt>
                <c:pt idx="186" formatCode="m/d/yyyy">
                  <c:v>44555</c:v>
                </c:pt>
                <c:pt idx="187" formatCode="m/d/yyyy">
                  <c:v>44562</c:v>
                </c:pt>
                <c:pt idx="188" formatCode="m/d/yyyy">
                  <c:v>44569</c:v>
                </c:pt>
                <c:pt idx="189" formatCode="m/d/yyyy">
                  <c:v>44576</c:v>
                </c:pt>
                <c:pt idx="190" formatCode="m/d/yyyy">
                  <c:v>44583</c:v>
                </c:pt>
                <c:pt idx="191" formatCode="m/d/yyyy">
                  <c:v>44590</c:v>
                </c:pt>
                <c:pt idx="192" formatCode="m/d/yyyy">
                  <c:v>44597</c:v>
                </c:pt>
                <c:pt idx="193" formatCode="m/d/yyyy">
                  <c:v>44604</c:v>
                </c:pt>
                <c:pt idx="194" formatCode="m/d/yyyy">
                  <c:v>44611</c:v>
                </c:pt>
                <c:pt idx="195" formatCode="m/d/yyyy">
                  <c:v>44618</c:v>
                </c:pt>
                <c:pt idx="196" formatCode="m/d/yyyy">
                  <c:v>44625</c:v>
                </c:pt>
                <c:pt idx="197" formatCode="m/d/yyyy">
                  <c:v>44632</c:v>
                </c:pt>
                <c:pt idx="198" formatCode="m/d/yyyy">
                  <c:v>44639</c:v>
                </c:pt>
                <c:pt idx="199" formatCode="m/d/yyyy">
                  <c:v>44646</c:v>
                </c:pt>
                <c:pt idx="200" formatCode="m/d/yyyy">
                  <c:v>44653</c:v>
                </c:pt>
                <c:pt idx="201" formatCode="m/d/yyyy">
                  <c:v>44660</c:v>
                </c:pt>
                <c:pt idx="202" formatCode="m/d/yyyy">
                  <c:v>44667</c:v>
                </c:pt>
                <c:pt idx="203" formatCode="m/d/yyyy">
                  <c:v>44674</c:v>
                </c:pt>
                <c:pt idx="204" formatCode="m/d/yyyy">
                  <c:v>44681</c:v>
                </c:pt>
                <c:pt idx="205" formatCode="m/d/yyyy">
                  <c:v>44688</c:v>
                </c:pt>
                <c:pt idx="206" formatCode="m/d/yyyy">
                  <c:v>44695</c:v>
                </c:pt>
                <c:pt idx="207" formatCode="m/d/yyyy">
                  <c:v>44702</c:v>
                </c:pt>
                <c:pt idx="208" formatCode="m/d/yyyy">
                  <c:v>44709</c:v>
                </c:pt>
                <c:pt idx="209" formatCode="m/d/yyyy">
                  <c:v>44716</c:v>
                </c:pt>
                <c:pt idx="210" formatCode="m/d/yyyy">
                  <c:v>44723</c:v>
                </c:pt>
                <c:pt idx="211" formatCode="m/d/yyyy">
                  <c:v>44730</c:v>
                </c:pt>
                <c:pt idx="212" formatCode="m/d/yyyy">
                  <c:v>44737</c:v>
                </c:pt>
                <c:pt idx="213" formatCode="m/d/yyyy">
                  <c:v>44744</c:v>
                </c:pt>
                <c:pt idx="214" formatCode="m/d/yyyy">
                  <c:v>44751</c:v>
                </c:pt>
                <c:pt idx="215" formatCode="m/d/yyyy">
                  <c:v>44758</c:v>
                </c:pt>
                <c:pt idx="216" formatCode="m/d/yyyy">
                  <c:v>44765</c:v>
                </c:pt>
                <c:pt idx="217" formatCode="m/d/yyyy">
                  <c:v>44772</c:v>
                </c:pt>
                <c:pt idx="218" formatCode="m/d/yyyy">
                  <c:v>44779</c:v>
                </c:pt>
                <c:pt idx="219" formatCode="m/d/yyyy">
                  <c:v>44786</c:v>
                </c:pt>
                <c:pt idx="220" formatCode="m/d/yyyy">
                  <c:v>44793</c:v>
                </c:pt>
                <c:pt idx="221" formatCode="m/d/yyyy">
                  <c:v>44800</c:v>
                </c:pt>
                <c:pt idx="222" formatCode="m/d/yyyy">
                  <c:v>44807</c:v>
                </c:pt>
                <c:pt idx="223" formatCode="m/d/yyyy">
                  <c:v>44814</c:v>
                </c:pt>
                <c:pt idx="224" formatCode="m/d/yyyy">
                  <c:v>44821</c:v>
                </c:pt>
                <c:pt idx="225" formatCode="m/d/yyyy">
                  <c:v>44828</c:v>
                </c:pt>
                <c:pt idx="226" formatCode="m/d/yyyy">
                  <c:v>44835</c:v>
                </c:pt>
                <c:pt idx="227" formatCode="m/d/yyyy">
                  <c:v>44842</c:v>
                </c:pt>
                <c:pt idx="228" formatCode="m/d/yyyy">
                  <c:v>44849</c:v>
                </c:pt>
                <c:pt idx="229" formatCode="m/d/yyyy">
                  <c:v>44856</c:v>
                </c:pt>
                <c:pt idx="230" formatCode="m/d/yyyy">
                  <c:v>44863</c:v>
                </c:pt>
                <c:pt idx="231" formatCode="m/d/yyyy">
                  <c:v>44870</c:v>
                </c:pt>
                <c:pt idx="232" formatCode="m/d/yyyy">
                  <c:v>44877</c:v>
                </c:pt>
                <c:pt idx="233" formatCode="m/d/yyyy">
                  <c:v>44884</c:v>
                </c:pt>
                <c:pt idx="234" formatCode="m/d/yyyy">
                  <c:v>44891</c:v>
                </c:pt>
                <c:pt idx="235" formatCode="m/d/yyyy">
                  <c:v>44898</c:v>
                </c:pt>
                <c:pt idx="236" formatCode="m/d/yyyy">
                  <c:v>44905</c:v>
                </c:pt>
                <c:pt idx="237" formatCode="m/d/yyyy">
                  <c:v>44912</c:v>
                </c:pt>
                <c:pt idx="238" formatCode="m/d/yyyy">
                  <c:v>44919</c:v>
                </c:pt>
                <c:pt idx="239" formatCode="m/d/yyyy">
                  <c:v>44926</c:v>
                </c:pt>
                <c:pt idx="240" formatCode="m/d/yyyy">
                  <c:v>44933</c:v>
                </c:pt>
                <c:pt idx="241" formatCode="m/d/yyyy">
                  <c:v>44940</c:v>
                </c:pt>
                <c:pt idx="242" formatCode="m/d/yyyy">
                  <c:v>44947</c:v>
                </c:pt>
                <c:pt idx="243" formatCode="m/d/yyyy">
                  <c:v>44954</c:v>
                </c:pt>
                <c:pt idx="244" formatCode="m/d/yyyy">
                  <c:v>44961</c:v>
                </c:pt>
                <c:pt idx="245" formatCode="m/d/yyyy">
                  <c:v>44968</c:v>
                </c:pt>
                <c:pt idx="246" formatCode="m/d/yyyy">
                  <c:v>44975</c:v>
                </c:pt>
                <c:pt idx="247" formatCode="m/d/yyyy">
                  <c:v>44982</c:v>
                </c:pt>
                <c:pt idx="248" formatCode="m/d/yyyy">
                  <c:v>44989</c:v>
                </c:pt>
                <c:pt idx="249" formatCode="m/d/yyyy">
                  <c:v>44996</c:v>
                </c:pt>
                <c:pt idx="250" formatCode="m/d/yyyy">
                  <c:v>45003</c:v>
                </c:pt>
                <c:pt idx="251" formatCode="m/d/yyyy">
                  <c:v>45010</c:v>
                </c:pt>
                <c:pt idx="252" formatCode="m/d/yyyy">
                  <c:v>45017</c:v>
                </c:pt>
                <c:pt idx="253" formatCode="m/d/yyyy">
                  <c:v>45024</c:v>
                </c:pt>
                <c:pt idx="254" formatCode="m/d/yyyy">
                  <c:v>45031</c:v>
                </c:pt>
                <c:pt idx="255" formatCode="m/d/yyyy">
                  <c:v>45038</c:v>
                </c:pt>
                <c:pt idx="256" formatCode="m/d/yyyy">
                  <c:v>45045</c:v>
                </c:pt>
                <c:pt idx="257" formatCode="m/d/yyyy">
                  <c:v>45052</c:v>
                </c:pt>
                <c:pt idx="258" formatCode="m/d/yyyy">
                  <c:v>45059</c:v>
                </c:pt>
                <c:pt idx="259" formatCode="m/d/yyyy">
                  <c:v>45066</c:v>
                </c:pt>
                <c:pt idx="260" formatCode="m/d/yyyy">
                  <c:v>45073</c:v>
                </c:pt>
                <c:pt idx="261" formatCode="m/d/yyyy">
                  <c:v>45080</c:v>
                </c:pt>
                <c:pt idx="262" formatCode="m/d/yyyy">
                  <c:v>45087</c:v>
                </c:pt>
                <c:pt idx="263" formatCode="m/d/yyyy">
                  <c:v>45094</c:v>
                </c:pt>
                <c:pt idx="264" formatCode="m/d/yyyy">
                  <c:v>45101</c:v>
                </c:pt>
                <c:pt idx="265" formatCode="m/d/yyyy">
                  <c:v>45108</c:v>
                </c:pt>
                <c:pt idx="266" formatCode="m/d/yyyy">
                  <c:v>45115</c:v>
                </c:pt>
                <c:pt idx="267" formatCode="m/d/yyyy">
                  <c:v>45122</c:v>
                </c:pt>
                <c:pt idx="268" formatCode="m/d/yyyy">
                  <c:v>45129</c:v>
                </c:pt>
                <c:pt idx="269" formatCode="m/d/yyyy">
                  <c:v>45136</c:v>
                </c:pt>
                <c:pt idx="270" formatCode="m/d/yyyy">
                  <c:v>45143</c:v>
                </c:pt>
                <c:pt idx="271" formatCode="m/d/yyyy">
                  <c:v>45150</c:v>
                </c:pt>
                <c:pt idx="272" formatCode="m/d/yyyy">
                  <c:v>45157</c:v>
                </c:pt>
                <c:pt idx="273" formatCode="m/d/yyyy">
                  <c:v>45164</c:v>
                </c:pt>
                <c:pt idx="274" formatCode="m/d/yyyy">
                  <c:v>45171</c:v>
                </c:pt>
                <c:pt idx="275" formatCode="m/d/yyyy">
                  <c:v>45178</c:v>
                </c:pt>
                <c:pt idx="276" formatCode="m/d/yyyy">
                  <c:v>45185</c:v>
                </c:pt>
                <c:pt idx="277" formatCode="m/d/yyyy">
                  <c:v>45192</c:v>
                </c:pt>
                <c:pt idx="278" formatCode="m/d/yyyy">
                  <c:v>45199</c:v>
                </c:pt>
                <c:pt idx="279" formatCode="m/d/yyyy">
                  <c:v>45206</c:v>
                </c:pt>
                <c:pt idx="280" formatCode="m/d/yyyy">
                  <c:v>45213</c:v>
                </c:pt>
                <c:pt idx="281" formatCode="m/d/yyyy">
                  <c:v>45220</c:v>
                </c:pt>
                <c:pt idx="282" formatCode="m/d/yyyy">
                  <c:v>45227</c:v>
                </c:pt>
                <c:pt idx="283" formatCode="m/d/yyyy">
                  <c:v>45234</c:v>
                </c:pt>
                <c:pt idx="284" formatCode="m/d/yyyy">
                  <c:v>45241</c:v>
                </c:pt>
                <c:pt idx="285" formatCode="m/d/yyyy">
                  <c:v>45248</c:v>
                </c:pt>
                <c:pt idx="286" formatCode="m/d/yyyy">
                  <c:v>45255</c:v>
                </c:pt>
                <c:pt idx="287" formatCode="m/d/yyyy">
                  <c:v>45262</c:v>
                </c:pt>
                <c:pt idx="288" formatCode="m/d/yyyy">
                  <c:v>45269</c:v>
                </c:pt>
                <c:pt idx="289" formatCode="m/d/yyyy">
                  <c:v>45276</c:v>
                </c:pt>
                <c:pt idx="290" formatCode="m/d/yyyy">
                  <c:v>45283</c:v>
                </c:pt>
                <c:pt idx="291" formatCode="m/d/yyyy">
                  <c:v>45290</c:v>
                </c:pt>
                <c:pt idx="292" formatCode="m/d/yyyy">
                  <c:v>45297</c:v>
                </c:pt>
                <c:pt idx="293" formatCode="m/d/yyyy">
                  <c:v>45304</c:v>
                </c:pt>
                <c:pt idx="294" formatCode="m/d/yyyy">
                  <c:v>45311</c:v>
                </c:pt>
                <c:pt idx="295" formatCode="m/d/yyyy">
                  <c:v>45318</c:v>
                </c:pt>
                <c:pt idx="296" formatCode="m/d/yyyy">
                  <c:v>45325</c:v>
                </c:pt>
                <c:pt idx="297" formatCode="m/d/yyyy">
                  <c:v>45332</c:v>
                </c:pt>
                <c:pt idx="298" formatCode="m/d/yyyy">
                  <c:v>45339</c:v>
                </c:pt>
                <c:pt idx="299" formatCode="m/d/yyyy">
                  <c:v>45346</c:v>
                </c:pt>
                <c:pt idx="300" formatCode="m/d/yyyy">
                  <c:v>45353</c:v>
                </c:pt>
                <c:pt idx="301" formatCode="m/d/yyyy">
                  <c:v>45360</c:v>
                </c:pt>
                <c:pt idx="302" formatCode="m/d/yyyy">
                  <c:v>45367</c:v>
                </c:pt>
                <c:pt idx="303" formatCode="m/d/yyyy">
                  <c:v>45374</c:v>
                </c:pt>
                <c:pt idx="304" formatCode="m/d/yyyy">
                  <c:v>45381</c:v>
                </c:pt>
                <c:pt idx="305" formatCode="m/d/yyyy">
                  <c:v>45388</c:v>
                </c:pt>
                <c:pt idx="306" formatCode="m/d/yyyy">
                  <c:v>45395</c:v>
                </c:pt>
                <c:pt idx="307" formatCode="m/d/yyyy">
                  <c:v>45402</c:v>
                </c:pt>
                <c:pt idx="308" formatCode="m/d/yyyy">
                  <c:v>45409</c:v>
                </c:pt>
                <c:pt idx="309" formatCode="m/d/yyyy">
                  <c:v>45416</c:v>
                </c:pt>
                <c:pt idx="310" formatCode="m/d/yyyy">
                  <c:v>45423</c:v>
                </c:pt>
                <c:pt idx="311" formatCode="m/d/yyyy">
                  <c:v>45430</c:v>
                </c:pt>
                <c:pt idx="312" formatCode="m/d/yyyy">
                  <c:v>45437</c:v>
                </c:pt>
                <c:pt idx="313" formatCode="m/d/yyyy">
                  <c:v>45444</c:v>
                </c:pt>
                <c:pt idx="314" formatCode="m/d/yyyy">
                  <c:v>45451</c:v>
                </c:pt>
                <c:pt idx="315" formatCode="m/d/yyyy">
                  <c:v>45458</c:v>
                </c:pt>
                <c:pt idx="316" formatCode="m/d/yyyy">
                  <c:v>45465</c:v>
                </c:pt>
                <c:pt idx="317" formatCode="m/d/yyyy">
                  <c:v>45472</c:v>
                </c:pt>
                <c:pt idx="318" formatCode="m/d/yyyy">
                  <c:v>45479</c:v>
                </c:pt>
                <c:pt idx="319" formatCode="m/d/yyyy">
                  <c:v>45486</c:v>
                </c:pt>
                <c:pt idx="320" formatCode="m/d/yyyy">
                  <c:v>45493</c:v>
                </c:pt>
                <c:pt idx="321" formatCode="m/d/yyyy">
                  <c:v>45500</c:v>
                </c:pt>
                <c:pt idx="322" formatCode="m/d/yyyy">
                  <c:v>45507</c:v>
                </c:pt>
                <c:pt idx="323" formatCode="m/d/yyyy">
                  <c:v>45514</c:v>
                </c:pt>
                <c:pt idx="324" formatCode="m/d/yyyy">
                  <c:v>45521</c:v>
                </c:pt>
                <c:pt idx="325" formatCode="m/d/yyyy">
                  <c:v>45528</c:v>
                </c:pt>
                <c:pt idx="326" formatCode="m/d/yyyy">
                  <c:v>45535</c:v>
                </c:pt>
                <c:pt idx="327" formatCode="m/d/yyyy">
                  <c:v>45542</c:v>
                </c:pt>
                <c:pt idx="328" formatCode="m/d/yyyy">
                  <c:v>45549</c:v>
                </c:pt>
                <c:pt idx="329" formatCode="m/d/yyyy">
                  <c:v>45556</c:v>
                </c:pt>
                <c:pt idx="330" formatCode="m/d/yyyy">
                  <c:v>45563</c:v>
                </c:pt>
                <c:pt idx="331" formatCode="m/d/yyyy">
                  <c:v>45570</c:v>
                </c:pt>
                <c:pt idx="332" formatCode="m/d/yyyy">
                  <c:v>45577</c:v>
                </c:pt>
                <c:pt idx="333" formatCode="m/d/yyyy">
                  <c:v>45584</c:v>
                </c:pt>
                <c:pt idx="334" formatCode="m/d/yyyy">
                  <c:v>45591</c:v>
                </c:pt>
                <c:pt idx="335" formatCode="m/d/yyyy">
                  <c:v>45598</c:v>
                </c:pt>
                <c:pt idx="336" formatCode="m/d/yyyy">
                  <c:v>45605</c:v>
                </c:pt>
                <c:pt idx="337" formatCode="m/d/yyyy">
                  <c:v>45612</c:v>
                </c:pt>
                <c:pt idx="338" formatCode="m/d/yyyy">
                  <c:v>45619</c:v>
                </c:pt>
                <c:pt idx="339" formatCode="m/d/yyyy">
                  <c:v>45626</c:v>
                </c:pt>
                <c:pt idx="340" formatCode="m/d/yyyy">
                  <c:v>45633</c:v>
                </c:pt>
                <c:pt idx="341" formatCode="m/d/yyyy">
                  <c:v>45640</c:v>
                </c:pt>
                <c:pt idx="342" formatCode="m/d/yyyy">
                  <c:v>45647</c:v>
                </c:pt>
                <c:pt idx="343" formatCode="m/d/yyyy">
                  <c:v>45654</c:v>
                </c:pt>
                <c:pt idx="344" formatCode="m/d/yyyy">
                  <c:v>45661</c:v>
                </c:pt>
                <c:pt idx="345" formatCode="m/d/yyyy">
                  <c:v>45668</c:v>
                </c:pt>
                <c:pt idx="346" formatCode="m/d/yyyy">
                  <c:v>45675</c:v>
                </c:pt>
                <c:pt idx="347" formatCode="m/d/yyyy">
                  <c:v>45682</c:v>
                </c:pt>
                <c:pt idx="348" formatCode="m/d/yyyy">
                  <c:v>45689</c:v>
                </c:pt>
                <c:pt idx="349" formatCode="m/d/yyyy">
                  <c:v>45696</c:v>
                </c:pt>
                <c:pt idx="350" formatCode="m/d/yyyy">
                  <c:v>45703</c:v>
                </c:pt>
                <c:pt idx="351" formatCode="m/d/yyyy">
                  <c:v>45710</c:v>
                </c:pt>
                <c:pt idx="352" formatCode="m/d/yyyy">
                  <c:v>45717</c:v>
                </c:pt>
                <c:pt idx="353" formatCode="m/d/yyyy">
                  <c:v>45724</c:v>
                </c:pt>
                <c:pt idx="354" formatCode="m/d/yyyy">
                  <c:v>45731</c:v>
                </c:pt>
                <c:pt idx="355" formatCode="m/d/yyyy">
                  <c:v>45738</c:v>
                </c:pt>
                <c:pt idx="356" formatCode="m/d/yyyy">
                  <c:v>45745</c:v>
                </c:pt>
                <c:pt idx="357" formatCode="m/d/yyyy">
                  <c:v>45752</c:v>
                </c:pt>
                <c:pt idx="358" formatCode="m/d/yyyy">
                  <c:v>45759</c:v>
                </c:pt>
                <c:pt idx="359" formatCode="m/d/yyyy">
                  <c:v>45766</c:v>
                </c:pt>
                <c:pt idx="360" formatCode="m/d/yyyy">
                  <c:v>45773</c:v>
                </c:pt>
                <c:pt idx="361" formatCode="m/d/yyyy">
                  <c:v>45780</c:v>
                </c:pt>
                <c:pt idx="362" formatCode="m/d/yyyy">
                  <c:v>45787</c:v>
                </c:pt>
                <c:pt idx="363" formatCode="m/d/yyyy">
                  <c:v>45794</c:v>
                </c:pt>
                <c:pt idx="364" formatCode="m/d/yyyy">
                  <c:v>45801</c:v>
                </c:pt>
                <c:pt idx="365" formatCode="m/d/yyyy">
                  <c:v>45808</c:v>
                </c:pt>
                <c:pt idx="366" formatCode="m/d/yyyy">
                  <c:v>45815</c:v>
                </c:pt>
                <c:pt idx="367" formatCode="m/d/yyyy">
                  <c:v>45822</c:v>
                </c:pt>
                <c:pt idx="368" formatCode="m/d/yyyy">
                  <c:v>45829</c:v>
                </c:pt>
                <c:pt idx="369" formatCode="m/d/yyyy">
                  <c:v>45836</c:v>
                </c:pt>
                <c:pt idx="370" formatCode="m/d/yyyy">
                  <c:v>45843</c:v>
                </c:pt>
                <c:pt idx="371" formatCode="m/d/yyyy">
                  <c:v>45850</c:v>
                </c:pt>
                <c:pt idx="372" formatCode="m/d/yyyy">
                  <c:v>45857</c:v>
                </c:pt>
                <c:pt idx="373" formatCode="m/d/yyyy">
                  <c:v>45864</c:v>
                </c:pt>
                <c:pt idx="374" formatCode="m/d/yyyy">
                  <c:v>45871</c:v>
                </c:pt>
                <c:pt idx="375" formatCode="m/d/yyyy">
                  <c:v>45878</c:v>
                </c:pt>
                <c:pt idx="376" formatCode="m/d/yyyy">
                  <c:v>45885</c:v>
                </c:pt>
                <c:pt idx="377" formatCode="m/d/yyyy">
                  <c:v>45892</c:v>
                </c:pt>
                <c:pt idx="378" formatCode="m/d/yyyy">
                  <c:v>45899</c:v>
                </c:pt>
                <c:pt idx="379" formatCode="m/d/yyyy">
                  <c:v>45906</c:v>
                </c:pt>
                <c:pt idx="380" formatCode="m/d/yyyy">
                  <c:v>45913</c:v>
                </c:pt>
                <c:pt idx="381" formatCode="m/d/yyyy">
                  <c:v>45920</c:v>
                </c:pt>
                <c:pt idx="382" formatCode="m/d/yyyy">
                  <c:v>45927</c:v>
                </c:pt>
                <c:pt idx="383" formatCode="m/d/yyyy">
                  <c:v>45934</c:v>
                </c:pt>
                <c:pt idx="384" formatCode="m/d/yyyy">
                  <c:v>45941</c:v>
                </c:pt>
                <c:pt idx="385" formatCode="m/d/yyyy">
                  <c:v>45948</c:v>
                </c:pt>
                <c:pt idx="386" formatCode="m/d/yyyy">
                  <c:v>45955</c:v>
                </c:pt>
                <c:pt idx="387" formatCode="m/d/yyyy">
                  <c:v>45962</c:v>
                </c:pt>
                <c:pt idx="388" formatCode="m/d/yyyy">
                  <c:v>45969</c:v>
                </c:pt>
                <c:pt idx="389" formatCode="m/d/yyyy">
                  <c:v>45976</c:v>
                </c:pt>
                <c:pt idx="390" formatCode="m/d/yyyy">
                  <c:v>45983</c:v>
                </c:pt>
                <c:pt idx="391" formatCode="m/d/yyyy">
                  <c:v>45990</c:v>
                </c:pt>
                <c:pt idx="392" formatCode="m/d/yyyy">
                  <c:v>45997</c:v>
                </c:pt>
                <c:pt idx="393" formatCode="m/d/yyyy">
                  <c:v>46004</c:v>
                </c:pt>
                <c:pt idx="394" formatCode="m/d/yyyy">
                  <c:v>46011</c:v>
                </c:pt>
                <c:pt idx="395" formatCode="m/d/yyyy">
                  <c:v>46018</c:v>
                </c:pt>
                <c:pt idx="396" formatCode="m/d/yyyy">
                  <c:v>46025</c:v>
                </c:pt>
                <c:pt idx="397" formatCode="m/d/yyyy">
                  <c:v>46032</c:v>
                </c:pt>
                <c:pt idx="398" formatCode="m/d/yyyy">
                  <c:v>46039</c:v>
                </c:pt>
                <c:pt idx="399" formatCode="m/d/yyyy">
                  <c:v>46046</c:v>
                </c:pt>
                <c:pt idx="400" formatCode="m/d/yyyy">
                  <c:v>46053</c:v>
                </c:pt>
                <c:pt idx="401" formatCode="m/d/yyyy">
                  <c:v>46060</c:v>
                </c:pt>
                <c:pt idx="402" formatCode="m/d/yyyy">
                  <c:v>46067</c:v>
                </c:pt>
                <c:pt idx="403" formatCode="m/d/yyyy">
                  <c:v>46074</c:v>
                </c:pt>
                <c:pt idx="404" formatCode="m/d/yyyy">
                  <c:v>46081</c:v>
                </c:pt>
                <c:pt idx="405" formatCode="m/d/yyyy">
                  <c:v>46088</c:v>
                </c:pt>
                <c:pt idx="406" formatCode="m/d/yyyy">
                  <c:v>46095</c:v>
                </c:pt>
                <c:pt idx="407" formatCode="m/d/yyyy">
                  <c:v>46102</c:v>
                </c:pt>
                <c:pt idx="408" formatCode="m/d/yyyy">
                  <c:v>46109</c:v>
                </c:pt>
                <c:pt idx="409" formatCode="m/d/yyyy">
                  <c:v>46116</c:v>
                </c:pt>
                <c:pt idx="410" formatCode="m/d/yyyy">
                  <c:v>46123</c:v>
                </c:pt>
                <c:pt idx="411" formatCode="m/d/yyyy">
                  <c:v>46130</c:v>
                </c:pt>
                <c:pt idx="412" formatCode="m/d/yyyy">
                  <c:v>46137</c:v>
                </c:pt>
              </c:numCache>
            </c:numRef>
          </c:cat>
          <c:val>
            <c:numRef>
              <c:f>'Chart 2.1.2 data'!$R$9:$R$421</c:f>
              <c:numCache>
                <c:formatCode>0.0</c:formatCode>
                <c:ptCount val="413"/>
                <c:pt idx="0">
                  <c:v>#N/A</c:v>
                </c:pt>
                <c:pt idx="1">
                  <c:v>#N/A</c:v>
                </c:pt>
                <c:pt idx="2">
                  <c:v>#N/A</c:v>
                </c:pt>
                <c:pt idx="3">
                  <c:v>#N/A</c:v>
                </c:pt>
                <c:pt idx="4">
                  <c:v>#N/A</c:v>
                </c:pt>
                <c:pt idx="5">
                  <c:v>#N/A</c:v>
                </c:pt>
                <c:pt idx="6">
                  <c:v>141</c:v>
                </c:pt>
                <c:pt idx="7">
                  <c:v>151.30000000000001</c:v>
                </c:pt>
                <c:pt idx="8">
                  <c:v>146.5</c:v>
                </c:pt>
                <c:pt idx="9">
                  <c:v>137.80000000000001</c:v>
                </c:pt>
                <c:pt idx="10">
                  <c:v>142.80000000000001</c:v>
                </c:pt>
                <c:pt idx="11">
                  <c:v>151.30000000000001</c:v>
                </c:pt>
                <c:pt idx="12">
                  <c:v>144.1</c:v>
                </c:pt>
                <c:pt idx="13">
                  <c:v>#N/A</c:v>
                </c:pt>
                <c:pt idx="14">
                  <c:v>#N/A</c:v>
                </c:pt>
                <c:pt idx="15">
                  <c:v>150.69999999999999</c:v>
                </c:pt>
                <c:pt idx="16">
                  <c:v>149.4</c:v>
                </c:pt>
                <c:pt idx="17">
                  <c:v>#N/A</c:v>
                </c:pt>
                <c:pt idx="18">
                  <c:v>#N/A</c:v>
                </c:pt>
                <c:pt idx="19">
                  <c:v>155</c:v>
                </c:pt>
                <c:pt idx="20">
                  <c:v>154.30000000000001</c:v>
                </c:pt>
                <c:pt idx="21">
                  <c:v>#N/A</c:v>
                </c:pt>
                <c:pt idx="22">
                  <c:v>158.80000000000001</c:v>
                </c:pt>
                <c:pt idx="23">
                  <c:v>151.30000000000001</c:v>
                </c:pt>
                <c:pt idx="24">
                  <c:v>142.5</c:v>
                </c:pt>
                <c:pt idx="25">
                  <c:v>133.9</c:v>
                </c:pt>
                <c:pt idx="26">
                  <c:v>129.5</c:v>
                </c:pt>
                <c:pt idx="27">
                  <c:v>140.1</c:v>
                </c:pt>
                <c:pt idx="28">
                  <c:v>137.30000000000001</c:v>
                </c:pt>
                <c:pt idx="29">
                  <c:v>128.69999999999999</c:v>
                </c:pt>
                <c:pt idx="30">
                  <c:v>#N/A</c:v>
                </c:pt>
                <c:pt idx="31">
                  <c:v>117.7</c:v>
                </c:pt>
                <c:pt idx="32">
                  <c:v>117.4</c:v>
                </c:pt>
                <c:pt idx="33">
                  <c:v>125.4</c:v>
                </c:pt>
                <c:pt idx="34">
                  <c:v>133.9</c:v>
                </c:pt>
                <c:pt idx="35">
                  <c:v>129.1</c:v>
                </c:pt>
                <c:pt idx="36">
                  <c:v>123.7</c:v>
                </c:pt>
                <c:pt idx="37">
                  <c:v>122.1</c:v>
                </c:pt>
                <c:pt idx="38">
                  <c:v>136.9</c:v>
                </c:pt>
                <c:pt idx="39">
                  <c:v>134</c:v>
                </c:pt>
                <c:pt idx="40">
                  <c:v>128.69999999999999</c:v>
                </c:pt>
                <c:pt idx="41">
                  <c:v>129</c:v>
                </c:pt>
                <c:pt idx="42">
                  <c:v>144.9</c:v>
                </c:pt>
                <c:pt idx="43">
                  <c:v>#N/A</c:v>
                </c:pt>
                <c:pt idx="44">
                  <c:v>138.9</c:v>
                </c:pt>
                <c:pt idx="45">
                  <c:v>150.30000000000001</c:v>
                </c:pt>
                <c:pt idx="46">
                  <c:v>148.1</c:v>
                </c:pt>
                <c:pt idx="47">
                  <c:v>143.69999999999999</c:v>
                </c:pt>
                <c:pt idx="48">
                  <c:v>142.30000000000001</c:v>
                </c:pt>
                <c:pt idx="49">
                  <c:v>153.5</c:v>
                </c:pt>
                <c:pt idx="50">
                  <c:v>151.30000000000001</c:v>
                </c:pt>
                <c:pt idx="51">
                  <c:v>142</c:v>
                </c:pt>
                <c:pt idx="52">
                  <c:v>144</c:v>
                </c:pt>
                <c:pt idx="53">
                  <c:v>153.80000000000001</c:v>
                </c:pt>
                <c:pt idx="54">
                  <c:v>141.6</c:v>
                </c:pt>
                <c:pt idx="55">
                  <c:v>132.30000000000001</c:v>
                </c:pt>
                <c:pt idx="56">
                  <c:v>#N/A</c:v>
                </c:pt>
                <c:pt idx="57">
                  <c:v>#N/A</c:v>
                </c:pt>
                <c:pt idx="58">
                  <c:v>140</c:v>
                </c:pt>
                <c:pt idx="59">
                  <c:v>133.5</c:v>
                </c:pt>
                <c:pt idx="60">
                  <c:v>140.1</c:v>
                </c:pt>
                <c:pt idx="61">
                  <c:v>149.69999999999999</c:v>
                </c:pt>
                <c:pt idx="62">
                  <c:v>140</c:v>
                </c:pt>
                <c:pt idx="63">
                  <c:v>132.5</c:v>
                </c:pt>
                <c:pt idx="64">
                  <c:v>135.19999999999999</c:v>
                </c:pt>
                <c:pt idx="65">
                  <c:v>#N/A</c:v>
                </c:pt>
                <c:pt idx="66">
                  <c:v>#N/A</c:v>
                </c:pt>
                <c:pt idx="67">
                  <c:v>134</c:v>
                </c:pt>
                <c:pt idx="68">
                  <c:v>145.4</c:v>
                </c:pt>
                <c:pt idx="69">
                  <c:v>157</c:v>
                </c:pt>
                <c:pt idx="70">
                  <c:v>149</c:v>
                </c:pt>
                <c:pt idx="71">
                  <c:v>141.19999999999999</c:v>
                </c:pt>
                <c:pt idx="72">
                  <c:v>143.1</c:v>
                </c:pt>
                <c:pt idx="73">
                  <c:v>157.69999999999999</c:v>
                </c:pt>
                <c:pt idx="74">
                  <c:v>153.5</c:v>
                </c:pt>
                <c:pt idx="75">
                  <c:v>144.69999999999999</c:v>
                </c:pt>
                <c:pt idx="76">
                  <c:v>140.1</c:v>
                </c:pt>
                <c:pt idx="77">
                  <c:v>152.80000000000001</c:v>
                </c:pt>
                <c:pt idx="78">
                  <c:v>153.9</c:v>
                </c:pt>
                <c:pt idx="79">
                  <c:v>141.9</c:v>
                </c:pt>
                <c:pt idx="80">
                  <c:v>157.5</c:v>
                </c:pt>
                <c:pt idx="81">
                  <c:v>#N/A</c:v>
                </c:pt>
                <c:pt idx="82">
                  <c:v>#N/A</c:v>
                </c:pt>
                <c:pt idx="83">
                  <c:v>139.6</c:v>
                </c:pt>
                <c:pt idx="84">
                  <c:v>145.69999999999999</c:v>
                </c:pt>
                <c:pt idx="85">
                  <c:v>157.69999999999999</c:v>
                </c:pt>
                <c:pt idx="86">
                  <c:v>148.9</c:v>
                </c:pt>
                <c:pt idx="87">
                  <c:v>139.1</c:v>
                </c:pt>
                <c:pt idx="88">
                  <c:v>135.1</c:v>
                </c:pt>
                <c:pt idx="89">
                  <c:v>153</c:v>
                </c:pt>
                <c:pt idx="90">
                  <c:v>147.19999999999999</c:v>
                </c:pt>
                <c:pt idx="91">
                  <c:v>134</c:v>
                </c:pt>
                <c:pt idx="92">
                  <c:v>128.69999999999999</c:v>
                </c:pt>
                <c:pt idx="93">
                  <c:v>123.9</c:v>
                </c:pt>
                <c:pt idx="94">
                  <c:v>127.3</c:v>
                </c:pt>
                <c:pt idx="95">
                  <c:v>130.1</c:v>
                </c:pt>
                <c:pt idx="96">
                  <c:v>125.2</c:v>
                </c:pt>
                <c:pt idx="97">
                  <c:v>116.5</c:v>
                </c:pt>
                <c:pt idx="98">
                  <c:v>108</c:v>
                </c:pt>
                <c:pt idx="99">
                  <c:v>99.7</c:v>
                </c:pt>
                <c:pt idx="100">
                  <c:v>94.3</c:v>
                </c:pt>
                <c:pt idx="101">
                  <c:v>96</c:v>
                </c:pt>
                <c:pt idx="102">
                  <c:v>110.4</c:v>
                </c:pt>
                <c:pt idx="103">
                  <c:v>111.3</c:v>
                </c:pt>
                <c:pt idx="104">
                  <c:v>#N/A</c:v>
                </c:pt>
                <c:pt idx="105">
                  <c:v>106.7</c:v>
                </c:pt>
                <c:pt idx="106">
                  <c:v>122.2</c:v>
                </c:pt>
                <c:pt idx="107">
                  <c:v>124.2</c:v>
                </c:pt>
                <c:pt idx="108">
                  <c:v>118.1</c:v>
                </c:pt>
                <c:pt idx="109">
                  <c:v>113.2</c:v>
                </c:pt>
                <c:pt idx="110">
                  <c:v>111.2</c:v>
                </c:pt>
                <c:pt idx="111">
                  <c:v>122.2</c:v>
                </c:pt>
                <c:pt idx="112">
                  <c:v>134.19999999999999</c:v>
                </c:pt>
                <c:pt idx="113">
                  <c:v>128.4</c:v>
                </c:pt>
                <c:pt idx="114">
                  <c:v>122.5</c:v>
                </c:pt>
                <c:pt idx="115">
                  <c:v>117.9</c:v>
                </c:pt>
                <c:pt idx="116">
                  <c:v>116</c:v>
                </c:pt>
                <c:pt idx="117">
                  <c:v>124.6</c:v>
                </c:pt>
                <c:pt idx="118">
                  <c:v>135.69999999999999</c:v>
                </c:pt>
                <c:pt idx="119">
                  <c:v>129.9</c:v>
                </c:pt>
                <c:pt idx="120">
                  <c:v>123.9</c:v>
                </c:pt>
                <c:pt idx="121">
                  <c:v>118.5</c:v>
                </c:pt>
                <c:pt idx="122">
                  <c:v>114.3</c:v>
                </c:pt>
                <c:pt idx="123">
                  <c:v>111.4</c:v>
                </c:pt>
                <c:pt idx="124">
                  <c:v>113</c:v>
                </c:pt>
                <c:pt idx="125">
                  <c:v>#N/A</c:v>
                </c:pt>
                <c:pt idx="126">
                  <c:v>133.30000000000001</c:v>
                </c:pt>
                <c:pt idx="127">
                  <c:v>126.3</c:v>
                </c:pt>
                <c:pt idx="128">
                  <c:v>119.6</c:v>
                </c:pt>
                <c:pt idx="129">
                  <c:v>114.7</c:v>
                </c:pt>
                <c:pt idx="130">
                  <c:v>114.3</c:v>
                </c:pt>
                <c:pt idx="131">
                  <c:v>127.1</c:v>
                </c:pt>
                <c:pt idx="132">
                  <c:v>136.5</c:v>
                </c:pt>
                <c:pt idx="133">
                  <c:v>133.30000000000001</c:v>
                </c:pt>
                <c:pt idx="134">
                  <c:v>#N/A</c:v>
                </c:pt>
                <c:pt idx="135">
                  <c:v>120.9</c:v>
                </c:pt>
                <c:pt idx="136">
                  <c:v>117</c:v>
                </c:pt>
                <c:pt idx="137">
                  <c:v>118.3</c:v>
                </c:pt>
                <c:pt idx="138">
                  <c:v>140.1</c:v>
                </c:pt>
                <c:pt idx="139">
                  <c:v>#N/A</c:v>
                </c:pt>
                <c:pt idx="140">
                  <c:v>135.4</c:v>
                </c:pt>
                <c:pt idx="141">
                  <c:v>130.6</c:v>
                </c:pt>
                <c:pt idx="142">
                  <c:v>#N/A</c:v>
                </c:pt>
                <c:pt idx="143">
                  <c:v>#N/A</c:v>
                </c:pt>
                <c:pt idx="144">
                  <c:v>147.9</c:v>
                </c:pt>
                <c:pt idx="145">
                  <c:v>147.80000000000001</c:v>
                </c:pt>
                <c:pt idx="146">
                  <c:v>138.9</c:v>
                </c:pt>
                <c:pt idx="147">
                  <c:v>134.80000000000001</c:v>
                </c:pt>
                <c:pt idx="148">
                  <c:v>149.69999999999999</c:v>
                </c:pt>
                <c:pt idx="149">
                  <c:v>154.6</c:v>
                </c:pt>
                <c:pt idx="150">
                  <c:v>145.19999999999999</c:v>
                </c:pt>
                <c:pt idx="151">
                  <c:v>136.9</c:v>
                </c:pt>
                <c:pt idx="152">
                  <c:v>132.9</c:v>
                </c:pt>
                <c:pt idx="153">
                  <c:v>136.30000000000001</c:v>
                </c:pt>
                <c:pt idx="154">
                  <c:v>150.1</c:v>
                </c:pt>
                <c:pt idx="155">
                  <c:v>147.30000000000001</c:v>
                </c:pt>
                <c:pt idx="156">
                  <c:v>#N/A</c:v>
                </c:pt>
                <c:pt idx="157">
                  <c:v>137.5</c:v>
                </c:pt>
                <c:pt idx="158">
                  <c:v>136</c:v>
                </c:pt>
                <c:pt idx="159">
                  <c:v>135</c:v>
                </c:pt>
                <c:pt idx="160">
                  <c:v>140.69999999999999</c:v>
                </c:pt>
                <c:pt idx="161">
                  <c:v>158.1</c:v>
                </c:pt>
                <c:pt idx="162">
                  <c:v>154</c:v>
                </c:pt>
                <c:pt idx="163">
                  <c:v>146.4</c:v>
                </c:pt>
                <c:pt idx="164">
                  <c:v>146.6</c:v>
                </c:pt>
                <c:pt idx="165">
                  <c:v>159.69999999999999</c:v>
                </c:pt>
                <c:pt idx="166">
                  <c:v>#N/A</c:v>
                </c:pt>
                <c:pt idx="167">
                  <c:v>152</c:v>
                </c:pt>
                <c:pt idx="168">
                  <c:v>149.5</c:v>
                </c:pt>
                <c:pt idx="169">
                  <c:v>147.6</c:v>
                </c:pt>
                <c:pt idx="170">
                  <c:v>146.30000000000001</c:v>
                </c:pt>
                <c:pt idx="171">
                  <c:v>152.80000000000001</c:v>
                </c:pt>
                <c:pt idx="172">
                  <c:v>161.6</c:v>
                </c:pt>
                <c:pt idx="173">
                  <c:v>156.1</c:v>
                </c:pt>
                <c:pt idx="174">
                  <c:v>151.80000000000001</c:v>
                </c:pt>
                <c:pt idx="175">
                  <c:v>151.1</c:v>
                </c:pt>
                <c:pt idx="176">
                  <c:v>161.9</c:v>
                </c:pt>
                <c:pt idx="177">
                  <c:v>171.6</c:v>
                </c:pt>
                <c:pt idx="178">
                  <c:v>#N/A</c:v>
                </c:pt>
                <c:pt idx="179">
                  <c:v>165.4</c:v>
                </c:pt>
                <c:pt idx="180">
                  <c:v>163.4</c:v>
                </c:pt>
                <c:pt idx="181">
                  <c:v>167.8</c:v>
                </c:pt>
                <c:pt idx="182">
                  <c:v>174.7</c:v>
                </c:pt>
                <c:pt idx="183">
                  <c:v>164.4</c:v>
                </c:pt>
                <c:pt idx="184">
                  <c:v>155.30000000000001</c:v>
                </c:pt>
                <c:pt idx="185">
                  <c:v>151.6</c:v>
                </c:pt>
                <c:pt idx="186">
                  <c:v>#N/A</c:v>
                </c:pt>
                <c:pt idx="187">
                  <c:v>153.5</c:v>
                </c:pt>
                <c:pt idx="188">
                  <c:v>161.80000000000001</c:v>
                </c:pt>
                <c:pt idx="189">
                  <c:v>167.7</c:v>
                </c:pt>
                <c:pt idx="190">
                  <c:v>164.5</c:v>
                </c:pt>
                <c:pt idx="191">
                  <c:v>163.69999999999999</c:v>
                </c:pt>
                <c:pt idx="192">
                  <c:v>174.1</c:v>
                </c:pt>
                <c:pt idx="193">
                  <c:v>179.4</c:v>
                </c:pt>
                <c:pt idx="194">
                  <c:v>175.3</c:v>
                </c:pt>
                <c:pt idx="195">
                  <c:v>174.9</c:v>
                </c:pt>
                <c:pt idx="196">
                  <c:v>188.3</c:v>
                </c:pt>
                <c:pt idx="197">
                  <c:v>196.6</c:v>
                </c:pt>
                <c:pt idx="198">
                  <c:v>212.9</c:v>
                </c:pt>
                <c:pt idx="199">
                  <c:v>204.9</c:v>
                </c:pt>
                <c:pt idx="200">
                  <c:v>190.4</c:v>
                </c:pt>
                <c:pt idx="201">
                  <c:v>170.7</c:v>
                </c:pt>
                <c:pt idx="202">
                  <c:v>162.9</c:v>
                </c:pt>
                <c:pt idx="203">
                  <c:v>167.9</c:v>
                </c:pt>
                <c:pt idx="204">
                  <c:v>181.1</c:v>
                </c:pt>
                <c:pt idx="205">
                  <c:v>175.4</c:v>
                </c:pt>
                <c:pt idx="206">
                  <c:v>186.5</c:v>
                </c:pt>
                <c:pt idx="207">
                  <c:v>201.1</c:v>
                </c:pt>
                <c:pt idx="208">
                  <c:v>195.9</c:v>
                </c:pt>
                <c:pt idx="209">
                  <c:v>192.6</c:v>
                </c:pt>
                <c:pt idx="210">
                  <c:v>204.3</c:v>
                </c:pt>
                <c:pt idx="211">
                  <c:v>208.5</c:v>
                </c:pt>
                <c:pt idx="212">
                  <c:v>207.4</c:v>
                </c:pt>
                <c:pt idx="213">
                  <c:v>209.3</c:v>
                </c:pt>
                <c:pt idx="214">
                  <c:v>223.9</c:v>
                </c:pt>
                <c:pt idx="215">
                  <c:v>218.2</c:v>
                </c:pt>
                <c:pt idx="216">
                  <c:v>202.5</c:v>
                </c:pt>
                <c:pt idx="217">
                  <c:v>187.1</c:v>
                </c:pt>
                <c:pt idx="218">
                  <c:v>173.9</c:v>
                </c:pt>
                <c:pt idx="219">
                  <c:v>165.9</c:v>
                </c:pt>
                <c:pt idx="220">
                  <c:v>171.9</c:v>
                </c:pt>
                <c:pt idx="221">
                  <c:v>180.2</c:v>
                </c:pt>
                <c:pt idx="222">
                  <c:v>171.7</c:v>
                </c:pt>
                <c:pt idx="223">
                  <c:v>162</c:v>
                </c:pt>
                <c:pt idx="224">
                  <c:v>160.30000000000001</c:v>
                </c:pt>
                <c:pt idx="225">
                  <c:v>175.6</c:v>
                </c:pt>
                <c:pt idx="226">
                  <c:v>184.4</c:v>
                </c:pt>
                <c:pt idx="227">
                  <c:v>180.9</c:v>
                </c:pt>
                <c:pt idx="228">
                  <c:v>177.2</c:v>
                </c:pt>
                <c:pt idx="229">
                  <c:v>178.3</c:v>
                </c:pt>
                <c:pt idx="230">
                  <c:v>186.9</c:v>
                </c:pt>
                <c:pt idx="231">
                  <c:v>202.2</c:v>
                </c:pt>
                <c:pt idx="232">
                  <c:v>200.9</c:v>
                </c:pt>
                <c:pt idx="233">
                  <c:v>193.3</c:v>
                </c:pt>
                <c:pt idx="234">
                  <c:v>184.5</c:v>
                </c:pt>
                <c:pt idx="235">
                  <c:v>178.4</c:v>
                </c:pt>
                <c:pt idx="236">
                  <c:v>174.2</c:v>
                </c:pt>
                <c:pt idx="237">
                  <c:v>173.3</c:v>
                </c:pt>
                <c:pt idx="238">
                  <c:v>177.1</c:v>
                </c:pt>
                <c:pt idx="239">
                  <c:v>189.3</c:v>
                </c:pt>
                <c:pt idx="240">
                  <c:v>189.5</c:v>
                </c:pt>
                <c:pt idx="241">
                  <c:v>182.3</c:v>
                </c:pt>
                <c:pt idx="242">
                  <c:v>176.5</c:v>
                </c:pt>
                <c:pt idx="243">
                  <c:v>173.9</c:v>
                </c:pt>
                <c:pt idx="244">
                  <c:v>174.5</c:v>
                </c:pt>
                <c:pt idx="245">
                  <c:v>181</c:v>
                </c:pt>
                <c:pt idx="246">
                  <c:v>196</c:v>
                </c:pt>
                <c:pt idx="247">
                  <c:v>192</c:v>
                </c:pt>
                <c:pt idx="248">
                  <c:v>186.2</c:v>
                </c:pt>
                <c:pt idx="249">
                  <c:v>182.2</c:v>
                </c:pt>
                <c:pt idx="250">
                  <c:v>180.2</c:v>
                </c:pt>
                <c:pt idx="251">
                  <c:v>178.6</c:v>
                </c:pt>
                <c:pt idx="252">
                  <c:v>181.4</c:v>
                </c:pt>
                <c:pt idx="253">
                  <c:v>189.1</c:v>
                </c:pt>
                <c:pt idx="254">
                  <c:v>192.5</c:v>
                </c:pt>
                <c:pt idx="255">
                  <c:v>189</c:v>
                </c:pt>
                <c:pt idx="256">
                  <c:v>185.2</c:v>
                </c:pt>
                <c:pt idx="257">
                  <c:v>181.2</c:v>
                </c:pt>
                <c:pt idx="258">
                  <c:v>177.5</c:v>
                </c:pt>
                <c:pt idx="259">
                  <c:v>173.8</c:v>
                </c:pt>
                <c:pt idx="260">
                  <c:v>174.8</c:v>
                </c:pt>
                <c:pt idx="261">
                  <c:v>191.5</c:v>
                </c:pt>
                <c:pt idx="262">
                  <c:v>193.8</c:v>
                </c:pt>
                <c:pt idx="263">
                  <c:v>185.8</c:v>
                </c:pt>
                <c:pt idx="264">
                  <c:v>179.3</c:v>
                </c:pt>
                <c:pt idx="265">
                  <c:v>174</c:v>
                </c:pt>
                <c:pt idx="266">
                  <c:v>170.4</c:v>
                </c:pt>
                <c:pt idx="267">
                  <c:v>182.6</c:v>
                </c:pt>
                <c:pt idx="268">
                  <c:v>194.4</c:v>
                </c:pt>
                <c:pt idx="269">
                  <c:v>188.5</c:v>
                </c:pt>
                <c:pt idx="270">
                  <c:v>185.6</c:v>
                </c:pt>
                <c:pt idx="271">
                  <c:v>193.1</c:v>
                </c:pt>
                <c:pt idx="272">
                  <c:v>209</c:v>
                </c:pt>
                <c:pt idx="273">
                  <c:v>205.1</c:v>
                </c:pt>
                <c:pt idx="274">
                  <c:v>200.5</c:v>
                </c:pt>
                <c:pt idx="275">
                  <c:v>196.7</c:v>
                </c:pt>
                <c:pt idx="276">
                  <c:v>199.9</c:v>
                </c:pt>
                <c:pt idx="277">
                  <c:v>214.9</c:v>
                </c:pt>
                <c:pt idx="278">
                  <c:v>213.5</c:v>
                </c:pt>
                <c:pt idx="279">
                  <c:v>207.3</c:v>
                </c:pt>
                <c:pt idx="280">
                  <c:v>201</c:v>
                </c:pt>
                <c:pt idx="281">
                  <c:v>196.2</c:v>
                </c:pt>
                <c:pt idx="282">
                  <c:v>191.9</c:v>
                </c:pt>
                <c:pt idx="283">
                  <c:v>192.3</c:v>
                </c:pt>
                <c:pt idx="284">
                  <c:v>204.7</c:v>
                </c:pt>
                <c:pt idx="285">
                  <c:v>207.3</c:v>
                </c:pt>
                <c:pt idx="286">
                  <c:v>197.6</c:v>
                </c:pt>
                <c:pt idx="287">
                  <c:v>189.7</c:v>
                </c:pt>
                <c:pt idx="288">
                  <c:v>182.7</c:v>
                </c:pt>
                <c:pt idx="289">
                  <c:v>182.3</c:v>
                </c:pt>
                <c:pt idx="290">
                  <c:v>193.3</c:v>
                </c:pt>
                <c:pt idx="291">
                  <c:v>200.4</c:v>
                </c:pt>
                <c:pt idx="292">
                  <c:v>193.3</c:v>
                </c:pt>
                <c:pt idx="293">
                  <c:v>184.4</c:v>
                </c:pt>
                <c:pt idx="294">
                  <c:v>178.7</c:v>
                </c:pt>
                <c:pt idx="295">
                  <c:v>184.1</c:v>
                </c:pt>
                <c:pt idx="296">
                  <c:v>200.7</c:v>
                </c:pt>
                <c:pt idx="297">
                  <c:v>203.8</c:v>
                </c:pt>
                <c:pt idx="298">
                  <c:v>195.8</c:v>
                </c:pt>
                <c:pt idx="299">
                  <c:v>192</c:v>
                </c:pt>
                <c:pt idx="300">
                  <c:v>189.7</c:v>
                </c:pt>
                <c:pt idx="301">
                  <c:v>191.2</c:v>
                </c:pt>
                <c:pt idx="302">
                  <c:v>201.8</c:v>
                </c:pt>
                <c:pt idx="303">
                  <c:v>208.6</c:v>
                </c:pt>
                <c:pt idx="304">
                  <c:v>196.7</c:v>
                </c:pt>
                <c:pt idx="305">
                  <c:v>192.5</c:v>
                </c:pt>
                <c:pt idx="306">
                  <c:v>192.2</c:v>
                </c:pt>
                <c:pt idx="307">
                  <c:v>202.9</c:v>
                </c:pt>
                <c:pt idx="308">
                  <c:v>217</c:v>
                </c:pt>
                <c:pt idx="309">
                  <c:v>209.1</c:v>
                </c:pt>
                <c:pt idx="310">
                  <c:v>199.8</c:v>
                </c:pt>
                <c:pt idx="311">
                  <c:v>192.5</c:v>
                </c:pt>
                <c:pt idx="312">
                  <c:v>186.8</c:v>
                </c:pt>
                <c:pt idx="313">
                  <c:v>183</c:v>
                </c:pt>
                <c:pt idx="314">
                  <c:v>190.4</c:v>
                </c:pt>
                <c:pt idx="315">
                  <c:v>207.8</c:v>
                </c:pt>
                <c:pt idx="316">
                  <c:v>199.7</c:v>
                </c:pt>
                <c:pt idx="317">
                  <c:v>190.8</c:v>
                </c:pt>
                <c:pt idx="318">
                  <c:v>185.5</c:v>
                </c:pt>
                <c:pt idx="319">
                  <c:v>182.9</c:v>
                </c:pt>
                <c:pt idx="320">
                  <c:v>184.4</c:v>
                </c:pt>
                <c:pt idx="321">
                  <c:v>193.8</c:v>
                </c:pt>
                <c:pt idx="322">
                  <c:v>200.5</c:v>
                </c:pt>
                <c:pt idx="323">
                  <c:v>189</c:v>
                </c:pt>
                <c:pt idx="324">
                  <c:v>181.2</c:v>
                </c:pt>
                <c:pt idx="325">
                  <c:v>176.1</c:v>
                </c:pt>
                <c:pt idx="326">
                  <c:v>174.5</c:v>
                </c:pt>
                <c:pt idx="327">
                  <c:v>178.9</c:v>
                </c:pt>
                <c:pt idx="328">
                  <c:v>187.2</c:v>
                </c:pt>
                <c:pt idx="329">
                  <c:v>188.2</c:v>
                </c:pt>
                <c:pt idx="330">
                  <c:v>176.7</c:v>
                </c:pt>
                <c:pt idx="331">
                  <c:v>169.5</c:v>
                </c:pt>
                <c:pt idx="332">
                  <c:v>166.5</c:v>
                </c:pt>
                <c:pt idx="333">
                  <c:v>172.3</c:v>
                </c:pt>
                <c:pt idx="334">
                  <c:v>185.3</c:v>
                </c:pt>
                <c:pt idx="335">
                  <c:v>192.4</c:v>
                </c:pt>
                <c:pt idx="336">
                  <c:v>185.8</c:v>
                </c:pt>
                <c:pt idx="337">
                  <c:v>178.2</c:v>
                </c:pt>
                <c:pt idx="338">
                  <c:v>172.7</c:v>
                </c:pt>
                <c:pt idx="339">
                  <c:v>169.5</c:v>
                </c:pt>
                <c:pt idx="340">
                  <c:v>170.4</c:v>
                </c:pt>
                <c:pt idx="341">
                  <c:v>177</c:v>
                </c:pt>
                <c:pt idx="342">
                  <c:v>190.1</c:v>
                </c:pt>
                <c:pt idx="343">
                  <c:v>195.5</c:v>
                </c:pt>
                <c:pt idx="344">
                  <c:v>190.8</c:v>
                </c:pt>
                <c:pt idx="345">
                  <c:v>184.6</c:v>
                </c:pt>
                <c:pt idx="346">
                  <c:v>179.9</c:v>
                </c:pt>
                <c:pt idx="347">
                  <c:v>176.7</c:v>
                </c:pt>
                <c:pt idx="348">
                  <c:v>174.4</c:v>
                </c:pt>
                <c:pt idx="349">
                  <c:v>175.5</c:v>
                </c:pt>
                <c:pt idx="350">
                  <c:v>182.8</c:v>
                </c:pt>
                <c:pt idx="351">
                  <c:v>189.8</c:v>
                </c:pt>
                <c:pt idx="352">
                  <c:v>185.7</c:v>
                </c:pt>
                <c:pt idx="353">
                  <c:v>180.3</c:v>
                </c:pt>
                <c:pt idx="354">
                  <c:v>175.7</c:v>
                </c:pt>
                <c:pt idx="355">
                  <c:v>172.1</c:v>
                </c:pt>
                <c:pt idx="356">
                  <c:v>171.5</c:v>
                </c:pt>
                <c:pt idx="357">
                  <c:v>177.2</c:v>
                </c:pt>
                <c:pt idx="358">
                  <c:v>186.8</c:v>
                </c:pt>
                <c:pt idx="359">
                  <c:v>191</c:v>
                </c:pt>
                <c:pt idx="360">
                  <c:v>184.4</c:v>
                </c:pt>
                <c:pt idx="361">
                  <c:v>175.6</c:v>
                </c:pt>
                <c:pt idx="362">
                  <c:v>169.2</c:v>
                </c:pt>
                <c:pt idx="363">
                  <c:v>164.5</c:v>
                </c:pt>
                <c:pt idx="364">
                  <c:v>165.8</c:v>
                </c:pt>
                <c:pt idx="365">
                  <c:v>179.9</c:v>
                </c:pt>
                <c:pt idx="366">
                  <c:v>191.8</c:v>
                </c:pt>
                <c:pt idx="367">
                  <c:v>183.1</c:v>
                </c:pt>
                <c:pt idx="368">
                  <c:v>176</c:v>
                </c:pt>
                <c:pt idx="369">
                  <c:v>176</c:v>
                </c:pt>
                <c:pt idx="370">
                  <c:v>184.9</c:v>
                </c:pt>
                <c:pt idx="371">
                  <c:v>188</c:v>
                </c:pt>
                <c:pt idx="372">
                  <c:v>176.6</c:v>
                </c:pt>
                <c:pt idx="373">
                  <c:v>171.2</c:v>
                </c:pt>
                <c:pt idx="374">
                  <c:v>167.6</c:v>
                </c:pt>
                <c:pt idx="375">
                  <c:v>176</c:v>
                </c:pt>
                <c:pt idx="376">
                  <c:v>190.3</c:v>
                </c:pt>
                <c:pt idx="377">
                  <c:v>186.5</c:v>
                </c:pt>
                <c:pt idx="378">
                  <c:v>179.2</c:v>
                </c:pt>
                <c:pt idx="379">
                  <c:v>173.5</c:v>
                </c:pt>
                <c:pt idx="380">
                  <c:v>174.4</c:v>
                </c:pt>
                <c:pt idx="381">
                  <c:v>187.1</c:v>
                </c:pt>
                <c:pt idx="382">
                  <c:v>192.3</c:v>
                </c:pt>
                <c:pt idx="383">
                  <c:v>185.2</c:v>
                </c:pt>
                <c:pt idx="384">
                  <c:v>177.3</c:v>
                </c:pt>
                <c:pt idx="385">
                  <c:v>169.7</c:v>
                </c:pt>
                <c:pt idx="386">
                  <c:v>179.2</c:v>
                </c:pt>
                <c:pt idx="387">
                  <c:v>194.6</c:v>
                </c:pt>
                <c:pt idx="388">
                  <c:v>190.1</c:v>
                </c:pt>
                <c:pt idx="389">
                  <c:v>180.2</c:v>
                </c:pt>
                <c:pt idx="390">
                  <c:v>176.1</c:v>
                </c:pt>
                <c:pt idx="391">
                  <c:v>188.5</c:v>
                </c:pt>
                <c:pt idx="392">
                  <c:v>197.5</c:v>
                </c:pt>
                <c:pt idx="393">
                  <c:v>188.6</c:v>
                </c:pt>
                <c:pt idx="394">
                  <c:v>174.7</c:v>
                </c:pt>
                <c:pt idx="395">
                  <c:v>169.2</c:v>
                </c:pt>
                <c:pt idx="396">
                  <c:v>177.2</c:v>
                </c:pt>
                <c:pt idx="397">
                  <c:v>190.9</c:v>
                </c:pt>
                <c:pt idx="398">
                  <c:v>191.9</c:v>
                </c:pt>
                <c:pt idx="399">
                  <c:v>178.5</c:v>
                </c:pt>
                <c:pt idx="400">
                  <c:v>165.4</c:v>
                </c:pt>
                <c:pt idx="401">
                  <c:v>161.6</c:v>
                </c:pt>
                <c:pt idx="402">
                  <c:v>166.8</c:v>
                </c:pt>
                <c:pt idx="403">
                  <c:v>172.4</c:v>
                </c:pt>
                <c:pt idx="404">
                  <c:v>187.4</c:v>
                </c:pt>
                <c:pt idx="405">
                  <c:v>201.1</c:v>
                </c:pt>
                <c:pt idx="406">
                  <c:v>219.8</c:v>
                </c:pt>
                <c:pt idx="407">
                  <c:v>237.5</c:v>
                </c:pt>
                <c:pt idx="408">
                  <c:v>253.4</c:v>
                </c:pt>
                <c:pt idx="409">
                  <c:v>240.6</c:v>
                </c:pt>
                <c:pt idx="410">
                  <c:v>224.5</c:v>
                </c:pt>
                <c:pt idx="411">
                  <c:v>213.2</c:v>
                </c:pt>
                <c:pt idx="412">
                  <c:v>191.8</c:v>
                </c:pt>
              </c:numCache>
            </c:numRef>
          </c:val>
          <c:smooth val="0"/>
          <c:extLst>
            <c:ext xmlns:c16="http://schemas.microsoft.com/office/drawing/2014/chart" uri="{C3380CC4-5D6E-409C-BE32-E72D297353CC}">
              <c16:uniqueId val="{00000000-3CEA-40B8-905F-310273B513EF}"/>
            </c:ext>
          </c:extLst>
        </c:ser>
        <c:ser>
          <c:idx val="0"/>
          <c:order val="1"/>
          <c:tx>
            <c:v>Diesel</c:v>
          </c:tx>
          <c:spPr>
            <a:ln w="19050" cap="rnd">
              <a:solidFill>
                <a:schemeClr val="bg2">
                  <a:lumMod val="75000"/>
                </a:schemeClr>
              </a:solidFill>
              <a:round/>
            </a:ln>
            <a:effectLst/>
          </c:spPr>
          <c:marker>
            <c:symbol val="none"/>
          </c:marker>
          <c:cat>
            <c:numRef>
              <c:f>'Chart 2.1.2 data'!$O$9:$O$421</c:f>
              <c:numCache>
                <c:formatCode>General</c:formatCode>
                <c:ptCount val="413"/>
                <c:pt idx="14" formatCode="m/d/yyyy">
                  <c:v>43351</c:v>
                </c:pt>
                <c:pt idx="15" formatCode="m/d/yyyy">
                  <c:v>43358</c:v>
                </c:pt>
                <c:pt idx="16" formatCode="m/d/yyyy">
                  <c:v>43365</c:v>
                </c:pt>
                <c:pt idx="17" formatCode="m/d/yyyy">
                  <c:v>43372</c:v>
                </c:pt>
                <c:pt idx="18" formatCode="m/d/yyyy">
                  <c:v>43379</c:v>
                </c:pt>
                <c:pt idx="19" formatCode="m/d/yyyy">
                  <c:v>43386</c:v>
                </c:pt>
                <c:pt idx="20" formatCode="m/d/yyyy">
                  <c:v>43393</c:v>
                </c:pt>
                <c:pt idx="21" formatCode="m/d/yyyy">
                  <c:v>43400</c:v>
                </c:pt>
                <c:pt idx="22" formatCode="m/d/yyyy">
                  <c:v>43407</c:v>
                </c:pt>
                <c:pt idx="23" formatCode="m/d/yyyy">
                  <c:v>43414</c:v>
                </c:pt>
                <c:pt idx="24" formatCode="m/d/yyyy">
                  <c:v>43421</c:v>
                </c:pt>
                <c:pt idx="25" formatCode="m/d/yyyy">
                  <c:v>43428</c:v>
                </c:pt>
                <c:pt idx="26" formatCode="m/d/yyyy">
                  <c:v>43435</c:v>
                </c:pt>
                <c:pt idx="27" formatCode="m/d/yyyy">
                  <c:v>43442</c:v>
                </c:pt>
                <c:pt idx="28" formatCode="m/d/yyyy">
                  <c:v>43449</c:v>
                </c:pt>
                <c:pt idx="29" formatCode="m/d/yyyy">
                  <c:v>43456</c:v>
                </c:pt>
                <c:pt idx="30" formatCode="m/d/yyyy">
                  <c:v>43463</c:v>
                </c:pt>
                <c:pt idx="31" formatCode="m/d/yyyy">
                  <c:v>43470</c:v>
                </c:pt>
                <c:pt idx="32" formatCode="m/d/yyyy">
                  <c:v>43477</c:v>
                </c:pt>
                <c:pt idx="33" formatCode="m/d/yyyy">
                  <c:v>43484</c:v>
                </c:pt>
                <c:pt idx="34" formatCode="m/d/yyyy">
                  <c:v>43491</c:v>
                </c:pt>
                <c:pt idx="35" formatCode="m/d/yyyy">
                  <c:v>43498</c:v>
                </c:pt>
                <c:pt idx="36" formatCode="m/d/yyyy">
                  <c:v>43505</c:v>
                </c:pt>
                <c:pt idx="37" formatCode="m/d/yyyy">
                  <c:v>43512</c:v>
                </c:pt>
                <c:pt idx="38" formatCode="m/d/yyyy">
                  <c:v>43519</c:v>
                </c:pt>
                <c:pt idx="39" formatCode="m/d/yyyy">
                  <c:v>43526</c:v>
                </c:pt>
                <c:pt idx="40" formatCode="m/d/yyyy">
                  <c:v>43533</c:v>
                </c:pt>
                <c:pt idx="41" formatCode="m/d/yyyy">
                  <c:v>43540</c:v>
                </c:pt>
                <c:pt idx="42" formatCode="m/d/yyyy">
                  <c:v>43547</c:v>
                </c:pt>
                <c:pt idx="43" formatCode="m/d/yyyy">
                  <c:v>43554</c:v>
                </c:pt>
                <c:pt idx="44" formatCode="m/d/yyyy">
                  <c:v>43561</c:v>
                </c:pt>
                <c:pt idx="45" formatCode="m/d/yyyy">
                  <c:v>43568</c:v>
                </c:pt>
                <c:pt idx="46" formatCode="m/d/yyyy">
                  <c:v>43575</c:v>
                </c:pt>
                <c:pt idx="47" formatCode="m/d/yyyy">
                  <c:v>43582</c:v>
                </c:pt>
                <c:pt idx="48" formatCode="m/d/yyyy">
                  <c:v>43589</c:v>
                </c:pt>
                <c:pt idx="49" formatCode="m/d/yyyy">
                  <c:v>43596</c:v>
                </c:pt>
                <c:pt idx="50" formatCode="m/d/yyyy">
                  <c:v>43603</c:v>
                </c:pt>
                <c:pt idx="51" formatCode="m/d/yyyy">
                  <c:v>43610</c:v>
                </c:pt>
                <c:pt idx="52" formatCode="m/d/yyyy">
                  <c:v>43617</c:v>
                </c:pt>
                <c:pt idx="53" formatCode="m/d/yyyy">
                  <c:v>43624</c:v>
                </c:pt>
                <c:pt idx="54" formatCode="m/d/yyyy">
                  <c:v>43631</c:v>
                </c:pt>
                <c:pt idx="55" formatCode="m/d/yyyy">
                  <c:v>43638</c:v>
                </c:pt>
                <c:pt idx="56" formatCode="m/d/yyyy">
                  <c:v>43645</c:v>
                </c:pt>
                <c:pt idx="57" formatCode="m/d/yyyy">
                  <c:v>43652</c:v>
                </c:pt>
                <c:pt idx="58" formatCode="m/d/yyyy">
                  <c:v>43659</c:v>
                </c:pt>
                <c:pt idx="59" formatCode="m/d/yyyy">
                  <c:v>43666</c:v>
                </c:pt>
                <c:pt idx="60" formatCode="m/d/yyyy">
                  <c:v>43673</c:v>
                </c:pt>
                <c:pt idx="61" formatCode="m/d/yyyy">
                  <c:v>43680</c:v>
                </c:pt>
                <c:pt idx="62" formatCode="m/d/yyyy">
                  <c:v>43687</c:v>
                </c:pt>
                <c:pt idx="63" formatCode="m/d/yyyy">
                  <c:v>43694</c:v>
                </c:pt>
                <c:pt idx="64" formatCode="m/d/yyyy">
                  <c:v>43701</c:v>
                </c:pt>
                <c:pt idx="65" formatCode="m/d/yyyy">
                  <c:v>43708</c:v>
                </c:pt>
                <c:pt idx="66" formatCode="m/d/yyyy">
                  <c:v>43715</c:v>
                </c:pt>
                <c:pt idx="67" formatCode="m/d/yyyy">
                  <c:v>43722</c:v>
                </c:pt>
                <c:pt idx="68" formatCode="m/d/yyyy">
                  <c:v>43729</c:v>
                </c:pt>
                <c:pt idx="69" formatCode="m/d/yyyy">
                  <c:v>43736</c:v>
                </c:pt>
                <c:pt idx="70" formatCode="m/d/yyyy">
                  <c:v>43743</c:v>
                </c:pt>
                <c:pt idx="71" formatCode="m/d/yyyy">
                  <c:v>43750</c:v>
                </c:pt>
                <c:pt idx="72" formatCode="m/d/yyyy">
                  <c:v>43757</c:v>
                </c:pt>
                <c:pt idx="73" formatCode="m/d/yyyy">
                  <c:v>43764</c:v>
                </c:pt>
                <c:pt idx="74" formatCode="m/d/yyyy">
                  <c:v>43771</c:v>
                </c:pt>
                <c:pt idx="75" formatCode="m/d/yyyy">
                  <c:v>43778</c:v>
                </c:pt>
                <c:pt idx="76" formatCode="m/d/yyyy">
                  <c:v>43785</c:v>
                </c:pt>
                <c:pt idx="77" formatCode="m/d/yyyy">
                  <c:v>43792</c:v>
                </c:pt>
                <c:pt idx="78" formatCode="m/d/yyyy">
                  <c:v>43799</c:v>
                </c:pt>
                <c:pt idx="79" formatCode="m/d/yyyy">
                  <c:v>43806</c:v>
                </c:pt>
                <c:pt idx="80" formatCode="m/d/yyyy">
                  <c:v>43813</c:v>
                </c:pt>
                <c:pt idx="81" formatCode="m/d/yyyy">
                  <c:v>43820</c:v>
                </c:pt>
                <c:pt idx="82" formatCode="m/d/yyyy">
                  <c:v>43827</c:v>
                </c:pt>
                <c:pt idx="83" formatCode="m/d/yyyy">
                  <c:v>43834</c:v>
                </c:pt>
                <c:pt idx="84" formatCode="m/d/yyyy">
                  <c:v>43841</c:v>
                </c:pt>
                <c:pt idx="85" formatCode="m/d/yyyy">
                  <c:v>43848</c:v>
                </c:pt>
                <c:pt idx="86" formatCode="m/d/yyyy">
                  <c:v>43855</c:v>
                </c:pt>
                <c:pt idx="87" formatCode="m/d/yyyy">
                  <c:v>43862</c:v>
                </c:pt>
                <c:pt idx="88" formatCode="m/d/yyyy">
                  <c:v>43869</c:v>
                </c:pt>
                <c:pt idx="89" formatCode="m/d/yyyy">
                  <c:v>43876</c:v>
                </c:pt>
                <c:pt idx="90" formatCode="m/d/yyyy">
                  <c:v>43883</c:v>
                </c:pt>
                <c:pt idx="91" formatCode="m/d/yyyy">
                  <c:v>43890</c:v>
                </c:pt>
                <c:pt idx="92" formatCode="m/d/yyyy">
                  <c:v>43897</c:v>
                </c:pt>
                <c:pt idx="93" formatCode="m/d/yyyy">
                  <c:v>43904</c:v>
                </c:pt>
                <c:pt idx="94" formatCode="m/d/yyyy">
                  <c:v>43911</c:v>
                </c:pt>
                <c:pt idx="95" formatCode="m/d/yyyy">
                  <c:v>43918</c:v>
                </c:pt>
                <c:pt idx="96" formatCode="m/d/yyyy">
                  <c:v>43925</c:v>
                </c:pt>
                <c:pt idx="97" formatCode="m/d/yyyy">
                  <c:v>43932</c:v>
                </c:pt>
                <c:pt idx="98" formatCode="m/d/yyyy">
                  <c:v>43939</c:v>
                </c:pt>
                <c:pt idx="99" formatCode="m/d/yyyy">
                  <c:v>43946</c:v>
                </c:pt>
                <c:pt idx="100" formatCode="m/d/yyyy">
                  <c:v>43953</c:v>
                </c:pt>
                <c:pt idx="101" formatCode="m/d/yyyy">
                  <c:v>43960</c:v>
                </c:pt>
                <c:pt idx="102" formatCode="m/d/yyyy">
                  <c:v>43967</c:v>
                </c:pt>
                <c:pt idx="103" formatCode="m/d/yyyy">
                  <c:v>43974</c:v>
                </c:pt>
                <c:pt idx="104" formatCode="m/d/yyyy">
                  <c:v>43981</c:v>
                </c:pt>
                <c:pt idx="105" formatCode="m/d/yyyy">
                  <c:v>43988</c:v>
                </c:pt>
                <c:pt idx="106" formatCode="m/d/yyyy">
                  <c:v>43995</c:v>
                </c:pt>
                <c:pt idx="107" formatCode="m/d/yyyy">
                  <c:v>44002</c:v>
                </c:pt>
                <c:pt idx="108" formatCode="m/d/yyyy">
                  <c:v>44009</c:v>
                </c:pt>
                <c:pt idx="109" formatCode="m/d/yyyy">
                  <c:v>44016</c:v>
                </c:pt>
                <c:pt idx="110" formatCode="m/d/yyyy">
                  <c:v>44023</c:v>
                </c:pt>
                <c:pt idx="111" formatCode="m/d/yyyy">
                  <c:v>44030</c:v>
                </c:pt>
                <c:pt idx="112" formatCode="m/d/yyyy">
                  <c:v>44037</c:v>
                </c:pt>
                <c:pt idx="113" formatCode="m/d/yyyy">
                  <c:v>44044</c:v>
                </c:pt>
                <c:pt idx="114" formatCode="m/d/yyyy">
                  <c:v>44051</c:v>
                </c:pt>
                <c:pt idx="115" formatCode="m/d/yyyy">
                  <c:v>44058</c:v>
                </c:pt>
                <c:pt idx="116" formatCode="m/d/yyyy">
                  <c:v>44065</c:v>
                </c:pt>
                <c:pt idx="117" formatCode="m/d/yyyy">
                  <c:v>44072</c:v>
                </c:pt>
                <c:pt idx="118" formatCode="m/d/yyyy">
                  <c:v>44079</c:v>
                </c:pt>
                <c:pt idx="119" formatCode="m/d/yyyy">
                  <c:v>44086</c:v>
                </c:pt>
                <c:pt idx="120" formatCode="m/d/yyyy">
                  <c:v>44093</c:v>
                </c:pt>
                <c:pt idx="121" formatCode="m/d/yyyy">
                  <c:v>44100</c:v>
                </c:pt>
                <c:pt idx="122" formatCode="m/d/yyyy">
                  <c:v>44107</c:v>
                </c:pt>
                <c:pt idx="123" formatCode="m/d/yyyy">
                  <c:v>44114</c:v>
                </c:pt>
                <c:pt idx="124" formatCode="m/d/yyyy">
                  <c:v>44121</c:v>
                </c:pt>
                <c:pt idx="125" formatCode="m/d/yyyy">
                  <c:v>44128</c:v>
                </c:pt>
                <c:pt idx="126" formatCode="m/d/yyyy">
                  <c:v>44135</c:v>
                </c:pt>
                <c:pt idx="127" formatCode="m/d/yyyy">
                  <c:v>44142</c:v>
                </c:pt>
                <c:pt idx="128" formatCode="m/d/yyyy">
                  <c:v>44149</c:v>
                </c:pt>
                <c:pt idx="129" formatCode="m/d/yyyy">
                  <c:v>44156</c:v>
                </c:pt>
                <c:pt idx="130" formatCode="m/d/yyyy">
                  <c:v>44163</c:v>
                </c:pt>
                <c:pt idx="131" formatCode="m/d/yyyy">
                  <c:v>44170</c:v>
                </c:pt>
                <c:pt idx="132" formatCode="m/d/yyyy">
                  <c:v>44177</c:v>
                </c:pt>
                <c:pt idx="133" formatCode="m/d/yyyy">
                  <c:v>44184</c:v>
                </c:pt>
                <c:pt idx="134" formatCode="m/d/yyyy">
                  <c:v>44191</c:v>
                </c:pt>
                <c:pt idx="135" formatCode="m/d/yyyy">
                  <c:v>44198</c:v>
                </c:pt>
                <c:pt idx="136" formatCode="m/d/yyyy">
                  <c:v>44205</c:v>
                </c:pt>
                <c:pt idx="137" formatCode="m/d/yyyy">
                  <c:v>44212</c:v>
                </c:pt>
                <c:pt idx="138" formatCode="m/d/yyyy">
                  <c:v>44219</c:v>
                </c:pt>
                <c:pt idx="139" formatCode="m/d/yyyy">
                  <c:v>44226</c:v>
                </c:pt>
                <c:pt idx="140" formatCode="m/d/yyyy">
                  <c:v>44233</c:v>
                </c:pt>
                <c:pt idx="141" formatCode="m/d/yyyy">
                  <c:v>44240</c:v>
                </c:pt>
                <c:pt idx="142" formatCode="m/d/yyyy">
                  <c:v>44247</c:v>
                </c:pt>
                <c:pt idx="143" formatCode="m/d/yyyy">
                  <c:v>44254</c:v>
                </c:pt>
                <c:pt idx="144" formatCode="m/d/yyyy">
                  <c:v>44261</c:v>
                </c:pt>
                <c:pt idx="145" formatCode="m/d/yyyy">
                  <c:v>44268</c:v>
                </c:pt>
                <c:pt idx="146" formatCode="m/d/yyyy">
                  <c:v>44275</c:v>
                </c:pt>
                <c:pt idx="147" formatCode="m/d/yyyy">
                  <c:v>44282</c:v>
                </c:pt>
                <c:pt idx="148" formatCode="m/d/yyyy">
                  <c:v>44289</c:v>
                </c:pt>
                <c:pt idx="149" formatCode="m/d/yyyy">
                  <c:v>44296</c:v>
                </c:pt>
                <c:pt idx="150" formatCode="m/d/yyyy">
                  <c:v>44303</c:v>
                </c:pt>
                <c:pt idx="151" formatCode="m/d/yyyy">
                  <c:v>44310</c:v>
                </c:pt>
                <c:pt idx="152" formatCode="m/d/yyyy">
                  <c:v>44317</c:v>
                </c:pt>
                <c:pt idx="153" formatCode="m/d/yyyy">
                  <c:v>44324</c:v>
                </c:pt>
                <c:pt idx="154" formatCode="m/d/yyyy">
                  <c:v>44331</c:v>
                </c:pt>
                <c:pt idx="155" formatCode="m/d/yyyy">
                  <c:v>44338</c:v>
                </c:pt>
                <c:pt idx="156" formatCode="m/d/yyyy">
                  <c:v>44345</c:v>
                </c:pt>
                <c:pt idx="157" formatCode="m/d/yyyy">
                  <c:v>44352</c:v>
                </c:pt>
                <c:pt idx="158" formatCode="m/d/yyyy">
                  <c:v>44359</c:v>
                </c:pt>
                <c:pt idx="159" formatCode="m/d/yyyy">
                  <c:v>44366</c:v>
                </c:pt>
                <c:pt idx="160" formatCode="m/d/yyyy">
                  <c:v>44373</c:v>
                </c:pt>
                <c:pt idx="161" formatCode="m/d/yyyy">
                  <c:v>44380</c:v>
                </c:pt>
                <c:pt idx="162" formatCode="m/d/yyyy">
                  <c:v>44387</c:v>
                </c:pt>
                <c:pt idx="163" formatCode="m/d/yyyy">
                  <c:v>44394</c:v>
                </c:pt>
                <c:pt idx="164" formatCode="m/d/yyyy">
                  <c:v>44401</c:v>
                </c:pt>
                <c:pt idx="165" formatCode="m/d/yyyy">
                  <c:v>44408</c:v>
                </c:pt>
                <c:pt idx="166" formatCode="m/d/yyyy">
                  <c:v>44415</c:v>
                </c:pt>
                <c:pt idx="167" formatCode="m/d/yyyy">
                  <c:v>44422</c:v>
                </c:pt>
                <c:pt idx="168" formatCode="m/d/yyyy">
                  <c:v>44429</c:v>
                </c:pt>
                <c:pt idx="169" formatCode="m/d/yyyy">
                  <c:v>44436</c:v>
                </c:pt>
                <c:pt idx="170" formatCode="m/d/yyyy">
                  <c:v>44443</c:v>
                </c:pt>
                <c:pt idx="171" formatCode="m/d/yyyy">
                  <c:v>44450</c:v>
                </c:pt>
                <c:pt idx="172" formatCode="m/d/yyyy">
                  <c:v>44457</c:v>
                </c:pt>
                <c:pt idx="173" formatCode="m/d/yyyy">
                  <c:v>44464</c:v>
                </c:pt>
                <c:pt idx="174" formatCode="m/d/yyyy">
                  <c:v>44471</c:v>
                </c:pt>
                <c:pt idx="175" formatCode="m/d/yyyy">
                  <c:v>44478</c:v>
                </c:pt>
                <c:pt idx="176" formatCode="m/d/yyyy">
                  <c:v>44485</c:v>
                </c:pt>
                <c:pt idx="177" formatCode="m/d/yyyy">
                  <c:v>44492</c:v>
                </c:pt>
                <c:pt idx="178" formatCode="m/d/yyyy">
                  <c:v>44499</c:v>
                </c:pt>
                <c:pt idx="179" formatCode="m/d/yyyy">
                  <c:v>44506</c:v>
                </c:pt>
                <c:pt idx="180" formatCode="m/d/yyyy">
                  <c:v>44513</c:v>
                </c:pt>
                <c:pt idx="181" formatCode="m/d/yyyy">
                  <c:v>44520</c:v>
                </c:pt>
                <c:pt idx="182" formatCode="m/d/yyyy">
                  <c:v>44527</c:v>
                </c:pt>
                <c:pt idx="183" formatCode="m/d/yyyy">
                  <c:v>44534</c:v>
                </c:pt>
                <c:pt idx="184" formatCode="m/d/yyyy">
                  <c:v>44541</c:v>
                </c:pt>
                <c:pt idx="185" formatCode="m/d/yyyy">
                  <c:v>44548</c:v>
                </c:pt>
                <c:pt idx="186" formatCode="m/d/yyyy">
                  <c:v>44555</c:v>
                </c:pt>
                <c:pt idx="187" formatCode="m/d/yyyy">
                  <c:v>44562</c:v>
                </c:pt>
                <c:pt idx="188" formatCode="m/d/yyyy">
                  <c:v>44569</c:v>
                </c:pt>
                <c:pt idx="189" formatCode="m/d/yyyy">
                  <c:v>44576</c:v>
                </c:pt>
                <c:pt idx="190" formatCode="m/d/yyyy">
                  <c:v>44583</c:v>
                </c:pt>
                <c:pt idx="191" formatCode="m/d/yyyy">
                  <c:v>44590</c:v>
                </c:pt>
                <c:pt idx="192" formatCode="m/d/yyyy">
                  <c:v>44597</c:v>
                </c:pt>
                <c:pt idx="193" formatCode="m/d/yyyy">
                  <c:v>44604</c:v>
                </c:pt>
                <c:pt idx="194" formatCode="m/d/yyyy">
                  <c:v>44611</c:v>
                </c:pt>
                <c:pt idx="195" formatCode="m/d/yyyy">
                  <c:v>44618</c:v>
                </c:pt>
                <c:pt idx="196" formatCode="m/d/yyyy">
                  <c:v>44625</c:v>
                </c:pt>
                <c:pt idx="197" formatCode="m/d/yyyy">
                  <c:v>44632</c:v>
                </c:pt>
                <c:pt idx="198" formatCode="m/d/yyyy">
                  <c:v>44639</c:v>
                </c:pt>
                <c:pt idx="199" formatCode="m/d/yyyy">
                  <c:v>44646</c:v>
                </c:pt>
                <c:pt idx="200" formatCode="m/d/yyyy">
                  <c:v>44653</c:v>
                </c:pt>
                <c:pt idx="201" formatCode="m/d/yyyy">
                  <c:v>44660</c:v>
                </c:pt>
                <c:pt idx="202" formatCode="m/d/yyyy">
                  <c:v>44667</c:v>
                </c:pt>
                <c:pt idx="203" formatCode="m/d/yyyy">
                  <c:v>44674</c:v>
                </c:pt>
                <c:pt idx="204" formatCode="m/d/yyyy">
                  <c:v>44681</c:v>
                </c:pt>
                <c:pt idx="205" formatCode="m/d/yyyy">
                  <c:v>44688</c:v>
                </c:pt>
                <c:pt idx="206" formatCode="m/d/yyyy">
                  <c:v>44695</c:v>
                </c:pt>
                <c:pt idx="207" formatCode="m/d/yyyy">
                  <c:v>44702</c:v>
                </c:pt>
                <c:pt idx="208" formatCode="m/d/yyyy">
                  <c:v>44709</c:v>
                </c:pt>
                <c:pt idx="209" formatCode="m/d/yyyy">
                  <c:v>44716</c:v>
                </c:pt>
                <c:pt idx="210" formatCode="m/d/yyyy">
                  <c:v>44723</c:v>
                </c:pt>
                <c:pt idx="211" formatCode="m/d/yyyy">
                  <c:v>44730</c:v>
                </c:pt>
                <c:pt idx="212" formatCode="m/d/yyyy">
                  <c:v>44737</c:v>
                </c:pt>
                <c:pt idx="213" formatCode="m/d/yyyy">
                  <c:v>44744</c:v>
                </c:pt>
                <c:pt idx="214" formatCode="m/d/yyyy">
                  <c:v>44751</c:v>
                </c:pt>
                <c:pt idx="215" formatCode="m/d/yyyy">
                  <c:v>44758</c:v>
                </c:pt>
                <c:pt idx="216" formatCode="m/d/yyyy">
                  <c:v>44765</c:v>
                </c:pt>
                <c:pt idx="217" formatCode="m/d/yyyy">
                  <c:v>44772</c:v>
                </c:pt>
                <c:pt idx="218" formatCode="m/d/yyyy">
                  <c:v>44779</c:v>
                </c:pt>
                <c:pt idx="219" formatCode="m/d/yyyy">
                  <c:v>44786</c:v>
                </c:pt>
                <c:pt idx="220" formatCode="m/d/yyyy">
                  <c:v>44793</c:v>
                </c:pt>
                <c:pt idx="221" formatCode="m/d/yyyy">
                  <c:v>44800</c:v>
                </c:pt>
                <c:pt idx="222" formatCode="m/d/yyyy">
                  <c:v>44807</c:v>
                </c:pt>
                <c:pt idx="223" formatCode="m/d/yyyy">
                  <c:v>44814</c:v>
                </c:pt>
                <c:pt idx="224" formatCode="m/d/yyyy">
                  <c:v>44821</c:v>
                </c:pt>
                <c:pt idx="225" formatCode="m/d/yyyy">
                  <c:v>44828</c:v>
                </c:pt>
                <c:pt idx="226" formatCode="m/d/yyyy">
                  <c:v>44835</c:v>
                </c:pt>
                <c:pt idx="227" formatCode="m/d/yyyy">
                  <c:v>44842</c:v>
                </c:pt>
                <c:pt idx="228" formatCode="m/d/yyyy">
                  <c:v>44849</c:v>
                </c:pt>
                <c:pt idx="229" formatCode="m/d/yyyy">
                  <c:v>44856</c:v>
                </c:pt>
                <c:pt idx="230" formatCode="m/d/yyyy">
                  <c:v>44863</c:v>
                </c:pt>
                <c:pt idx="231" formatCode="m/d/yyyy">
                  <c:v>44870</c:v>
                </c:pt>
                <c:pt idx="232" formatCode="m/d/yyyy">
                  <c:v>44877</c:v>
                </c:pt>
                <c:pt idx="233" formatCode="m/d/yyyy">
                  <c:v>44884</c:v>
                </c:pt>
                <c:pt idx="234" formatCode="m/d/yyyy">
                  <c:v>44891</c:v>
                </c:pt>
                <c:pt idx="235" formatCode="m/d/yyyy">
                  <c:v>44898</c:v>
                </c:pt>
                <c:pt idx="236" formatCode="m/d/yyyy">
                  <c:v>44905</c:v>
                </c:pt>
                <c:pt idx="237" formatCode="m/d/yyyy">
                  <c:v>44912</c:v>
                </c:pt>
                <c:pt idx="238" formatCode="m/d/yyyy">
                  <c:v>44919</c:v>
                </c:pt>
                <c:pt idx="239" formatCode="m/d/yyyy">
                  <c:v>44926</c:v>
                </c:pt>
                <c:pt idx="240" formatCode="m/d/yyyy">
                  <c:v>44933</c:v>
                </c:pt>
                <c:pt idx="241" formatCode="m/d/yyyy">
                  <c:v>44940</c:v>
                </c:pt>
                <c:pt idx="242" formatCode="m/d/yyyy">
                  <c:v>44947</c:v>
                </c:pt>
                <c:pt idx="243" formatCode="m/d/yyyy">
                  <c:v>44954</c:v>
                </c:pt>
                <c:pt idx="244" formatCode="m/d/yyyy">
                  <c:v>44961</c:v>
                </c:pt>
                <c:pt idx="245" formatCode="m/d/yyyy">
                  <c:v>44968</c:v>
                </c:pt>
                <c:pt idx="246" formatCode="m/d/yyyy">
                  <c:v>44975</c:v>
                </c:pt>
                <c:pt idx="247" formatCode="m/d/yyyy">
                  <c:v>44982</c:v>
                </c:pt>
                <c:pt idx="248" formatCode="m/d/yyyy">
                  <c:v>44989</c:v>
                </c:pt>
                <c:pt idx="249" formatCode="m/d/yyyy">
                  <c:v>44996</c:v>
                </c:pt>
                <c:pt idx="250" formatCode="m/d/yyyy">
                  <c:v>45003</c:v>
                </c:pt>
                <c:pt idx="251" formatCode="m/d/yyyy">
                  <c:v>45010</c:v>
                </c:pt>
                <c:pt idx="252" formatCode="m/d/yyyy">
                  <c:v>45017</c:v>
                </c:pt>
                <c:pt idx="253" formatCode="m/d/yyyy">
                  <c:v>45024</c:v>
                </c:pt>
                <c:pt idx="254" formatCode="m/d/yyyy">
                  <c:v>45031</c:v>
                </c:pt>
                <c:pt idx="255" formatCode="m/d/yyyy">
                  <c:v>45038</c:v>
                </c:pt>
                <c:pt idx="256" formatCode="m/d/yyyy">
                  <c:v>45045</c:v>
                </c:pt>
                <c:pt idx="257" formatCode="m/d/yyyy">
                  <c:v>45052</c:v>
                </c:pt>
                <c:pt idx="258" formatCode="m/d/yyyy">
                  <c:v>45059</c:v>
                </c:pt>
                <c:pt idx="259" formatCode="m/d/yyyy">
                  <c:v>45066</c:v>
                </c:pt>
                <c:pt idx="260" formatCode="m/d/yyyy">
                  <c:v>45073</c:v>
                </c:pt>
                <c:pt idx="261" formatCode="m/d/yyyy">
                  <c:v>45080</c:v>
                </c:pt>
                <c:pt idx="262" formatCode="m/d/yyyy">
                  <c:v>45087</c:v>
                </c:pt>
                <c:pt idx="263" formatCode="m/d/yyyy">
                  <c:v>45094</c:v>
                </c:pt>
                <c:pt idx="264" formatCode="m/d/yyyy">
                  <c:v>45101</c:v>
                </c:pt>
                <c:pt idx="265" formatCode="m/d/yyyy">
                  <c:v>45108</c:v>
                </c:pt>
                <c:pt idx="266" formatCode="m/d/yyyy">
                  <c:v>45115</c:v>
                </c:pt>
                <c:pt idx="267" formatCode="m/d/yyyy">
                  <c:v>45122</c:v>
                </c:pt>
                <c:pt idx="268" formatCode="m/d/yyyy">
                  <c:v>45129</c:v>
                </c:pt>
                <c:pt idx="269" formatCode="m/d/yyyy">
                  <c:v>45136</c:v>
                </c:pt>
                <c:pt idx="270" formatCode="m/d/yyyy">
                  <c:v>45143</c:v>
                </c:pt>
                <c:pt idx="271" formatCode="m/d/yyyy">
                  <c:v>45150</c:v>
                </c:pt>
                <c:pt idx="272" formatCode="m/d/yyyy">
                  <c:v>45157</c:v>
                </c:pt>
                <c:pt idx="273" formatCode="m/d/yyyy">
                  <c:v>45164</c:v>
                </c:pt>
                <c:pt idx="274" formatCode="m/d/yyyy">
                  <c:v>45171</c:v>
                </c:pt>
                <c:pt idx="275" formatCode="m/d/yyyy">
                  <c:v>45178</c:v>
                </c:pt>
                <c:pt idx="276" formatCode="m/d/yyyy">
                  <c:v>45185</c:v>
                </c:pt>
                <c:pt idx="277" formatCode="m/d/yyyy">
                  <c:v>45192</c:v>
                </c:pt>
                <c:pt idx="278" formatCode="m/d/yyyy">
                  <c:v>45199</c:v>
                </c:pt>
                <c:pt idx="279" formatCode="m/d/yyyy">
                  <c:v>45206</c:v>
                </c:pt>
                <c:pt idx="280" formatCode="m/d/yyyy">
                  <c:v>45213</c:v>
                </c:pt>
                <c:pt idx="281" formatCode="m/d/yyyy">
                  <c:v>45220</c:v>
                </c:pt>
                <c:pt idx="282" formatCode="m/d/yyyy">
                  <c:v>45227</c:v>
                </c:pt>
                <c:pt idx="283" formatCode="m/d/yyyy">
                  <c:v>45234</c:v>
                </c:pt>
                <c:pt idx="284" formatCode="m/d/yyyy">
                  <c:v>45241</c:v>
                </c:pt>
                <c:pt idx="285" formatCode="m/d/yyyy">
                  <c:v>45248</c:v>
                </c:pt>
                <c:pt idx="286" formatCode="m/d/yyyy">
                  <c:v>45255</c:v>
                </c:pt>
                <c:pt idx="287" formatCode="m/d/yyyy">
                  <c:v>45262</c:v>
                </c:pt>
                <c:pt idx="288" formatCode="m/d/yyyy">
                  <c:v>45269</c:v>
                </c:pt>
                <c:pt idx="289" formatCode="m/d/yyyy">
                  <c:v>45276</c:v>
                </c:pt>
                <c:pt idx="290" formatCode="m/d/yyyy">
                  <c:v>45283</c:v>
                </c:pt>
                <c:pt idx="291" formatCode="m/d/yyyy">
                  <c:v>45290</c:v>
                </c:pt>
                <c:pt idx="292" formatCode="m/d/yyyy">
                  <c:v>45297</c:v>
                </c:pt>
                <c:pt idx="293" formatCode="m/d/yyyy">
                  <c:v>45304</c:v>
                </c:pt>
                <c:pt idx="294" formatCode="m/d/yyyy">
                  <c:v>45311</c:v>
                </c:pt>
                <c:pt idx="295" formatCode="m/d/yyyy">
                  <c:v>45318</c:v>
                </c:pt>
                <c:pt idx="296" formatCode="m/d/yyyy">
                  <c:v>45325</c:v>
                </c:pt>
                <c:pt idx="297" formatCode="m/d/yyyy">
                  <c:v>45332</c:v>
                </c:pt>
                <c:pt idx="298" formatCode="m/d/yyyy">
                  <c:v>45339</c:v>
                </c:pt>
                <c:pt idx="299" formatCode="m/d/yyyy">
                  <c:v>45346</c:v>
                </c:pt>
                <c:pt idx="300" formatCode="m/d/yyyy">
                  <c:v>45353</c:v>
                </c:pt>
                <c:pt idx="301" formatCode="m/d/yyyy">
                  <c:v>45360</c:v>
                </c:pt>
                <c:pt idx="302" formatCode="m/d/yyyy">
                  <c:v>45367</c:v>
                </c:pt>
                <c:pt idx="303" formatCode="m/d/yyyy">
                  <c:v>45374</c:v>
                </c:pt>
                <c:pt idx="304" formatCode="m/d/yyyy">
                  <c:v>45381</c:v>
                </c:pt>
                <c:pt idx="305" formatCode="m/d/yyyy">
                  <c:v>45388</c:v>
                </c:pt>
                <c:pt idx="306" formatCode="m/d/yyyy">
                  <c:v>45395</c:v>
                </c:pt>
                <c:pt idx="307" formatCode="m/d/yyyy">
                  <c:v>45402</c:v>
                </c:pt>
                <c:pt idx="308" formatCode="m/d/yyyy">
                  <c:v>45409</c:v>
                </c:pt>
                <c:pt idx="309" formatCode="m/d/yyyy">
                  <c:v>45416</c:v>
                </c:pt>
                <c:pt idx="310" formatCode="m/d/yyyy">
                  <c:v>45423</c:v>
                </c:pt>
                <c:pt idx="311" formatCode="m/d/yyyy">
                  <c:v>45430</c:v>
                </c:pt>
                <c:pt idx="312" formatCode="m/d/yyyy">
                  <c:v>45437</c:v>
                </c:pt>
                <c:pt idx="313" formatCode="m/d/yyyy">
                  <c:v>45444</c:v>
                </c:pt>
                <c:pt idx="314" formatCode="m/d/yyyy">
                  <c:v>45451</c:v>
                </c:pt>
                <c:pt idx="315" formatCode="m/d/yyyy">
                  <c:v>45458</c:v>
                </c:pt>
                <c:pt idx="316" formatCode="m/d/yyyy">
                  <c:v>45465</c:v>
                </c:pt>
                <c:pt idx="317" formatCode="m/d/yyyy">
                  <c:v>45472</c:v>
                </c:pt>
                <c:pt idx="318" formatCode="m/d/yyyy">
                  <c:v>45479</c:v>
                </c:pt>
                <c:pt idx="319" formatCode="m/d/yyyy">
                  <c:v>45486</c:v>
                </c:pt>
                <c:pt idx="320" formatCode="m/d/yyyy">
                  <c:v>45493</c:v>
                </c:pt>
                <c:pt idx="321" formatCode="m/d/yyyy">
                  <c:v>45500</c:v>
                </c:pt>
                <c:pt idx="322" formatCode="m/d/yyyy">
                  <c:v>45507</c:v>
                </c:pt>
                <c:pt idx="323" formatCode="m/d/yyyy">
                  <c:v>45514</c:v>
                </c:pt>
                <c:pt idx="324" formatCode="m/d/yyyy">
                  <c:v>45521</c:v>
                </c:pt>
                <c:pt idx="325" formatCode="m/d/yyyy">
                  <c:v>45528</c:v>
                </c:pt>
                <c:pt idx="326" formatCode="m/d/yyyy">
                  <c:v>45535</c:v>
                </c:pt>
                <c:pt idx="327" formatCode="m/d/yyyy">
                  <c:v>45542</c:v>
                </c:pt>
                <c:pt idx="328" formatCode="m/d/yyyy">
                  <c:v>45549</c:v>
                </c:pt>
                <c:pt idx="329" formatCode="m/d/yyyy">
                  <c:v>45556</c:v>
                </c:pt>
                <c:pt idx="330" formatCode="m/d/yyyy">
                  <c:v>45563</c:v>
                </c:pt>
                <c:pt idx="331" formatCode="m/d/yyyy">
                  <c:v>45570</c:v>
                </c:pt>
                <c:pt idx="332" formatCode="m/d/yyyy">
                  <c:v>45577</c:v>
                </c:pt>
                <c:pt idx="333" formatCode="m/d/yyyy">
                  <c:v>45584</c:v>
                </c:pt>
                <c:pt idx="334" formatCode="m/d/yyyy">
                  <c:v>45591</c:v>
                </c:pt>
                <c:pt idx="335" formatCode="m/d/yyyy">
                  <c:v>45598</c:v>
                </c:pt>
                <c:pt idx="336" formatCode="m/d/yyyy">
                  <c:v>45605</c:v>
                </c:pt>
                <c:pt idx="337" formatCode="m/d/yyyy">
                  <c:v>45612</c:v>
                </c:pt>
                <c:pt idx="338" formatCode="m/d/yyyy">
                  <c:v>45619</c:v>
                </c:pt>
                <c:pt idx="339" formatCode="m/d/yyyy">
                  <c:v>45626</c:v>
                </c:pt>
                <c:pt idx="340" formatCode="m/d/yyyy">
                  <c:v>45633</c:v>
                </c:pt>
                <c:pt idx="341" formatCode="m/d/yyyy">
                  <c:v>45640</c:v>
                </c:pt>
                <c:pt idx="342" formatCode="m/d/yyyy">
                  <c:v>45647</c:v>
                </c:pt>
                <c:pt idx="343" formatCode="m/d/yyyy">
                  <c:v>45654</c:v>
                </c:pt>
                <c:pt idx="344" formatCode="m/d/yyyy">
                  <c:v>45661</c:v>
                </c:pt>
                <c:pt idx="345" formatCode="m/d/yyyy">
                  <c:v>45668</c:v>
                </c:pt>
                <c:pt idx="346" formatCode="m/d/yyyy">
                  <c:v>45675</c:v>
                </c:pt>
                <c:pt idx="347" formatCode="m/d/yyyy">
                  <c:v>45682</c:v>
                </c:pt>
                <c:pt idx="348" formatCode="m/d/yyyy">
                  <c:v>45689</c:v>
                </c:pt>
                <c:pt idx="349" formatCode="m/d/yyyy">
                  <c:v>45696</c:v>
                </c:pt>
                <c:pt idx="350" formatCode="m/d/yyyy">
                  <c:v>45703</c:v>
                </c:pt>
                <c:pt idx="351" formatCode="m/d/yyyy">
                  <c:v>45710</c:v>
                </c:pt>
                <c:pt idx="352" formatCode="m/d/yyyy">
                  <c:v>45717</c:v>
                </c:pt>
                <c:pt idx="353" formatCode="m/d/yyyy">
                  <c:v>45724</c:v>
                </c:pt>
                <c:pt idx="354" formatCode="m/d/yyyy">
                  <c:v>45731</c:v>
                </c:pt>
                <c:pt idx="355" formatCode="m/d/yyyy">
                  <c:v>45738</c:v>
                </c:pt>
                <c:pt idx="356" formatCode="m/d/yyyy">
                  <c:v>45745</c:v>
                </c:pt>
                <c:pt idx="357" formatCode="m/d/yyyy">
                  <c:v>45752</c:v>
                </c:pt>
                <c:pt idx="358" formatCode="m/d/yyyy">
                  <c:v>45759</c:v>
                </c:pt>
                <c:pt idx="359" formatCode="m/d/yyyy">
                  <c:v>45766</c:v>
                </c:pt>
                <c:pt idx="360" formatCode="m/d/yyyy">
                  <c:v>45773</c:v>
                </c:pt>
                <c:pt idx="361" formatCode="m/d/yyyy">
                  <c:v>45780</c:v>
                </c:pt>
                <c:pt idx="362" formatCode="m/d/yyyy">
                  <c:v>45787</c:v>
                </c:pt>
                <c:pt idx="363" formatCode="m/d/yyyy">
                  <c:v>45794</c:v>
                </c:pt>
                <c:pt idx="364" formatCode="m/d/yyyy">
                  <c:v>45801</c:v>
                </c:pt>
                <c:pt idx="365" formatCode="m/d/yyyy">
                  <c:v>45808</c:v>
                </c:pt>
                <c:pt idx="366" formatCode="m/d/yyyy">
                  <c:v>45815</c:v>
                </c:pt>
                <c:pt idx="367" formatCode="m/d/yyyy">
                  <c:v>45822</c:v>
                </c:pt>
                <c:pt idx="368" formatCode="m/d/yyyy">
                  <c:v>45829</c:v>
                </c:pt>
                <c:pt idx="369" formatCode="m/d/yyyy">
                  <c:v>45836</c:v>
                </c:pt>
                <c:pt idx="370" formatCode="m/d/yyyy">
                  <c:v>45843</c:v>
                </c:pt>
                <c:pt idx="371" formatCode="m/d/yyyy">
                  <c:v>45850</c:v>
                </c:pt>
                <c:pt idx="372" formatCode="m/d/yyyy">
                  <c:v>45857</c:v>
                </c:pt>
                <c:pt idx="373" formatCode="m/d/yyyy">
                  <c:v>45864</c:v>
                </c:pt>
                <c:pt idx="374" formatCode="m/d/yyyy">
                  <c:v>45871</c:v>
                </c:pt>
                <c:pt idx="375" formatCode="m/d/yyyy">
                  <c:v>45878</c:v>
                </c:pt>
                <c:pt idx="376" formatCode="m/d/yyyy">
                  <c:v>45885</c:v>
                </c:pt>
                <c:pt idx="377" formatCode="m/d/yyyy">
                  <c:v>45892</c:v>
                </c:pt>
                <c:pt idx="378" formatCode="m/d/yyyy">
                  <c:v>45899</c:v>
                </c:pt>
                <c:pt idx="379" formatCode="m/d/yyyy">
                  <c:v>45906</c:v>
                </c:pt>
                <c:pt idx="380" formatCode="m/d/yyyy">
                  <c:v>45913</c:v>
                </c:pt>
                <c:pt idx="381" formatCode="m/d/yyyy">
                  <c:v>45920</c:v>
                </c:pt>
                <c:pt idx="382" formatCode="m/d/yyyy">
                  <c:v>45927</c:v>
                </c:pt>
                <c:pt idx="383" formatCode="m/d/yyyy">
                  <c:v>45934</c:v>
                </c:pt>
                <c:pt idx="384" formatCode="m/d/yyyy">
                  <c:v>45941</c:v>
                </c:pt>
                <c:pt idx="385" formatCode="m/d/yyyy">
                  <c:v>45948</c:v>
                </c:pt>
                <c:pt idx="386" formatCode="m/d/yyyy">
                  <c:v>45955</c:v>
                </c:pt>
                <c:pt idx="387" formatCode="m/d/yyyy">
                  <c:v>45962</c:v>
                </c:pt>
                <c:pt idx="388" formatCode="m/d/yyyy">
                  <c:v>45969</c:v>
                </c:pt>
                <c:pt idx="389" formatCode="m/d/yyyy">
                  <c:v>45976</c:v>
                </c:pt>
                <c:pt idx="390" formatCode="m/d/yyyy">
                  <c:v>45983</c:v>
                </c:pt>
                <c:pt idx="391" formatCode="m/d/yyyy">
                  <c:v>45990</c:v>
                </c:pt>
                <c:pt idx="392" formatCode="m/d/yyyy">
                  <c:v>45997</c:v>
                </c:pt>
                <c:pt idx="393" formatCode="m/d/yyyy">
                  <c:v>46004</c:v>
                </c:pt>
                <c:pt idx="394" formatCode="m/d/yyyy">
                  <c:v>46011</c:v>
                </c:pt>
                <c:pt idx="395" formatCode="m/d/yyyy">
                  <c:v>46018</c:v>
                </c:pt>
                <c:pt idx="396" formatCode="m/d/yyyy">
                  <c:v>46025</c:v>
                </c:pt>
                <c:pt idx="397" formatCode="m/d/yyyy">
                  <c:v>46032</c:v>
                </c:pt>
                <c:pt idx="398" formatCode="m/d/yyyy">
                  <c:v>46039</c:v>
                </c:pt>
                <c:pt idx="399" formatCode="m/d/yyyy">
                  <c:v>46046</c:v>
                </c:pt>
                <c:pt idx="400" formatCode="m/d/yyyy">
                  <c:v>46053</c:v>
                </c:pt>
                <c:pt idx="401" formatCode="m/d/yyyy">
                  <c:v>46060</c:v>
                </c:pt>
                <c:pt idx="402" formatCode="m/d/yyyy">
                  <c:v>46067</c:v>
                </c:pt>
                <c:pt idx="403" formatCode="m/d/yyyy">
                  <c:v>46074</c:v>
                </c:pt>
                <c:pt idx="404" formatCode="m/d/yyyy">
                  <c:v>46081</c:v>
                </c:pt>
                <c:pt idx="405" formatCode="m/d/yyyy">
                  <c:v>46088</c:v>
                </c:pt>
                <c:pt idx="406" formatCode="m/d/yyyy">
                  <c:v>46095</c:v>
                </c:pt>
                <c:pt idx="407" formatCode="m/d/yyyy">
                  <c:v>46102</c:v>
                </c:pt>
                <c:pt idx="408" formatCode="m/d/yyyy">
                  <c:v>46109</c:v>
                </c:pt>
                <c:pt idx="409" formatCode="m/d/yyyy">
                  <c:v>46116</c:v>
                </c:pt>
                <c:pt idx="410" formatCode="m/d/yyyy">
                  <c:v>46123</c:v>
                </c:pt>
                <c:pt idx="411" formatCode="m/d/yyyy">
                  <c:v>46130</c:v>
                </c:pt>
                <c:pt idx="412" formatCode="m/d/yyyy">
                  <c:v>46137</c:v>
                </c:pt>
              </c:numCache>
            </c:numRef>
          </c:cat>
          <c:val>
            <c:numRef>
              <c:f>'Chart 2.1.2 data'!$Q$9:$Q$421</c:f>
              <c:numCache>
                <c:formatCode>0.0</c:formatCode>
                <c:ptCount val="413"/>
                <c:pt idx="0">
                  <c:v>#N/A</c:v>
                </c:pt>
                <c:pt idx="1">
                  <c:v>#N/A</c:v>
                </c:pt>
                <c:pt idx="2">
                  <c:v>#N/A</c:v>
                </c:pt>
                <c:pt idx="3">
                  <c:v>#N/A</c:v>
                </c:pt>
                <c:pt idx="4">
                  <c:v>#N/A</c:v>
                </c:pt>
                <c:pt idx="5">
                  <c:v>#N/A</c:v>
                </c:pt>
                <c:pt idx="6">
                  <c:v>#N/A</c:v>
                </c:pt>
                <c:pt idx="7">
                  <c:v>151</c:v>
                </c:pt>
                <c:pt idx="8">
                  <c:v>150</c:v>
                </c:pt>
                <c:pt idx="9">
                  <c:v>149.5</c:v>
                </c:pt>
                <c:pt idx="10">
                  <c:v>149.1</c:v>
                </c:pt>
                <c:pt idx="11">
                  <c:v>150.1</c:v>
                </c:pt>
                <c:pt idx="12">
                  <c:v>150.30000000000001</c:v>
                </c:pt>
                <c:pt idx="13">
                  <c:v>#N/A</c:v>
                </c:pt>
                <c:pt idx="14">
                  <c:v>#N/A</c:v>
                </c:pt>
                <c:pt idx="15">
                  <c:v>155.4</c:v>
                </c:pt>
                <c:pt idx="16">
                  <c:v>157</c:v>
                </c:pt>
                <c:pt idx="17">
                  <c:v>#N/A</c:v>
                </c:pt>
                <c:pt idx="18">
                  <c:v>#N/A</c:v>
                </c:pt>
                <c:pt idx="19">
                  <c:v>162.9</c:v>
                </c:pt>
                <c:pt idx="20">
                  <c:v>164</c:v>
                </c:pt>
                <c:pt idx="21">
                  <c:v>#N/A</c:v>
                </c:pt>
                <c:pt idx="22">
                  <c:v>163.80000000000001</c:v>
                </c:pt>
                <c:pt idx="23">
                  <c:v>163.19999999999999</c:v>
                </c:pt>
                <c:pt idx="24">
                  <c:v>161.4</c:v>
                </c:pt>
                <c:pt idx="25">
                  <c:v>158.6</c:v>
                </c:pt>
                <c:pt idx="26">
                  <c:v>153.6</c:v>
                </c:pt>
                <c:pt idx="27">
                  <c:v>149.6</c:v>
                </c:pt>
                <c:pt idx="28">
                  <c:v>146.69999999999999</c:v>
                </c:pt>
                <c:pt idx="29">
                  <c:v>144.30000000000001</c:v>
                </c:pt>
                <c:pt idx="30">
                  <c:v>#N/A</c:v>
                </c:pt>
                <c:pt idx="31">
                  <c:v>140.19999999999999</c:v>
                </c:pt>
                <c:pt idx="32">
                  <c:v>137.69999999999999</c:v>
                </c:pt>
                <c:pt idx="33">
                  <c:v>138.80000000000001</c:v>
                </c:pt>
                <c:pt idx="34">
                  <c:v>140</c:v>
                </c:pt>
                <c:pt idx="35">
                  <c:v>140.5</c:v>
                </c:pt>
                <c:pt idx="36">
                  <c:v>140.9</c:v>
                </c:pt>
                <c:pt idx="37">
                  <c:v>140.9</c:v>
                </c:pt>
                <c:pt idx="38">
                  <c:v>143</c:v>
                </c:pt>
                <c:pt idx="39">
                  <c:v>144.80000000000001</c:v>
                </c:pt>
                <c:pt idx="40">
                  <c:v>146.9</c:v>
                </c:pt>
                <c:pt idx="41">
                  <c:v>147.80000000000001</c:v>
                </c:pt>
                <c:pt idx="42">
                  <c:v>148.19999999999999</c:v>
                </c:pt>
                <c:pt idx="43">
                  <c:v>#N/A</c:v>
                </c:pt>
                <c:pt idx="44">
                  <c:v>147.5</c:v>
                </c:pt>
                <c:pt idx="45">
                  <c:v>147.69999999999999</c:v>
                </c:pt>
                <c:pt idx="46">
                  <c:v>148</c:v>
                </c:pt>
                <c:pt idx="47">
                  <c:v>148.19999999999999</c:v>
                </c:pt>
                <c:pt idx="48">
                  <c:v>148.5</c:v>
                </c:pt>
                <c:pt idx="49">
                  <c:v>148.69999999999999</c:v>
                </c:pt>
                <c:pt idx="50">
                  <c:v>148.9</c:v>
                </c:pt>
                <c:pt idx="51">
                  <c:v>149</c:v>
                </c:pt>
                <c:pt idx="52">
                  <c:v>148.9</c:v>
                </c:pt>
                <c:pt idx="53">
                  <c:v>148.1</c:v>
                </c:pt>
                <c:pt idx="54">
                  <c:v>147.1</c:v>
                </c:pt>
                <c:pt idx="55">
                  <c:v>146.30000000000001</c:v>
                </c:pt>
                <c:pt idx="56">
                  <c:v>#N/A</c:v>
                </c:pt>
                <c:pt idx="57">
                  <c:v>#N/A</c:v>
                </c:pt>
                <c:pt idx="58">
                  <c:v>146.1</c:v>
                </c:pt>
                <c:pt idx="59">
                  <c:v>146.19999999999999</c:v>
                </c:pt>
                <c:pt idx="60">
                  <c:v>145.5</c:v>
                </c:pt>
                <c:pt idx="61">
                  <c:v>145.19999999999999</c:v>
                </c:pt>
                <c:pt idx="62">
                  <c:v>145.19999999999999</c:v>
                </c:pt>
                <c:pt idx="63">
                  <c:v>145.1</c:v>
                </c:pt>
                <c:pt idx="64">
                  <c:v>144.69999999999999</c:v>
                </c:pt>
                <c:pt idx="65">
                  <c:v>#N/A</c:v>
                </c:pt>
                <c:pt idx="66">
                  <c:v>#N/A</c:v>
                </c:pt>
                <c:pt idx="67">
                  <c:v>144.30000000000001</c:v>
                </c:pt>
                <c:pt idx="68">
                  <c:v>145.4</c:v>
                </c:pt>
                <c:pt idx="69">
                  <c:v>147.69999999999999</c:v>
                </c:pt>
                <c:pt idx="70">
                  <c:v>148.30000000000001</c:v>
                </c:pt>
                <c:pt idx="71">
                  <c:v>148.1</c:v>
                </c:pt>
                <c:pt idx="72">
                  <c:v>148</c:v>
                </c:pt>
                <c:pt idx="73">
                  <c:v>148</c:v>
                </c:pt>
                <c:pt idx="74">
                  <c:v>147.9</c:v>
                </c:pt>
                <c:pt idx="75">
                  <c:v>147.69999999999999</c:v>
                </c:pt>
                <c:pt idx="76">
                  <c:v>147.5</c:v>
                </c:pt>
                <c:pt idx="77">
                  <c:v>147.4</c:v>
                </c:pt>
                <c:pt idx="78">
                  <c:v>147.4</c:v>
                </c:pt>
                <c:pt idx="79">
                  <c:v>147.30000000000001</c:v>
                </c:pt>
                <c:pt idx="80">
                  <c:v>147.19999999999999</c:v>
                </c:pt>
                <c:pt idx="81">
                  <c:v>#N/A</c:v>
                </c:pt>
                <c:pt idx="82">
                  <c:v>#N/A</c:v>
                </c:pt>
                <c:pt idx="83">
                  <c:v>148.4</c:v>
                </c:pt>
                <c:pt idx="84">
                  <c:v>148.5</c:v>
                </c:pt>
                <c:pt idx="85">
                  <c:v>148.6</c:v>
                </c:pt>
                <c:pt idx="86">
                  <c:v>148.30000000000001</c:v>
                </c:pt>
                <c:pt idx="87">
                  <c:v>147.9</c:v>
                </c:pt>
                <c:pt idx="88">
                  <c:v>147.19999999999999</c:v>
                </c:pt>
                <c:pt idx="89">
                  <c:v>146.69999999999999</c:v>
                </c:pt>
                <c:pt idx="90">
                  <c:v>146.1</c:v>
                </c:pt>
                <c:pt idx="91">
                  <c:v>145.69999999999999</c:v>
                </c:pt>
                <c:pt idx="92">
                  <c:v>144.80000000000001</c:v>
                </c:pt>
                <c:pt idx="93">
                  <c:v>142.69999999999999</c:v>
                </c:pt>
                <c:pt idx="94">
                  <c:v>139.5</c:v>
                </c:pt>
                <c:pt idx="95">
                  <c:v>136.80000000000001</c:v>
                </c:pt>
                <c:pt idx="96">
                  <c:v>133.80000000000001</c:v>
                </c:pt>
                <c:pt idx="97">
                  <c:v>131.1</c:v>
                </c:pt>
                <c:pt idx="98">
                  <c:v>128</c:v>
                </c:pt>
                <c:pt idx="99">
                  <c:v>124.3</c:v>
                </c:pt>
                <c:pt idx="100">
                  <c:v>121.2</c:v>
                </c:pt>
                <c:pt idx="101">
                  <c:v>119.6</c:v>
                </c:pt>
                <c:pt idx="102">
                  <c:v>118.9</c:v>
                </c:pt>
                <c:pt idx="103">
                  <c:v>118.4</c:v>
                </c:pt>
                <c:pt idx="104">
                  <c:v>#N/A</c:v>
                </c:pt>
                <c:pt idx="105">
                  <c:v>118</c:v>
                </c:pt>
                <c:pt idx="106">
                  <c:v>118.1</c:v>
                </c:pt>
                <c:pt idx="107">
                  <c:v>118.1</c:v>
                </c:pt>
                <c:pt idx="108">
                  <c:v>118.4</c:v>
                </c:pt>
                <c:pt idx="109">
                  <c:v>118.5</c:v>
                </c:pt>
                <c:pt idx="110">
                  <c:v>118.7</c:v>
                </c:pt>
                <c:pt idx="111">
                  <c:v>118.9</c:v>
                </c:pt>
                <c:pt idx="112">
                  <c:v>119.1</c:v>
                </c:pt>
                <c:pt idx="113">
                  <c:v>119.1</c:v>
                </c:pt>
                <c:pt idx="114">
                  <c:v>119.3</c:v>
                </c:pt>
                <c:pt idx="115">
                  <c:v>119.7</c:v>
                </c:pt>
                <c:pt idx="116">
                  <c:v>119.6</c:v>
                </c:pt>
                <c:pt idx="117">
                  <c:v>119.6</c:v>
                </c:pt>
                <c:pt idx="118">
                  <c:v>119.5</c:v>
                </c:pt>
                <c:pt idx="119">
                  <c:v>119.5</c:v>
                </c:pt>
                <c:pt idx="120">
                  <c:v>119.3</c:v>
                </c:pt>
                <c:pt idx="121">
                  <c:v>119.2</c:v>
                </c:pt>
                <c:pt idx="122">
                  <c:v>119.1</c:v>
                </c:pt>
                <c:pt idx="123">
                  <c:v>119</c:v>
                </c:pt>
                <c:pt idx="124">
                  <c:v>118.9</c:v>
                </c:pt>
                <c:pt idx="125">
                  <c:v>118.5</c:v>
                </c:pt>
                <c:pt idx="126">
                  <c:v>118.5</c:v>
                </c:pt>
                <c:pt idx="127">
                  <c:v>118.4</c:v>
                </c:pt>
                <c:pt idx="128">
                  <c:v>118.1</c:v>
                </c:pt>
                <c:pt idx="129">
                  <c:v>117.6</c:v>
                </c:pt>
                <c:pt idx="130">
                  <c:v>118</c:v>
                </c:pt>
                <c:pt idx="131">
                  <c:v>118.7</c:v>
                </c:pt>
                <c:pt idx="132">
                  <c:v>119.4</c:v>
                </c:pt>
                <c:pt idx="133">
                  <c:v>119.9</c:v>
                </c:pt>
                <c:pt idx="134">
                  <c:v>#N/A</c:v>
                </c:pt>
                <c:pt idx="135">
                  <c:v>120.6</c:v>
                </c:pt>
                <c:pt idx="136">
                  <c:v>121.3</c:v>
                </c:pt>
                <c:pt idx="137">
                  <c:v>122</c:v>
                </c:pt>
                <c:pt idx="138">
                  <c:v>123.2</c:v>
                </c:pt>
                <c:pt idx="139">
                  <c:v>#N/A</c:v>
                </c:pt>
                <c:pt idx="140">
                  <c:v>125.5</c:v>
                </c:pt>
                <c:pt idx="141">
                  <c:v>127</c:v>
                </c:pt>
                <c:pt idx="142">
                  <c:v>129</c:v>
                </c:pt>
                <c:pt idx="143">
                  <c:v>#N/A</c:v>
                </c:pt>
                <c:pt idx="144">
                  <c:v>131.69999999999999</c:v>
                </c:pt>
                <c:pt idx="145">
                  <c:v>133</c:v>
                </c:pt>
                <c:pt idx="146">
                  <c:v>134.5</c:v>
                </c:pt>
                <c:pt idx="147">
                  <c:v>135.4</c:v>
                </c:pt>
                <c:pt idx="148">
                  <c:v>135.9</c:v>
                </c:pt>
                <c:pt idx="149">
                  <c:v>136</c:v>
                </c:pt>
                <c:pt idx="150">
                  <c:v>134.9</c:v>
                </c:pt>
                <c:pt idx="151">
                  <c:v>134.1</c:v>
                </c:pt>
                <c:pt idx="152">
                  <c:v>134</c:v>
                </c:pt>
                <c:pt idx="153">
                  <c:v>134</c:v>
                </c:pt>
                <c:pt idx="154">
                  <c:v>134.4</c:v>
                </c:pt>
                <c:pt idx="155">
                  <c:v>134.6</c:v>
                </c:pt>
                <c:pt idx="156">
                  <c:v>#N/A</c:v>
                </c:pt>
                <c:pt idx="157">
                  <c:v>135.69999999999999</c:v>
                </c:pt>
                <c:pt idx="158">
                  <c:v>136.30000000000001</c:v>
                </c:pt>
                <c:pt idx="159">
                  <c:v>137.5</c:v>
                </c:pt>
                <c:pt idx="160">
                  <c:v>138.80000000000001</c:v>
                </c:pt>
                <c:pt idx="161">
                  <c:v>141.1</c:v>
                </c:pt>
                <c:pt idx="162">
                  <c:v>142</c:v>
                </c:pt>
                <c:pt idx="163">
                  <c:v>142.80000000000001</c:v>
                </c:pt>
                <c:pt idx="164">
                  <c:v>143.6</c:v>
                </c:pt>
                <c:pt idx="165">
                  <c:v>144</c:v>
                </c:pt>
                <c:pt idx="166">
                  <c:v>144.4</c:v>
                </c:pt>
                <c:pt idx="167">
                  <c:v>145.4</c:v>
                </c:pt>
                <c:pt idx="168">
                  <c:v>145.5</c:v>
                </c:pt>
                <c:pt idx="169">
                  <c:v>146</c:v>
                </c:pt>
                <c:pt idx="170">
                  <c:v>147.1</c:v>
                </c:pt>
                <c:pt idx="171">
                  <c:v>147.4</c:v>
                </c:pt>
                <c:pt idx="172">
                  <c:v>147.6</c:v>
                </c:pt>
                <c:pt idx="173">
                  <c:v>148.4</c:v>
                </c:pt>
                <c:pt idx="174">
                  <c:v>151.19999999999999</c:v>
                </c:pt>
                <c:pt idx="175">
                  <c:v>154</c:v>
                </c:pt>
                <c:pt idx="176">
                  <c:v>157.5</c:v>
                </c:pt>
                <c:pt idx="177">
                  <c:v>160.9</c:v>
                </c:pt>
                <c:pt idx="178">
                  <c:v>#N/A</c:v>
                </c:pt>
                <c:pt idx="179">
                  <c:v>162.6</c:v>
                </c:pt>
                <c:pt idx="180">
                  <c:v>162.69999999999999</c:v>
                </c:pt>
                <c:pt idx="181">
                  <c:v>162.6</c:v>
                </c:pt>
                <c:pt idx="182">
                  <c:v>162.5</c:v>
                </c:pt>
                <c:pt idx="183">
                  <c:v>162.30000000000001</c:v>
                </c:pt>
                <c:pt idx="184">
                  <c:v>161.9</c:v>
                </c:pt>
                <c:pt idx="185">
                  <c:v>161.6</c:v>
                </c:pt>
                <c:pt idx="186">
                  <c:v>#N/A</c:v>
                </c:pt>
                <c:pt idx="187">
                  <c:v>162</c:v>
                </c:pt>
                <c:pt idx="188">
                  <c:v>162.1</c:v>
                </c:pt>
                <c:pt idx="189">
                  <c:v>162.69999999999999</c:v>
                </c:pt>
                <c:pt idx="190">
                  <c:v>165.1</c:v>
                </c:pt>
                <c:pt idx="191">
                  <c:v>167.5</c:v>
                </c:pt>
                <c:pt idx="192">
                  <c:v>170.2</c:v>
                </c:pt>
                <c:pt idx="193">
                  <c:v>175</c:v>
                </c:pt>
                <c:pt idx="194">
                  <c:v>178.3</c:v>
                </c:pt>
                <c:pt idx="195">
                  <c:v>180.7</c:v>
                </c:pt>
                <c:pt idx="196">
                  <c:v>184</c:v>
                </c:pt>
                <c:pt idx="197">
                  <c:v>203.6</c:v>
                </c:pt>
                <c:pt idx="198">
                  <c:v>222</c:v>
                </c:pt>
                <c:pt idx="199">
                  <c:v>219.8</c:v>
                </c:pt>
                <c:pt idx="200">
                  <c:v>212.6</c:v>
                </c:pt>
                <c:pt idx="201">
                  <c:v>197.9</c:v>
                </c:pt>
                <c:pt idx="202">
                  <c:v>191.8</c:v>
                </c:pt>
                <c:pt idx="203">
                  <c:v>192.4</c:v>
                </c:pt>
                <c:pt idx="204">
                  <c:v>196.8</c:v>
                </c:pt>
                <c:pt idx="205">
                  <c:v>201</c:v>
                </c:pt>
                <c:pt idx="206">
                  <c:v>208.2</c:v>
                </c:pt>
                <c:pt idx="207">
                  <c:v>210.1</c:v>
                </c:pt>
                <c:pt idx="208">
                  <c:v>208.7</c:v>
                </c:pt>
                <c:pt idx="209">
                  <c:v>207</c:v>
                </c:pt>
                <c:pt idx="210">
                  <c:v>210.3</c:v>
                </c:pt>
                <c:pt idx="211">
                  <c:v>219.3</c:v>
                </c:pt>
                <c:pt idx="212">
                  <c:v>231.6</c:v>
                </c:pt>
                <c:pt idx="213">
                  <c:v>236.5</c:v>
                </c:pt>
                <c:pt idx="214">
                  <c:v>236.1</c:v>
                </c:pt>
                <c:pt idx="215">
                  <c:v>232.1</c:v>
                </c:pt>
                <c:pt idx="216">
                  <c:v>226.1</c:v>
                </c:pt>
                <c:pt idx="217">
                  <c:v>218.7</c:v>
                </c:pt>
                <c:pt idx="218">
                  <c:v>212.7</c:v>
                </c:pt>
                <c:pt idx="219">
                  <c:v>206.6</c:v>
                </c:pt>
                <c:pt idx="220">
                  <c:v>201.2</c:v>
                </c:pt>
                <c:pt idx="221">
                  <c:v>199.6</c:v>
                </c:pt>
                <c:pt idx="222">
                  <c:v>203.4</c:v>
                </c:pt>
                <c:pt idx="223">
                  <c:v>205.3</c:v>
                </c:pt>
                <c:pt idx="224">
                  <c:v>205.2</c:v>
                </c:pt>
                <c:pt idx="225">
                  <c:v>204.7</c:v>
                </c:pt>
                <c:pt idx="226">
                  <c:v>205.2</c:v>
                </c:pt>
                <c:pt idx="227">
                  <c:v>209.8</c:v>
                </c:pt>
                <c:pt idx="228">
                  <c:v>220.8</c:v>
                </c:pt>
                <c:pt idx="229">
                  <c:v>232.5</c:v>
                </c:pt>
                <c:pt idx="230">
                  <c:v>235.2</c:v>
                </c:pt>
                <c:pt idx="231">
                  <c:v>234.7</c:v>
                </c:pt>
                <c:pt idx="232">
                  <c:v>234.7</c:v>
                </c:pt>
                <c:pt idx="233">
                  <c:v>233.8</c:v>
                </c:pt>
                <c:pt idx="234">
                  <c:v>231.5</c:v>
                </c:pt>
                <c:pt idx="235">
                  <c:v>228.1</c:v>
                </c:pt>
                <c:pt idx="236">
                  <c:v>223.2</c:v>
                </c:pt>
                <c:pt idx="237">
                  <c:v>217.9</c:v>
                </c:pt>
                <c:pt idx="238">
                  <c:v>214.9</c:v>
                </c:pt>
                <c:pt idx="239">
                  <c:v>214.6</c:v>
                </c:pt>
                <c:pt idx="240">
                  <c:v>213.7</c:v>
                </c:pt>
                <c:pt idx="241">
                  <c:v>209.8</c:v>
                </c:pt>
                <c:pt idx="242">
                  <c:v>206.5</c:v>
                </c:pt>
                <c:pt idx="243">
                  <c:v>205.6</c:v>
                </c:pt>
                <c:pt idx="244">
                  <c:v>205.7</c:v>
                </c:pt>
                <c:pt idx="245">
                  <c:v>203.7</c:v>
                </c:pt>
                <c:pt idx="246">
                  <c:v>201.5</c:v>
                </c:pt>
                <c:pt idx="247">
                  <c:v>200.3</c:v>
                </c:pt>
                <c:pt idx="248">
                  <c:v>198.7</c:v>
                </c:pt>
                <c:pt idx="249">
                  <c:v>198.2</c:v>
                </c:pt>
                <c:pt idx="250">
                  <c:v>198.5</c:v>
                </c:pt>
                <c:pt idx="251">
                  <c:v>197.4</c:v>
                </c:pt>
                <c:pt idx="252">
                  <c:v>196.5</c:v>
                </c:pt>
                <c:pt idx="253">
                  <c:v>196.7</c:v>
                </c:pt>
                <c:pt idx="254">
                  <c:v>196.8</c:v>
                </c:pt>
                <c:pt idx="255">
                  <c:v>196.5</c:v>
                </c:pt>
                <c:pt idx="256">
                  <c:v>194.8</c:v>
                </c:pt>
                <c:pt idx="257">
                  <c:v>192.4</c:v>
                </c:pt>
                <c:pt idx="258">
                  <c:v>189.3</c:v>
                </c:pt>
                <c:pt idx="259">
                  <c:v>186.5</c:v>
                </c:pt>
                <c:pt idx="260">
                  <c:v>184.4</c:v>
                </c:pt>
                <c:pt idx="261">
                  <c:v>184.4</c:v>
                </c:pt>
                <c:pt idx="262">
                  <c:v>184.3</c:v>
                </c:pt>
                <c:pt idx="263">
                  <c:v>183.4</c:v>
                </c:pt>
                <c:pt idx="264">
                  <c:v>182.4</c:v>
                </c:pt>
                <c:pt idx="265">
                  <c:v>182.2</c:v>
                </c:pt>
                <c:pt idx="266">
                  <c:v>181.8</c:v>
                </c:pt>
                <c:pt idx="267">
                  <c:v>182.1</c:v>
                </c:pt>
                <c:pt idx="268">
                  <c:v>184.4</c:v>
                </c:pt>
                <c:pt idx="269">
                  <c:v>188.4</c:v>
                </c:pt>
                <c:pt idx="270">
                  <c:v>196.7</c:v>
                </c:pt>
                <c:pt idx="271">
                  <c:v>207.5</c:v>
                </c:pt>
                <c:pt idx="272">
                  <c:v>213.4</c:v>
                </c:pt>
                <c:pt idx="273">
                  <c:v>215.1</c:v>
                </c:pt>
                <c:pt idx="274">
                  <c:v>215.9</c:v>
                </c:pt>
                <c:pt idx="275">
                  <c:v>216.2</c:v>
                </c:pt>
                <c:pt idx="276">
                  <c:v>218.7</c:v>
                </c:pt>
                <c:pt idx="277">
                  <c:v>223.7</c:v>
                </c:pt>
                <c:pt idx="278">
                  <c:v>224.8</c:v>
                </c:pt>
                <c:pt idx="279">
                  <c:v>224.5</c:v>
                </c:pt>
                <c:pt idx="280">
                  <c:v>223.2</c:v>
                </c:pt>
                <c:pt idx="281">
                  <c:v>222.5</c:v>
                </c:pt>
                <c:pt idx="282">
                  <c:v>221.8</c:v>
                </c:pt>
                <c:pt idx="283">
                  <c:v>220.3</c:v>
                </c:pt>
                <c:pt idx="284">
                  <c:v>218.2</c:v>
                </c:pt>
                <c:pt idx="285">
                  <c:v>213.7</c:v>
                </c:pt>
                <c:pt idx="286">
                  <c:v>209.6</c:v>
                </c:pt>
                <c:pt idx="287">
                  <c:v>205.4</c:v>
                </c:pt>
                <c:pt idx="288">
                  <c:v>201.5</c:v>
                </c:pt>
                <c:pt idx="289">
                  <c:v>197</c:v>
                </c:pt>
                <c:pt idx="290">
                  <c:v>193.3</c:v>
                </c:pt>
                <c:pt idx="291">
                  <c:v>192.4</c:v>
                </c:pt>
                <c:pt idx="292">
                  <c:v>191.6</c:v>
                </c:pt>
                <c:pt idx="293">
                  <c:v>189.5</c:v>
                </c:pt>
                <c:pt idx="294">
                  <c:v>189.5</c:v>
                </c:pt>
                <c:pt idx="295">
                  <c:v>193.3</c:v>
                </c:pt>
                <c:pt idx="296">
                  <c:v>197.5</c:v>
                </c:pt>
                <c:pt idx="297">
                  <c:v>199.5</c:v>
                </c:pt>
                <c:pt idx="298">
                  <c:v>201</c:v>
                </c:pt>
                <c:pt idx="299">
                  <c:v>202.4</c:v>
                </c:pt>
                <c:pt idx="300">
                  <c:v>202.2</c:v>
                </c:pt>
                <c:pt idx="301">
                  <c:v>202.1</c:v>
                </c:pt>
                <c:pt idx="302">
                  <c:v>201.6</c:v>
                </c:pt>
                <c:pt idx="303">
                  <c:v>200.9</c:v>
                </c:pt>
                <c:pt idx="304">
                  <c:v>201.1</c:v>
                </c:pt>
                <c:pt idx="305">
                  <c:v>200.9</c:v>
                </c:pt>
                <c:pt idx="306">
                  <c:v>201.2</c:v>
                </c:pt>
                <c:pt idx="307">
                  <c:v>201.6</c:v>
                </c:pt>
                <c:pt idx="308">
                  <c:v>201.9</c:v>
                </c:pt>
                <c:pt idx="309">
                  <c:v>201.9</c:v>
                </c:pt>
                <c:pt idx="310">
                  <c:v>201</c:v>
                </c:pt>
                <c:pt idx="311">
                  <c:v>198.6</c:v>
                </c:pt>
                <c:pt idx="312">
                  <c:v>196.6</c:v>
                </c:pt>
                <c:pt idx="313">
                  <c:v>194.8</c:v>
                </c:pt>
                <c:pt idx="314">
                  <c:v>193.6</c:v>
                </c:pt>
                <c:pt idx="315">
                  <c:v>193.1</c:v>
                </c:pt>
                <c:pt idx="316">
                  <c:v>193.3</c:v>
                </c:pt>
                <c:pt idx="317">
                  <c:v>194.5</c:v>
                </c:pt>
                <c:pt idx="318">
                  <c:v>195.5</c:v>
                </c:pt>
                <c:pt idx="319">
                  <c:v>195.8</c:v>
                </c:pt>
                <c:pt idx="320">
                  <c:v>194.3</c:v>
                </c:pt>
                <c:pt idx="321">
                  <c:v>193.2</c:v>
                </c:pt>
                <c:pt idx="322">
                  <c:v>193.1</c:v>
                </c:pt>
                <c:pt idx="323">
                  <c:v>192.1</c:v>
                </c:pt>
                <c:pt idx="324">
                  <c:v>190.9</c:v>
                </c:pt>
                <c:pt idx="325">
                  <c:v>189.2</c:v>
                </c:pt>
                <c:pt idx="326">
                  <c:v>187.1</c:v>
                </c:pt>
                <c:pt idx="327">
                  <c:v>185.7</c:v>
                </c:pt>
                <c:pt idx="328">
                  <c:v>183.9</c:v>
                </c:pt>
                <c:pt idx="329">
                  <c:v>182.5</c:v>
                </c:pt>
                <c:pt idx="330">
                  <c:v>181.2</c:v>
                </c:pt>
                <c:pt idx="331">
                  <c:v>180.1</c:v>
                </c:pt>
                <c:pt idx="332">
                  <c:v>180.8</c:v>
                </c:pt>
                <c:pt idx="333">
                  <c:v>181</c:v>
                </c:pt>
                <c:pt idx="334">
                  <c:v>180.2</c:v>
                </c:pt>
                <c:pt idx="335">
                  <c:v>179.8</c:v>
                </c:pt>
                <c:pt idx="336">
                  <c:v>180</c:v>
                </c:pt>
                <c:pt idx="337">
                  <c:v>180.5</c:v>
                </c:pt>
                <c:pt idx="338">
                  <c:v>180.8</c:v>
                </c:pt>
                <c:pt idx="339">
                  <c:v>181.6</c:v>
                </c:pt>
                <c:pt idx="340">
                  <c:v>181.4</c:v>
                </c:pt>
                <c:pt idx="341">
                  <c:v>181.7</c:v>
                </c:pt>
                <c:pt idx="342">
                  <c:v>184.6</c:v>
                </c:pt>
                <c:pt idx="343">
                  <c:v>187.6</c:v>
                </c:pt>
                <c:pt idx="344">
                  <c:v>187.9</c:v>
                </c:pt>
                <c:pt idx="345">
                  <c:v>189.7</c:v>
                </c:pt>
                <c:pt idx="346">
                  <c:v>192.2</c:v>
                </c:pt>
                <c:pt idx="347">
                  <c:v>194.1</c:v>
                </c:pt>
                <c:pt idx="348">
                  <c:v>193.2</c:v>
                </c:pt>
                <c:pt idx="349">
                  <c:v>192.1</c:v>
                </c:pt>
                <c:pt idx="350">
                  <c:v>191.1</c:v>
                </c:pt>
                <c:pt idx="351">
                  <c:v>191</c:v>
                </c:pt>
                <c:pt idx="352">
                  <c:v>190.9</c:v>
                </c:pt>
                <c:pt idx="353">
                  <c:v>190.3</c:v>
                </c:pt>
                <c:pt idx="354">
                  <c:v>189.2</c:v>
                </c:pt>
                <c:pt idx="355">
                  <c:v>187.3</c:v>
                </c:pt>
                <c:pt idx="356">
                  <c:v>186.5</c:v>
                </c:pt>
                <c:pt idx="357">
                  <c:v>186</c:v>
                </c:pt>
                <c:pt idx="358">
                  <c:v>185.7</c:v>
                </c:pt>
                <c:pt idx="359">
                  <c:v>184.9</c:v>
                </c:pt>
                <c:pt idx="360">
                  <c:v>183.8</c:v>
                </c:pt>
                <c:pt idx="361">
                  <c:v>182.5</c:v>
                </c:pt>
                <c:pt idx="362">
                  <c:v>180.5</c:v>
                </c:pt>
                <c:pt idx="363">
                  <c:v>178.5</c:v>
                </c:pt>
                <c:pt idx="364">
                  <c:v>177.8</c:v>
                </c:pt>
                <c:pt idx="365">
                  <c:v>177.5</c:v>
                </c:pt>
                <c:pt idx="366">
                  <c:v>177.1</c:v>
                </c:pt>
                <c:pt idx="367">
                  <c:v>177.2</c:v>
                </c:pt>
                <c:pt idx="368">
                  <c:v>181.2</c:v>
                </c:pt>
                <c:pt idx="369">
                  <c:v>187.6</c:v>
                </c:pt>
                <c:pt idx="370">
                  <c:v>186.6</c:v>
                </c:pt>
                <c:pt idx="371">
                  <c:v>184.9</c:v>
                </c:pt>
                <c:pt idx="372">
                  <c:v>184.2</c:v>
                </c:pt>
                <c:pt idx="373">
                  <c:v>184.8</c:v>
                </c:pt>
                <c:pt idx="374">
                  <c:v>184.8</c:v>
                </c:pt>
                <c:pt idx="375">
                  <c:v>186.9</c:v>
                </c:pt>
                <c:pt idx="376">
                  <c:v>188.5</c:v>
                </c:pt>
                <c:pt idx="377">
                  <c:v>187.5</c:v>
                </c:pt>
                <c:pt idx="378">
                  <c:v>187.5</c:v>
                </c:pt>
                <c:pt idx="379">
                  <c:v>188</c:v>
                </c:pt>
                <c:pt idx="380">
                  <c:v>188.5</c:v>
                </c:pt>
                <c:pt idx="381">
                  <c:v>188.6</c:v>
                </c:pt>
                <c:pt idx="382">
                  <c:v>189</c:v>
                </c:pt>
                <c:pt idx="383">
                  <c:v>188.4</c:v>
                </c:pt>
                <c:pt idx="384">
                  <c:v>189</c:v>
                </c:pt>
                <c:pt idx="385">
                  <c:v>186.2</c:v>
                </c:pt>
                <c:pt idx="386">
                  <c:v>184.3</c:v>
                </c:pt>
                <c:pt idx="387">
                  <c:v>185.3</c:v>
                </c:pt>
                <c:pt idx="388">
                  <c:v>185.9</c:v>
                </c:pt>
                <c:pt idx="389">
                  <c:v>188.5</c:v>
                </c:pt>
                <c:pt idx="390">
                  <c:v>190.9</c:v>
                </c:pt>
                <c:pt idx="391">
                  <c:v>192</c:v>
                </c:pt>
                <c:pt idx="392">
                  <c:v>191.8</c:v>
                </c:pt>
                <c:pt idx="393">
                  <c:v>191.4</c:v>
                </c:pt>
                <c:pt idx="394">
                  <c:v>190.1</c:v>
                </c:pt>
                <c:pt idx="395">
                  <c:v>187.8</c:v>
                </c:pt>
                <c:pt idx="396">
                  <c:v>186.8</c:v>
                </c:pt>
                <c:pt idx="397">
                  <c:v>185.4</c:v>
                </c:pt>
                <c:pt idx="398">
                  <c:v>184.3</c:v>
                </c:pt>
                <c:pt idx="399">
                  <c:v>183.1</c:v>
                </c:pt>
                <c:pt idx="400">
                  <c:v>182.1</c:v>
                </c:pt>
                <c:pt idx="401">
                  <c:v>181.2</c:v>
                </c:pt>
                <c:pt idx="402">
                  <c:v>180</c:v>
                </c:pt>
                <c:pt idx="403">
                  <c:v>179.3</c:v>
                </c:pt>
                <c:pt idx="404">
                  <c:v>180.1</c:v>
                </c:pt>
                <c:pt idx="405">
                  <c:v>194.3</c:v>
                </c:pt>
                <c:pt idx="406">
                  <c:v>243.4</c:v>
                </c:pt>
                <c:pt idx="407">
                  <c:v>282.5</c:v>
                </c:pt>
                <c:pt idx="408">
                  <c:v>308.89999999999998</c:v>
                </c:pt>
                <c:pt idx="409">
                  <c:v>312.39999999999998</c:v>
                </c:pt>
                <c:pt idx="410">
                  <c:v>318.5</c:v>
                </c:pt>
                <c:pt idx="411">
                  <c:v>307.60000000000002</c:v>
                </c:pt>
                <c:pt idx="412">
                  <c:v>276.5</c:v>
                </c:pt>
              </c:numCache>
            </c:numRef>
          </c:val>
          <c:smooth val="0"/>
          <c:extLst>
            <c:ext xmlns:c16="http://schemas.microsoft.com/office/drawing/2014/chart" uri="{C3380CC4-5D6E-409C-BE32-E72D297353CC}">
              <c16:uniqueId val="{00000001-3CEA-40B8-905F-310273B513EF}"/>
            </c:ext>
          </c:extLst>
        </c:ser>
        <c:dLbls>
          <c:showLegendKey val="0"/>
          <c:showVal val="0"/>
          <c:showCatName val="0"/>
          <c:showSerName val="0"/>
          <c:showPercent val="0"/>
          <c:showBubbleSize val="0"/>
        </c:dLbls>
        <c:smooth val="0"/>
        <c:axId val="882826143"/>
        <c:axId val="882827583"/>
      </c:lineChart>
      <c:dateAx>
        <c:axId val="882826143"/>
        <c:scaling>
          <c:orientation val="minMax"/>
          <c:min val="44562"/>
        </c:scaling>
        <c:delete val="0"/>
        <c:axPos val="b"/>
        <c:numFmt formatCode="yyyy" sourceLinked="0"/>
        <c:majorTickMark val="out"/>
        <c:minorTickMark val="none"/>
        <c:tickLblPos val="low"/>
        <c:spPr>
          <a:noFill/>
          <a:ln w="9525" cap="flat" cmpd="sng" algn="ctr">
            <a:solidFill>
              <a:schemeClr val="bg1">
                <a:lumMod val="65000"/>
              </a:schemeClr>
            </a:solidFill>
            <a:round/>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n-US"/>
          </a:p>
        </c:txPr>
        <c:crossAx val="882827583"/>
        <c:crosses val="autoZero"/>
        <c:auto val="1"/>
        <c:lblOffset val="100"/>
        <c:baseTimeUnit val="days"/>
        <c:majorUnit val="2"/>
        <c:majorTimeUnit val="years"/>
        <c:minorUnit val="1"/>
        <c:minorTimeUnit val="years"/>
      </c:dateAx>
      <c:valAx>
        <c:axId val="882827583"/>
        <c:scaling>
          <c:orientation val="minMax"/>
          <c:min val="100"/>
        </c:scaling>
        <c:delete val="0"/>
        <c:axPos val="l"/>
        <c:majorGridlines>
          <c:spPr>
            <a:ln w="9525" cap="flat" cmpd="sng" algn="ctr">
              <a:solidFill>
                <a:sysClr val="window" lastClr="FFFFFF">
                  <a:lumMod val="85000"/>
                </a:sysClr>
              </a:solidFill>
              <a:prstDash val="dash"/>
              <a:round/>
              <a:headEnd type="none" w="med" len="med"/>
              <a:tailEnd type="none" w="med" len="med"/>
            </a:ln>
            <a:effectLst/>
          </c:spPr>
        </c:majorGridlines>
        <c:title>
          <c:tx>
            <c:rich>
              <a:bodyPr rot="-5400000" spcFirstLastPara="1" vertOverflow="ellipsis" vert="horz" wrap="square" anchor="ctr" anchorCtr="1"/>
              <a:lstStyle/>
              <a:p>
                <a:pPr>
                  <a:defRPr sz="900" b="0" i="1" u="none" strike="noStrike" kern="1200" baseline="0">
                    <a:solidFill>
                      <a:schemeClr val="tx1">
                        <a:lumMod val="65000"/>
                        <a:lumOff val="35000"/>
                      </a:schemeClr>
                    </a:solidFill>
                    <a:latin typeface="+mj-lt"/>
                    <a:ea typeface="+mn-ea"/>
                    <a:cs typeface="+mn-cs"/>
                  </a:defRPr>
                </a:pPr>
                <a:r>
                  <a:rPr lang="en-AU" i="1"/>
                  <a:t>cents per litre</a:t>
                </a:r>
              </a:p>
            </c:rich>
          </c:tx>
          <c:overlay val="0"/>
          <c:spPr>
            <a:noFill/>
            <a:ln>
              <a:noFill/>
            </a:ln>
            <a:effectLst/>
          </c:spPr>
          <c:txPr>
            <a:bodyPr rot="-5400000" spcFirstLastPara="1" vertOverflow="ellipsis" vert="horz" wrap="square" anchor="ctr" anchorCtr="1"/>
            <a:lstStyle/>
            <a:p>
              <a:pPr>
                <a:defRPr sz="900" b="0" i="1" u="none" strike="noStrike" kern="1200" baseline="0">
                  <a:solidFill>
                    <a:schemeClr val="tx1">
                      <a:lumMod val="65000"/>
                      <a:lumOff val="35000"/>
                    </a:schemeClr>
                  </a:solidFill>
                  <a:latin typeface="+mj-lt"/>
                  <a:ea typeface="+mn-ea"/>
                  <a:cs typeface="+mn-cs"/>
                </a:defRPr>
              </a:pPr>
              <a:endParaRPr lang="en-US"/>
            </a:p>
          </c:txPr>
        </c:title>
        <c:numFmt formatCode="#,##0" sourceLinked="0"/>
        <c:majorTickMark val="none"/>
        <c:minorTickMark val="none"/>
        <c:tickLblPos val="nextTo"/>
        <c:spPr>
          <a:noFill/>
          <a:ln>
            <a:solidFill>
              <a:schemeClr val="bg1">
                <a:lumMod val="65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n-US"/>
          </a:p>
        </c:txPr>
        <c:crossAx val="882826143"/>
        <c:crosses val="autoZero"/>
        <c:crossBetween val="midCat"/>
      </c:valAx>
      <c:spPr>
        <a:noFill/>
        <a:ln>
          <a:noFill/>
        </a:ln>
        <a:effectLst/>
        <a:extLst>
          <a:ext uri="{909E8E84-426E-40DD-AFC4-6F175D3DCCD1}">
            <a14:hiddenFill xmlns:a14="http://schemas.microsoft.com/office/drawing/2010/main">
              <a:noFill/>
            </a14:hiddenFill>
          </a:ext>
        </a:extLst>
      </c:spPr>
    </c:plotArea>
    <c:legend>
      <c:legendPos val="b"/>
      <c:layout>
        <c:manualLayout>
          <c:xMode val="edge"/>
          <c:yMode val="edge"/>
          <c:x val="0.21550770905750463"/>
          <c:y val="0.91141114212568064"/>
          <c:w val="0.56781166829649754"/>
          <c:h val="8.7470068049144936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noFill/>
      <a:round/>
    </a:ln>
    <a:effectLst/>
    <a:extLst>
      <a:ext uri="{91240B29-F687-4F45-9708-019B960494DF}">
        <a14:hiddenLine xmlns:a14="http://schemas.microsoft.com/office/drawing/2010/main" w="9525" cap="flat" cmpd="sng" algn="ctr">
          <a:solidFill>
            <a:sysClr val="windowText" lastClr="000000">
              <a:lumMod val="15000"/>
              <a:lumOff val="85000"/>
            </a:sysClr>
          </a:solidFill>
          <a:round/>
        </a14:hiddenLine>
      </a:ext>
    </a:extLst>
  </c:spPr>
  <c:txPr>
    <a:bodyPr/>
    <a:lstStyle/>
    <a:p>
      <a:pPr>
        <a:defRPr sz="900">
          <a:latin typeface="+mj-lt"/>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5254317219763"/>
          <c:y val="4.510532583977088E-2"/>
          <c:w val="0.81027736251023463"/>
          <c:h val="0.7455491270112975"/>
        </c:manualLayout>
      </c:layout>
      <c:lineChart>
        <c:grouping val="standard"/>
        <c:varyColors val="0"/>
        <c:ser>
          <c:idx val="0"/>
          <c:order val="0"/>
          <c:tx>
            <c:v>Total energy - Australia</c:v>
          </c:tx>
          <c:spPr>
            <a:ln w="19050" cap="rnd">
              <a:solidFill>
                <a:schemeClr val="bg1">
                  <a:lumMod val="50000"/>
                </a:schemeClr>
              </a:solidFill>
              <a:prstDash val="sysDot"/>
              <a:round/>
            </a:ln>
            <a:effectLst/>
          </c:spPr>
          <c:marker>
            <c:symbol val="none"/>
          </c:marker>
          <c:cat>
            <c:strRef>
              <c:f>'Chart 2.2 data'!$B$11:$B$65</c:f>
              <c:strCache>
                <c:ptCount val="55"/>
                <c:pt idx="0">
                  <c:v>1969-70</c:v>
                </c:pt>
                <c:pt idx="1">
                  <c:v>1970-71</c:v>
                </c:pt>
                <c:pt idx="2">
                  <c:v>1971-72</c:v>
                </c:pt>
                <c:pt idx="3">
                  <c:v>1972-73</c:v>
                </c:pt>
                <c:pt idx="4">
                  <c:v>1973-74</c:v>
                </c:pt>
                <c:pt idx="5">
                  <c:v>1974-75</c:v>
                </c:pt>
                <c:pt idx="6">
                  <c:v>1975-76</c:v>
                </c:pt>
                <c:pt idx="7">
                  <c:v>1976-77</c:v>
                </c:pt>
                <c:pt idx="8">
                  <c:v>1977-78</c:v>
                </c:pt>
                <c:pt idx="9">
                  <c:v>1978-79</c:v>
                </c:pt>
                <c:pt idx="10">
                  <c:v>1979-80</c:v>
                </c:pt>
                <c:pt idx="11">
                  <c:v>1980-81</c:v>
                </c:pt>
                <c:pt idx="12">
                  <c:v>1981-82</c:v>
                </c:pt>
                <c:pt idx="13">
                  <c:v>1982-83</c:v>
                </c:pt>
                <c:pt idx="14">
                  <c:v>1983-84</c:v>
                </c:pt>
                <c:pt idx="15">
                  <c:v>1984-85</c:v>
                </c:pt>
                <c:pt idx="16">
                  <c:v>1985-86</c:v>
                </c:pt>
                <c:pt idx="17">
                  <c:v>1986-87</c:v>
                </c:pt>
                <c:pt idx="18">
                  <c:v>1987-88</c:v>
                </c:pt>
                <c:pt idx="19">
                  <c:v>1988-89</c:v>
                </c:pt>
                <c:pt idx="20">
                  <c:v>1989-90</c:v>
                </c:pt>
                <c:pt idx="21">
                  <c:v>1990-91</c:v>
                </c:pt>
                <c:pt idx="22">
                  <c:v>1991-92</c:v>
                </c:pt>
                <c:pt idx="23">
                  <c:v>1992-93</c:v>
                </c:pt>
                <c:pt idx="24">
                  <c:v>1993-94</c:v>
                </c:pt>
                <c:pt idx="25">
                  <c:v>1994-95</c:v>
                </c:pt>
                <c:pt idx="26">
                  <c:v>1995-96</c:v>
                </c:pt>
                <c:pt idx="27">
                  <c:v>1996-97</c:v>
                </c:pt>
                <c:pt idx="28">
                  <c:v>1997-98</c:v>
                </c:pt>
                <c:pt idx="29">
                  <c:v>1998-99</c:v>
                </c:pt>
                <c:pt idx="30">
                  <c:v>1999-00</c:v>
                </c:pt>
                <c:pt idx="31">
                  <c:v>2000-01</c:v>
                </c:pt>
                <c:pt idx="32">
                  <c:v>2001-02</c:v>
                </c:pt>
                <c:pt idx="33">
                  <c:v>2002-03</c:v>
                </c:pt>
                <c:pt idx="34">
                  <c:v>2003-04</c:v>
                </c:pt>
                <c:pt idx="35">
                  <c:v>2004-05</c:v>
                </c:pt>
                <c:pt idx="36">
                  <c:v>2005-06</c:v>
                </c:pt>
                <c:pt idx="37">
                  <c:v>2006-07</c:v>
                </c:pt>
                <c:pt idx="38">
                  <c:v>2007-08</c:v>
                </c:pt>
                <c:pt idx="39">
                  <c:v>2008-09</c:v>
                </c:pt>
                <c:pt idx="40">
                  <c:v>2009-10</c:v>
                </c:pt>
                <c:pt idx="41">
                  <c:v>2010-11</c:v>
                </c:pt>
                <c:pt idx="42">
                  <c:v>2011-12</c:v>
                </c:pt>
                <c:pt idx="43">
                  <c:v>2012-13</c:v>
                </c:pt>
                <c:pt idx="44">
                  <c:v>2013-14</c:v>
                </c:pt>
                <c:pt idx="45">
                  <c:v>2014-15</c:v>
                </c:pt>
                <c:pt idx="46">
                  <c:v>2015-16</c:v>
                </c:pt>
                <c:pt idx="47">
                  <c:v>2016-17</c:v>
                </c:pt>
                <c:pt idx="48">
                  <c:v>2017-18</c:v>
                </c:pt>
                <c:pt idx="49">
                  <c:v>2018-19</c:v>
                </c:pt>
                <c:pt idx="50">
                  <c:v>2019-20</c:v>
                </c:pt>
                <c:pt idx="51">
                  <c:v>2020-21</c:v>
                </c:pt>
                <c:pt idx="52">
                  <c:v>2021-22</c:v>
                </c:pt>
                <c:pt idx="53">
                  <c:v>2022-23</c:v>
                </c:pt>
                <c:pt idx="54">
                  <c:v>2023-24</c:v>
                </c:pt>
              </c:strCache>
            </c:strRef>
          </c:cat>
          <c:val>
            <c:numRef>
              <c:f>'Chart 2.2 data'!$C$11:$C$65</c:f>
              <c:numCache>
                <c:formatCode>General</c:formatCode>
                <c:ptCount val="55"/>
                <c:pt idx="0">
                  <c:v>4073.373</c:v>
                </c:pt>
                <c:pt idx="1">
                  <c:v>4049.8890000000001</c:v>
                </c:pt>
                <c:pt idx="2">
                  <c:v>4110.6660000000002</c:v>
                </c:pt>
                <c:pt idx="3">
                  <c:v>4206.0879999999997</c:v>
                </c:pt>
                <c:pt idx="4">
                  <c:v>4316.4520000000002</c:v>
                </c:pt>
                <c:pt idx="5">
                  <c:v>4389.2039999999997</c:v>
                </c:pt>
                <c:pt idx="6">
                  <c:v>4335.6149999999998</c:v>
                </c:pt>
                <c:pt idx="7">
                  <c:v>4453.5069999999996</c:v>
                </c:pt>
                <c:pt idx="8">
                  <c:v>4534.3729999999996</c:v>
                </c:pt>
                <c:pt idx="9">
                  <c:v>4457.1319999999996</c:v>
                </c:pt>
                <c:pt idx="10">
                  <c:v>4436.7560000000003</c:v>
                </c:pt>
                <c:pt idx="11">
                  <c:v>4313.7879999999996</c:v>
                </c:pt>
                <c:pt idx="12">
                  <c:v>4296.1040000000003</c:v>
                </c:pt>
                <c:pt idx="13">
                  <c:v>4237.9049999999997</c:v>
                </c:pt>
                <c:pt idx="14">
                  <c:v>4179.5820000000003</c:v>
                </c:pt>
                <c:pt idx="15">
                  <c:v>4154.28</c:v>
                </c:pt>
                <c:pt idx="16">
                  <c:v>4033.491</c:v>
                </c:pt>
                <c:pt idx="17">
                  <c:v>4062.1669999999999</c:v>
                </c:pt>
                <c:pt idx="18">
                  <c:v>3959.701</c:v>
                </c:pt>
                <c:pt idx="19">
                  <c:v>4032.6889999999999</c:v>
                </c:pt>
                <c:pt idx="20">
                  <c:v>4008.3989999999999</c:v>
                </c:pt>
                <c:pt idx="21">
                  <c:v>4027.8589999999999</c:v>
                </c:pt>
                <c:pt idx="22">
                  <c:v>4043.9870000000001</c:v>
                </c:pt>
                <c:pt idx="23">
                  <c:v>3983.4140000000002</c:v>
                </c:pt>
                <c:pt idx="24">
                  <c:v>3924.8760000000002</c:v>
                </c:pt>
                <c:pt idx="25">
                  <c:v>3943.8429999999998</c:v>
                </c:pt>
                <c:pt idx="26">
                  <c:v>3918.9879999999998</c:v>
                </c:pt>
                <c:pt idx="27">
                  <c:v>3859.7979999999998</c:v>
                </c:pt>
                <c:pt idx="28">
                  <c:v>3820.989</c:v>
                </c:pt>
                <c:pt idx="29">
                  <c:v>3719.6329999999998</c:v>
                </c:pt>
                <c:pt idx="30">
                  <c:v>3642.5079999999998</c:v>
                </c:pt>
                <c:pt idx="31">
                  <c:v>3599.51</c:v>
                </c:pt>
                <c:pt idx="32">
                  <c:v>3520.5970000000002</c:v>
                </c:pt>
                <c:pt idx="33">
                  <c:v>3442.9679999999998</c:v>
                </c:pt>
                <c:pt idx="34">
                  <c:v>3397.3119999999999</c:v>
                </c:pt>
                <c:pt idx="35">
                  <c:v>3364.7719999999999</c:v>
                </c:pt>
                <c:pt idx="36">
                  <c:v>3364.029</c:v>
                </c:pt>
                <c:pt idx="37">
                  <c:v>3345.299</c:v>
                </c:pt>
                <c:pt idx="38">
                  <c:v>3237.5720000000001</c:v>
                </c:pt>
                <c:pt idx="39">
                  <c:v>3236.078</c:v>
                </c:pt>
                <c:pt idx="40">
                  <c:v>3154.7310000000002</c:v>
                </c:pt>
                <c:pt idx="41">
                  <c:v>3122.4119999999998</c:v>
                </c:pt>
                <c:pt idx="42">
                  <c:v>2997.364</c:v>
                </c:pt>
                <c:pt idx="43">
                  <c:v>2935.6680000000001</c:v>
                </c:pt>
                <c:pt idx="44">
                  <c:v>2839.16</c:v>
                </c:pt>
                <c:pt idx="45">
                  <c:v>2791.335</c:v>
                </c:pt>
                <c:pt idx="46">
                  <c:v>2779.1860000000001</c:v>
                </c:pt>
                <c:pt idx="47">
                  <c:v>2748.67</c:v>
                </c:pt>
                <c:pt idx="48">
                  <c:v>2699.567</c:v>
                </c:pt>
                <c:pt idx="49">
                  <c:v>2655.3240000000001</c:v>
                </c:pt>
                <c:pt idx="50">
                  <c:v>2587.0749999999998</c:v>
                </c:pt>
                <c:pt idx="51">
                  <c:v>2429.4520000000002</c:v>
                </c:pt>
                <c:pt idx="52">
                  <c:v>2349.029</c:v>
                </c:pt>
                <c:pt idx="53">
                  <c:v>2317.3110000000001</c:v>
                </c:pt>
                <c:pt idx="54">
                  <c:v>2294.9560000000001</c:v>
                </c:pt>
              </c:numCache>
            </c:numRef>
          </c:val>
          <c:smooth val="0"/>
          <c:extLst>
            <c:ext xmlns:c16="http://schemas.microsoft.com/office/drawing/2014/chart" uri="{C3380CC4-5D6E-409C-BE32-E72D297353CC}">
              <c16:uniqueId val="{00000000-6A74-40E0-957A-3CE72BA01583}"/>
            </c:ext>
          </c:extLst>
        </c:ser>
        <c:ser>
          <c:idx val="1"/>
          <c:order val="1"/>
          <c:tx>
            <c:v>Petroleum - Australia</c:v>
          </c:tx>
          <c:spPr>
            <a:ln w="19050" cap="rnd">
              <a:solidFill>
                <a:schemeClr val="accent4">
                  <a:lumMod val="25000"/>
                </a:schemeClr>
              </a:solidFill>
              <a:prstDash val="sysDot"/>
              <a:round/>
            </a:ln>
            <a:effectLst/>
          </c:spPr>
          <c:marker>
            <c:symbol val="none"/>
          </c:marker>
          <c:cat>
            <c:strRef>
              <c:f>'Chart 2.2 data'!$B$11:$B$65</c:f>
              <c:strCache>
                <c:ptCount val="55"/>
                <c:pt idx="0">
                  <c:v>1969-70</c:v>
                </c:pt>
                <c:pt idx="1">
                  <c:v>1970-71</c:v>
                </c:pt>
                <c:pt idx="2">
                  <c:v>1971-72</c:v>
                </c:pt>
                <c:pt idx="3">
                  <c:v>1972-73</c:v>
                </c:pt>
                <c:pt idx="4">
                  <c:v>1973-74</c:v>
                </c:pt>
                <c:pt idx="5">
                  <c:v>1974-75</c:v>
                </c:pt>
                <c:pt idx="6">
                  <c:v>1975-76</c:v>
                </c:pt>
                <c:pt idx="7">
                  <c:v>1976-77</c:v>
                </c:pt>
                <c:pt idx="8">
                  <c:v>1977-78</c:v>
                </c:pt>
                <c:pt idx="9">
                  <c:v>1978-79</c:v>
                </c:pt>
                <c:pt idx="10">
                  <c:v>1979-80</c:v>
                </c:pt>
                <c:pt idx="11">
                  <c:v>1980-81</c:v>
                </c:pt>
                <c:pt idx="12">
                  <c:v>1981-82</c:v>
                </c:pt>
                <c:pt idx="13">
                  <c:v>1982-83</c:v>
                </c:pt>
                <c:pt idx="14">
                  <c:v>1983-84</c:v>
                </c:pt>
                <c:pt idx="15">
                  <c:v>1984-85</c:v>
                </c:pt>
                <c:pt idx="16">
                  <c:v>1985-86</c:v>
                </c:pt>
                <c:pt idx="17">
                  <c:v>1986-87</c:v>
                </c:pt>
                <c:pt idx="18">
                  <c:v>1987-88</c:v>
                </c:pt>
                <c:pt idx="19">
                  <c:v>1988-89</c:v>
                </c:pt>
                <c:pt idx="20">
                  <c:v>1989-90</c:v>
                </c:pt>
                <c:pt idx="21">
                  <c:v>1990-91</c:v>
                </c:pt>
                <c:pt idx="22">
                  <c:v>1991-92</c:v>
                </c:pt>
                <c:pt idx="23">
                  <c:v>1992-93</c:v>
                </c:pt>
                <c:pt idx="24">
                  <c:v>1993-94</c:v>
                </c:pt>
                <c:pt idx="25">
                  <c:v>1994-95</c:v>
                </c:pt>
                <c:pt idx="26">
                  <c:v>1995-96</c:v>
                </c:pt>
                <c:pt idx="27">
                  <c:v>1996-97</c:v>
                </c:pt>
                <c:pt idx="28">
                  <c:v>1997-98</c:v>
                </c:pt>
                <c:pt idx="29">
                  <c:v>1998-99</c:v>
                </c:pt>
                <c:pt idx="30">
                  <c:v>1999-00</c:v>
                </c:pt>
                <c:pt idx="31">
                  <c:v>2000-01</c:v>
                </c:pt>
                <c:pt idx="32">
                  <c:v>2001-02</c:v>
                </c:pt>
                <c:pt idx="33">
                  <c:v>2002-03</c:v>
                </c:pt>
                <c:pt idx="34">
                  <c:v>2003-04</c:v>
                </c:pt>
                <c:pt idx="35">
                  <c:v>2004-05</c:v>
                </c:pt>
                <c:pt idx="36">
                  <c:v>2005-06</c:v>
                </c:pt>
                <c:pt idx="37">
                  <c:v>2006-07</c:v>
                </c:pt>
                <c:pt idx="38">
                  <c:v>2007-08</c:v>
                </c:pt>
                <c:pt idx="39">
                  <c:v>2008-09</c:v>
                </c:pt>
                <c:pt idx="40">
                  <c:v>2009-10</c:v>
                </c:pt>
                <c:pt idx="41">
                  <c:v>2010-11</c:v>
                </c:pt>
                <c:pt idx="42">
                  <c:v>2011-12</c:v>
                </c:pt>
                <c:pt idx="43">
                  <c:v>2012-13</c:v>
                </c:pt>
                <c:pt idx="44">
                  <c:v>2013-14</c:v>
                </c:pt>
                <c:pt idx="45">
                  <c:v>2014-15</c:v>
                </c:pt>
                <c:pt idx="46">
                  <c:v>2015-16</c:v>
                </c:pt>
                <c:pt idx="47">
                  <c:v>2016-17</c:v>
                </c:pt>
                <c:pt idx="48">
                  <c:v>2017-18</c:v>
                </c:pt>
                <c:pt idx="49">
                  <c:v>2018-19</c:v>
                </c:pt>
                <c:pt idx="50">
                  <c:v>2019-20</c:v>
                </c:pt>
                <c:pt idx="51">
                  <c:v>2020-21</c:v>
                </c:pt>
                <c:pt idx="52">
                  <c:v>2021-22</c:v>
                </c:pt>
                <c:pt idx="53">
                  <c:v>2022-23</c:v>
                </c:pt>
                <c:pt idx="54">
                  <c:v>2023-24</c:v>
                </c:pt>
              </c:strCache>
            </c:strRef>
          </c:cat>
          <c:val>
            <c:numRef>
              <c:f>'Chart 2.2 data'!$D$11:$D$65</c:f>
              <c:numCache>
                <c:formatCode>General</c:formatCode>
                <c:ptCount val="55"/>
                <c:pt idx="0">
                  <c:v>2093.472618689188</c:v>
                </c:pt>
                <c:pt idx="1">
                  <c:v>2077.9891822166196</c:v>
                </c:pt>
                <c:pt idx="2">
                  <c:v>2096.7713494736472</c:v>
                </c:pt>
                <c:pt idx="3">
                  <c:v>2092.2184457511262</c:v>
                </c:pt>
                <c:pt idx="4">
                  <c:v>2226.3925475516121</c:v>
                </c:pt>
                <c:pt idx="5">
                  <c:v>2189.7156334034248</c:v>
                </c:pt>
                <c:pt idx="6">
                  <c:v>2152.724524611298</c:v>
                </c:pt>
                <c:pt idx="7">
                  <c:v>2192.6537593276289</c:v>
                </c:pt>
                <c:pt idx="8">
                  <c:v>2216.5276526710891</c:v>
                </c:pt>
                <c:pt idx="9">
                  <c:v>2132.8716247780994</c:v>
                </c:pt>
                <c:pt idx="10">
                  <c:v>2029.6520475044845</c:v>
                </c:pt>
                <c:pt idx="11">
                  <c:v>1890.0157535589469</c:v>
                </c:pt>
                <c:pt idx="12">
                  <c:v>1805.4359465667392</c:v>
                </c:pt>
                <c:pt idx="13">
                  <c:v>1738.6170862455044</c:v>
                </c:pt>
                <c:pt idx="14">
                  <c:v>1724.1491165811815</c:v>
                </c:pt>
                <c:pt idx="15">
                  <c:v>1641.1545761542063</c:v>
                </c:pt>
                <c:pt idx="16">
                  <c:v>1574.6323328931364</c:v>
                </c:pt>
                <c:pt idx="17">
                  <c:v>1547.9325068138157</c:v>
                </c:pt>
                <c:pt idx="18">
                  <c:v>1525.1899519983212</c:v>
                </c:pt>
                <c:pt idx="19">
                  <c:v>1535.3406116110134</c:v>
                </c:pt>
                <c:pt idx="20">
                  <c:v>1500.5973133091156</c:v>
                </c:pt>
                <c:pt idx="21">
                  <c:v>1495.5462986095886</c:v>
                </c:pt>
                <c:pt idx="22">
                  <c:v>1496.3776025669015</c:v>
                </c:pt>
                <c:pt idx="23">
                  <c:v>1487.3636062882856</c:v>
                </c:pt>
                <c:pt idx="24">
                  <c:v>1470.2211009811485</c:v>
                </c:pt>
                <c:pt idx="25">
                  <c:v>1483.5259149508984</c:v>
                </c:pt>
                <c:pt idx="26">
                  <c:v>1473.4803972308312</c:v>
                </c:pt>
                <c:pt idx="27">
                  <c:v>1411.9640262236239</c:v>
                </c:pt>
                <c:pt idx="28">
                  <c:v>1363.5305756675893</c:v>
                </c:pt>
                <c:pt idx="29">
                  <c:v>1312.345751400564</c:v>
                </c:pt>
                <c:pt idx="30">
                  <c:v>1303.2719556187023</c:v>
                </c:pt>
                <c:pt idx="31">
                  <c:v>1250.0395013918853</c:v>
                </c:pt>
                <c:pt idx="32">
                  <c:v>1215.8732833897191</c:v>
                </c:pt>
                <c:pt idx="33">
                  <c:v>1206.3901620957406</c:v>
                </c:pt>
                <c:pt idx="34">
                  <c:v>1225.7057100300149</c:v>
                </c:pt>
                <c:pt idx="35">
                  <c:v>1227.2959555684627</c:v>
                </c:pt>
                <c:pt idx="36">
                  <c:v>1212.1711094897682</c:v>
                </c:pt>
                <c:pt idx="37">
                  <c:v>1183.4616654637052</c:v>
                </c:pt>
                <c:pt idx="38">
                  <c:v>1175.9116641785401</c:v>
                </c:pt>
                <c:pt idx="39">
                  <c:v>1145.0905390035891</c:v>
                </c:pt>
                <c:pt idx="40">
                  <c:v>1136.081068051097</c:v>
                </c:pt>
                <c:pt idx="41">
                  <c:v>1157.9939592380811</c:v>
                </c:pt>
                <c:pt idx="42">
                  <c:v>1164.1294250293327</c:v>
                </c:pt>
                <c:pt idx="43">
                  <c:v>1164.1207626698206</c:v>
                </c:pt>
                <c:pt idx="44">
                  <c:v>1144.3736073285468</c:v>
                </c:pt>
                <c:pt idx="45">
                  <c:v>1107.3530942714101</c:v>
                </c:pt>
                <c:pt idx="46">
                  <c:v>1079.1541431027185</c:v>
                </c:pt>
                <c:pt idx="47">
                  <c:v>1074.3432462464139</c:v>
                </c:pt>
                <c:pt idx="48">
                  <c:v>1069.2329877037682</c:v>
                </c:pt>
                <c:pt idx="49">
                  <c:v>1053.9751712156408</c:v>
                </c:pt>
                <c:pt idx="50">
                  <c:v>992.49390073148334</c:v>
                </c:pt>
                <c:pt idx="51">
                  <c:v>902.2253058084068</c:v>
                </c:pt>
                <c:pt idx="52">
                  <c:v>887.23046799458518</c:v>
                </c:pt>
                <c:pt idx="53">
                  <c:v>926.36531927978558</c:v>
                </c:pt>
                <c:pt idx="54">
                  <c:v>948.90058853638482</c:v>
                </c:pt>
              </c:numCache>
            </c:numRef>
          </c:val>
          <c:smooth val="0"/>
          <c:extLst>
            <c:ext xmlns:c16="http://schemas.microsoft.com/office/drawing/2014/chart" uri="{C3380CC4-5D6E-409C-BE32-E72D297353CC}">
              <c16:uniqueId val="{00000001-6A74-40E0-957A-3CE72BA01583}"/>
            </c:ext>
          </c:extLst>
        </c:ser>
        <c:ser>
          <c:idx val="2"/>
          <c:order val="2"/>
          <c:tx>
            <c:v>Total energy - Victoria</c:v>
          </c:tx>
          <c:spPr>
            <a:ln w="19050" cap="rnd">
              <a:solidFill>
                <a:schemeClr val="bg1">
                  <a:lumMod val="50000"/>
                </a:schemeClr>
              </a:solidFill>
              <a:prstDash val="solid"/>
              <a:round/>
            </a:ln>
            <a:effectLst/>
          </c:spPr>
          <c:marker>
            <c:symbol val="none"/>
          </c:marker>
          <c:cat>
            <c:strRef>
              <c:f>'Chart 2.2 data'!$B$11:$B$65</c:f>
              <c:strCache>
                <c:ptCount val="55"/>
                <c:pt idx="0">
                  <c:v>1969-70</c:v>
                </c:pt>
                <c:pt idx="1">
                  <c:v>1970-71</c:v>
                </c:pt>
                <c:pt idx="2">
                  <c:v>1971-72</c:v>
                </c:pt>
                <c:pt idx="3">
                  <c:v>1972-73</c:v>
                </c:pt>
                <c:pt idx="4">
                  <c:v>1973-74</c:v>
                </c:pt>
                <c:pt idx="5">
                  <c:v>1974-75</c:v>
                </c:pt>
                <c:pt idx="6">
                  <c:v>1975-76</c:v>
                </c:pt>
                <c:pt idx="7">
                  <c:v>1976-77</c:v>
                </c:pt>
                <c:pt idx="8">
                  <c:v>1977-78</c:v>
                </c:pt>
                <c:pt idx="9">
                  <c:v>1978-79</c:v>
                </c:pt>
                <c:pt idx="10">
                  <c:v>1979-80</c:v>
                </c:pt>
                <c:pt idx="11">
                  <c:v>1980-81</c:v>
                </c:pt>
                <c:pt idx="12">
                  <c:v>1981-82</c:v>
                </c:pt>
                <c:pt idx="13">
                  <c:v>1982-83</c:v>
                </c:pt>
                <c:pt idx="14">
                  <c:v>1983-84</c:v>
                </c:pt>
                <c:pt idx="15">
                  <c:v>1984-85</c:v>
                </c:pt>
                <c:pt idx="16">
                  <c:v>1985-86</c:v>
                </c:pt>
                <c:pt idx="17">
                  <c:v>1986-87</c:v>
                </c:pt>
                <c:pt idx="18">
                  <c:v>1987-88</c:v>
                </c:pt>
                <c:pt idx="19">
                  <c:v>1988-89</c:v>
                </c:pt>
                <c:pt idx="20">
                  <c:v>1989-90</c:v>
                </c:pt>
                <c:pt idx="21">
                  <c:v>1990-91</c:v>
                </c:pt>
                <c:pt idx="22">
                  <c:v>1991-92</c:v>
                </c:pt>
                <c:pt idx="23">
                  <c:v>1992-93</c:v>
                </c:pt>
                <c:pt idx="24">
                  <c:v>1993-94</c:v>
                </c:pt>
                <c:pt idx="25">
                  <c:v>1994-95</c:v>
                </c:pt>
                <c:pt idx="26">
                  <c:v>1995-96</c:v>
                </c:pt>
                <c:pt idx="27">
                  <c:v>1996-97</c:v>
                </c:pt>
                <c:pt idx="28">
                  <c:v>1997-98</c:v>
                </c:pt>
                <c:pt idx="29">
                  <c:v>1998-99</c:v>
                </c:pt>
                <c:pt idx="30">
                  <c:v>1999-00</c:v>
                </c:pt>
                <c:pt idx="31">
                  <c:v>2000-01</c:v>
                </c:pt>
                <c:pt idx="32">
                  <c:v>2001-02</c:v>
                </c:pt>
                <c:pt idx="33">
                  <c:v>2002-03</c:v>
                </c:pt>
                <c:pt idx="34">
                  <c:v>2003-04</c:v>
                </c:pt>
                <c:pt idx="35">
                  <c:v>2004-05</c:v>
                </c:pt>
                <c:pt idx="36">
                  <c:v>2005-06</c:v>
                </c:pt>
                <c:pt idx="37">
                  <c:v>2006-07</c:v>
                </c:pt>
                <c:pt idx="38">
                  <c:v>2007-08</c:v>
                </c:pt>
                <c:pt idx="39">
                  <c:v>2008-09</c:v>
                </c:pt>
                <c:pt idx="40">
                  <c:v>2009-10</c:v>
                </c:pt>
                <c:pt idx="41">
                  <c:v>2010-11</c:v>
                </c:pt>
                <c:pt idx="42">
                  <c:v>2011-12</c:v>
                </c:pt>
                <c:pt idx="43">
                  <c:v>2012-13</c:v>
                </c:pt>
                <c:pt idx="44">
                  <c:v>2013-14</c:v>
                </c:pt>
                <c:pt idx="45">
                  <c:v>2014-15</c:v>
                </c:pt>
                <c:pt idx="46">
                  <c:v>2015-16</c:v>
                </c:pt>
                <c:pt idx="47">
                  <c:v>2016-17</c:v>
                </c:pt>
                <c:pt idx="48">
                  <c:v>2017-18</c:v>
                </c:pt>
                <c:pt idx="49">
                  <c:v>2018-19</c:v>
                </c:pt>
                <c:pt idx="50">
                  <c:v>2019-20</c:v>
                </c:pt>
                <c:pt idx="51">
                  <c:v>2020-21</c:v>
                </c:pt>
                <c:pt idx="52">
                  <c:v>2021-22</c:v>
                </c:pt>
                <c:pt idx="53">
                  <c:v>2022-23</c:v>
                </c:pt>
                <c:pt idx="54">
                  <c:v>2023-24</c:v>
                </c:pt>
              </c:strCache>
            </c:strRef>
          </c:cat>
          <c:val>
            <c:numRef>
              <c:f>'Chart 2.2 data'!$E$11:$E$65</c:f>
              <c:numCache>
                <c:formatCode>General</c:formatCode>
                <c:ptCount val="55"/>
                <c:pt idx="0">
                  <c:v>#N/A</c:v>
                </c:pt>
                <c:pt idx="1">
                  <c:v>#N/A</c:v>
                </c:pt>
                <c:pt idx="2">
                  <c:v>#N/A</c:v>
                </c:pt>
                <c:pt idx="3">
                  <c:v>#N/A</c:v>
                </c:pt>
                <c:pt idx="4">
                  <c:v>#N/A</c:v>
                </c:pt>
                <c:pt idx="5">
                  <c:v>#N/A</c:v>
                </c:pt>
                <c:pt idx="6">
                  <c:v>#N/A</c:v>
                </c:pt>
                <c:pt idx="7">
                  <c:v>#N/A</c:v>
                </c:pt>
                <c:pt idx="8">
                  <c:v>#N/A</c:v>
                </c:pt>
                <c:pt idx="9">
                  <c:v>#N/A</c:v>
                </c:pt>
                <c:pt idx="10">
                  <c:v>#N/A</c:v>
                </c:pt>
                <c:pt idx="11">
                  <c:v>#N/A</c:v>
                </c:pt>
                <c:pt idx="12">
                  <c:v>#N/A</c:v>
                </c:pt>
                <c:pt idx="13">
                  <c:v>#N/A</c:v>
                </c:pt>
                <c:pt idx="14">
                  <c:v>#N/A</c:v>
                </c:pt>
                <c:pt idx="15">
                  <c:v>#N/A</c:v>
                </c:pt>
                <c:pt idx="16">
                  <c:v>#N/A</c:v>
                </c:pt>
                <c:pt idx="17">
                  <c:v>#N/A</c:v>
                </c:pt>
                <c:pt idx="18">
                  <c:v>#N/A</c:v>
                </c:pt>
                <c:pt idx="19">
                  <c:v>#N/A</c:v>
                </c:pt>
                <c:pt idx="20">
                  <c:v>4809.9080000000004</c:v>
                </c:pt>
                <c:pt idx="21">
                  <c:v>4896.759</c:v>
                </c:pt>
                <c:pt idx="22">
                  <c:v>5047.8509999999997</c:v>
                </c:pt>
                <c:pt idx="23">
                  <c:v>4790.4840000000004</c:v>
                </c:pt>
                <c:pt idx="24">
                  <c:v>4624.5029999999997</c:v>
                </c:pt>
                <c:pt idx="25">
                  <c:v>4687.951</c:v>
                </c:pt>
                <c:pt idx="26">
                  <c:v>4658.9809999999998</c:v>
                </c:pt>
                <c:pt idx="27">
                  <c:v>4530.08</c:v>
                </c:pt>
                <c:pt idx="28">
                  <c:v>4574.2269999999999</c:v>
                </c:pt>
                <c:pt idx="29">
                  <c:v>4408.6030000000001</c:v>
                </c:pt>
                <c:pt idx="30">
                  <c:v>4355.0690000000004</c:v>
                </c:pt>
                <c:pt idx="31">
                  <c:v>4244.7420000000002</c:v>
                </c:pt>
                <c:pt idx="32">
                  <c:v>4193.451</c:v>
                </c:pt>
                <c:pt idx="33">
                  <c:v>3959.837</c:v>
                </c:pt>
                <c:pt idx="34">
                  <c:v>3915.3029999999999</c:v>
                </c:pt>
                <c:pt idx="35">
                  <c:v>3733.5859999999998</c:v>
                </c:pt>
                <c:pt idx="36">
                  <c:v>3847.5590000000002</c:v>
                </c:pt>
                <c:pt idx="37">
                  <c:v>3749.6309999999999</c:v>
                </c:pt>
                <c:pt idx="38">
                  <c:v>3600.1280000000002</c:v>
                </c:pt>
                <c:pt idx="39">
                  <c:v>3521.3009999999999</c:v>
                </c:pt>
                <c:pt idx="40">
                  <c:v>3497.2939999999999</c:v>
                </c:pt>
                <c:pt idx="41">
                  <c:v>3453.4189999999999</c:v>
                </c:pt>
                <c:pt idx="42">
                  <c:v>3392.1669999999999</c:v>
                </c:pt>
                <c:pt idx="43">
                  <c:v>3285.5970000000002</c:v>
                </c:pt>
                <c:pt idx="44">
                  <c:v>3145.616</c:v>
                </c:pt>
                <c:pt idx="45">
                  <c:v>3054.4380000000001</c:v>
                </c:pt>
                <c:pt idx="46">
                  <c:v>3000.7919999999999</c:v>
                </c:pt>
                <c:pt idx="47">
                  <c:v>2830.9940000000001</c:v>
                </c:pt>
                <c:pt idx="48">
                  <c:v>2590.5169999999998</c:v>
                </c:pt>
                <c:pt idx="49">
                  <c:v>2454.64</c:v>
                </c:pt>
                <c:pt idx="50">
                  <c:v>2339.7339999999999</c:v>
                </c:pt>
                <c:pt idx="51">
                  <c:v>2196.1999999999998</c:v>
                </c:pt>
                <c:pt idx="52">
                  <c:v>2112.7979999999998</c:v>
                </c:pt>
                <c:pt idx="53">
                  <c:v>2089.9110000000001</c:v>
                </c:pt>
                <c:pt idx="54">
                  <c:v>2134.0610000000001</c:v>
                </c:pt>
              </c:numCache>
            </c:numRef>
          </c:val>
          <c:smooth val="0"/>
          <c:extLst>
            <c:ext xmlns:c16="http://schemas.microsoft.com/office/drawing/2014/chart" uri="{C3380CC4-5D6E-409C-BE32-E72D297353CC}">
              <c16:uniqueId val="{00000002-6A74-40E0-957A-3CE72BA01583}"/>
            </c:ext>
          </c:extLst>
        </c:ser>
        <c:ser>
          <c:idx val="3"/>
          <c:order val="3"/>
          <c:tx>
            <c:v>Petroleum - Victoria</c:v>
          </c:tx>
          <c:spPr>
            <a:ln w="19050" cap="rnd">
              <a:solidFill>
                <a:schemeClr val="tx1"/>
              </a:solidFill>
              <a:prstDash val="solid"/>
              <a:round/>
            </a:ln>
            <a:effectLst/>
          </c:spPr>
          <c:marker>
            <c:symbol val="none"/>
          </c:marker>
          <c:cat>
            <c:strRef>
              <c:f>'Chart 2.2 data'!$B$11:$B$65</c:f>
              <c:strCache>
                <c:ptCount val="55"/>
                <c:pt idx="0">
                  <c:v>1969-70</c:v>
                </c:pt>
                <c:pt idx="1">
                  <c:v>1970-71</c:v>
                </c:pt>
                <c:pt idx="2">
                  <c:v>1971-72</c:v>
                </c:pt>
                <c:pt idx="3">
                  <c:v>1972-73</c:v>
                </c:pt>
                <c:pt idx="4">
                  <c:v>1973-74</c:v>
                </c:pt>
                <c:pt idx="5">
                  <c:v>1974-75</c:v>
                </c:pt>
                <c:pt idx="6">
                  <c:v>1975-76</c:v>
                </c:pt>
                <c:pt idx="7">
                  <c:v>1976-77</c:v>
                </c:pt>
                <c:pt idx="8">
                  <c:v>1977-78</c:v>
                </c:pt>
                <c:pt idx="9">
                  <c:v>1978-79</c:v>
                </c:pt>
                <c:pt idx="10">
                  <c:v>1979-80</c:v>
                </c:pt>
                <c:pt idx="11">
                  <c:v>1980-81</c:v>
                </c:pt>
                <c:pt idx="12">
                  <c:v>1981-82</c:v>
                </c:pt>
                <c:pt idx="13">
                  <c:v>1982-83</c:v>
                </c:pt>
                <c:pt idx="14">
                  <c:v>1983-84</c:v>
                </c:pt>
                <c:pt idx="15">
                  <c:v>1984-85</c:v>
                </c:pt>
                <c:pt idx="16">
                  <c:v>1985-86</c:v>
                </c:pt>
                <c:pt idx="17">
                  <c:v>1986-87</c:v>
                </c:pt>
                <c:pt idx="18">
                  <c:v>1987-88</c:v>
                </c:pt>
                <c:pt idx="19">
                  <c:v>1988-89</c:v>
                </c:pt>
                <c:pt idx="20">
                  <c:v>1989-90</c:v>
                </c:pt>
                <c:pt idx="21">
                  <c:v>1990-91</c:v>
                </c:pt>
                <c:pt idx="22">
                  <c:v>1991-92</c:v>
                </c:pt>
                <c:pt idx="23">
                  <c:v>1992-93</c:v>
                </c:pt>
                <c:pt idx="24">
                  <c:v>1993-94</c:v>
                </c:pt>
                <c:pt idx="25">
                  <c:v>1994-95</c:v>
                </c:pt>
                <c:pt idx="26">
                  <c:v>1995-96</c:v>
                </c:pt>
                <c:pt idx="27">
                  <c:v>1996-97</c:v>
                </c:pt>
                <c:pt idx="28">
                  <c:v>1997-98</c:v>
                </c:pt>
                <c:pt idx="29">
                  <c:v>1998-99</c:v>
                </c:pt>
                <c:pt idx="30">
                  <c:v>1999-00</c:v>
                </c:pt>
                <c:pt idx="31">
                  <c:v>2000-01</c:v>
                </c:pt>
                <c:pt idx="32">
                  <c:v>2001-02</c:v>
                </c:pt>
                <c:pt idx="33">
                  <c:v>2002-03</c:v>
                </c:pt>
                <c:pt idx="34">
                  <c:v>2003-04</c:v>
                </c:pt>
                <c:pt idx="35">
                  <c:v>2004-05</c:v>
                </c:pt>
                <c:pt idx="36">
                  <c:v>2005-06</c:v>
                </c:pt>
                <c:pt idx="37">
                  <c:v>2006-07</c:v>
                </c:pt>
                <c:pt idx="38">
                  <c:v>2007-08</c:v>
                </c:pt>
                <c:pt idx="39">
                  <c:v>2008-09</c:v>
                </c:pt>
                <c:pt idx="40">
                  <c:v>2009-10</c:v>
                </c:pt>
                <c:pt idx="41">
                  <c:v>2010-11</c:v>
                </c:pt>
                <c:pt idx="42">
                  <c:v>2011-12</c:v>
                </c:pt>
                <c:pt idx="43">
                  <c:v>2012-13</c:v>
                </c:pt>
                <c:pt idx="44">
                  <c:v>2013-14</c:v>
                </c:pt>
                <c:pt idx="45">
                  <c:v>2014-15</c:v>
                </c:pt>
                <c:pt idx="46">
                  <c:v>2015-16</c:v>
                </c:pt>
                <c:pt idx="47">
                  <c:v>2016-17</c:v>
                </c:pt>
                <c:pt idx="48">
                  <c:v>2017-18</c:v>
                </c:pt>
                <c:pt idx="49">
                  <c:v>2018-19</c:v>
                </c:pt>
                <c:pt idx="50">
                  <c:v>2019-20</c:v>
                </c:pt>
                <c:pt idx="51">
                  <c:v>2020-21</c:v>
                </c:pt>
                <c:pt idx="52">
                  <c:v>2021-22</c:v>
                </c:pt>
                <c:pt idx="53">
                  <c:v>2022-23</c:v>
                </c:pt>
                <c:pt idx="54">
                  <c:v>2023-24</c:v>
                </c:pt>
              </c:strCache>
            </c:strRef>
          </c:cat>
          <c:val>
            <c:numRef>
              <c:f>'Chart 2.2 data'!$F$11:$F$65</c:f>
              <c:numCache>
                <c:formatCode>General</c:formatCode>
                <c:ptCount val="55"/>
                <c:pt idx="0">
                  <c:v>#N/A</c:v>
                </c:pt>
                <c:pt idx="1">
                  <c:v>#N/A</c:v>
                </c:pt>
                <c:pt idx="2">
                  <c:v>#N/A</c:v>
                </c:pt>
                <c:pt idx="3">
                  <c:v>#N/A</c:v>
                </c:pt>
                <c:pt idx="4">
                  <c:v>#N/A</c:v>
                </c:pt>
                <c:pt idx="5">
                  <c:v>#N/A</c:v>
                </c:pt>
                <c:pt idx="6">
                  <c:v>#N/A</c:v>
                </c:pt>
                <c:pt idx="7">
                  <c:v>#N/A</c:v>
                </c:pt>
                <c:pt idx="8">
                  <c:v>#N/A</c:v>
                </c:pt>
                <c:pt idx="9">
                  <c:v>#N/A</c:v>
                </c:pt>
                <c:pt idx="10">
                  <c:v>#N/A</c:v>
                </c:pt>
                <c:pt idx="11">
                  <c:v>#N/A</c:v>
                </c:pt>
                <c:pt idx="12">
                  <c:v>#N/A</c:v>
                </c:pt>
                <c:pt idx="13">
                  <c:v>#N/A</c:v>
                </c:pt>
                <c:pt idx="14">
                  <c:v>#N/A</c:v>
                </c:pt>
                <c:pt idx="15">
                  <c:v>#N/A</c:v>
                </c:pt>
                <c:pt idx="16">
                  <c:v>#N/A</c:v>
                </c:pt>
                <c:pt idx="17">
                  <c:v>#N/A</c:v>
                </c:pt>
                <c:pt idx="18">
                  <c:v>#N/A</c:v>
                </c:pt>
                <c:pt idx="19">
                  <c:v>#N/A</c:v>
                </c:pt>
                <c:pt idx="20">
                  <c:v>1616.8604829151598</c:v>
                </c:pt>
                <c:pt idx="21">
                  <c:v>1619.534967232247</c:v>
                </c:pt>
                <c:pt idx="22">
                  <c:v>1632.6865114415539</c:v>
                </c:pt>
                <c:pt idx="23">
                  <c:v>1599.2853518818056</c:v>
                </c:pt>
                <c:pt idx="24">
                  <c:v>1601.063740541266</c:v>
                </c:pt>
                <c:pt idx="25">
                  <c:v>1595.3356470650463</c:v>
                </c:pt>
                <c:pt idx="26">
                  <c:v>1575.1437131870121</c:v>
                </c:pt>
                <c:pt idx="27">
                  <c:v>1510.0266674702063</c:v>
                </c:pt>
                <c:pt idx="28">
                  <c:v>1468.3185991764044</c:v>
                </c:pt>
                <c:pt idx="29">
                  <c:v>1420.2635864748904</c:v>
                </c:pt>
                <c:pt idx="30">
                  <c:v>1399.3931434264753</c:v>
                </c:pt>
                <c:pt idx="31">
                  <c:v>1253.8687405761448</c:v>
                </c:pt>
                <c:pt idx="32">
                  <c:v>1244.6775667653972</c:v>
                </c:pt>
                <c:pt idx="33">
                  <c:v>1213.016694937952</c:v>
                </c:pt>
                <c:pt idx="34">
                  <c:v>1277.1917947717629</c:v>
                </c:pt>
                <c:pt idx="35">
                  <c:v>1243.5932369463321</c:v>
                </c:pt>
                <c:pt idx="36">
                  <c:v>1217.832841670076</c:v>
                </c:pt>
                <c:pt idx="37">
                  <c:v>1196.7808577405858</c:v>
                </c:pt>
                <c:pt idx="38">
                  <c:v>1159.0708852642767</c:v>
                </c:pt>
                <c:pt idx="39">
                  <c:v>1106.2721524160531</c:v>
                </c:pt>
                <c:pt idx="40">
                  <c:v>1108.2790994104741</c:v>
                </c:pt>
                <c:pt idx="41">
                  <c:v>1151.6869469026549</c:v>
                </c:pt>
                <c:pt idx="42">
                  <c:v>1112.9044647367036</c:v>
                </c:pt>
                <c:pt idx="43">
                  <c:v>1151.9214943188499</c:v>
                </c:pt>
                <c:pt idx="44">
                  <c:v>1129.7169173034072</c:v>
                </c:pt>
                <c:pt idx="45">
                  <c:v>1114.6551591750235</c:v>
                </c:pt>
                <c:pt idx="46">
                  <c:v>1111.9003633293953</c:v>
                </c:pt>
                <c:pt idx="47">
                  <c:v>1070.2132052752413</c:v>
                </c:pt>
                <c:pt idx="48">
                  <c:v>1035.1742099299363</c:v>
                </c:pt>
                <c:pt idx="49">
                  <c:v>1026.5134284930107</c:v>
                </c:pt>
                <c:pt idx="50">
                  <c:v>942.85054373977482</c:v>
                </c:pt>
                <c:pt idx="51">
                  <c:v>829.3987401586952</c:v>
                </c:pt>
                <c:pt idx="52">
                  <c:v>812.99925738146567</c:v>
                </c:pt>
                <c:pt idx="53">
                  <c:v>859.38671406028004</c:v>
                </c:pt>
                <c:pt idx="54">
                  <c:v>900.88446217882745</c:v>
                </c:pt>
              </c:numCache>
            </c:numRef>
          </c:val>
          <c:smooth val="0"/>
          <c:extLst>
            <c:ext xmlns:c16="http://schemas.microsoft.com/office/drawing/2014/chart" uri="{C3380CC4-5D6E-409C-BE32-E72D297353CC}">
              <c16:uniqueId val="{00000003-6A74-40E0-957A-3CE72BA01583}"/>
            </c:ext>
          </c:extLst>
        </c:ser>
        <c:dLbls>
          <c:showLegendKey val="0"/>
          <c:showVal val="0"/>
          <c:showCatName val="0"/>
          <c:showSerName val="0"/>
          <c:showPercent val="0"/>
          <c:showBubbleSize val="0"/>
        </c:dLbls>
        <c:smooth val="0"/>
        <c:axId val="986083688"/>
        <c:axId val="986084672"/>
      </c:lineChart>
      <c:catAx>
        <c:axId val="986083688"/>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n-US"/>
          </a:p>
        </c:txPr>
        <c:crossAx val="986084672"/>
        <c:crosses val="autoZero"/>
        <c:auto val="0"/>
        <c:lblAlgn val="ctr"/>
        <c:lblOffset val="100"/>
        <c:tickLblSkip val="9"/>
        <c:tickMarkSkip val="1"/>
        <c:noMultiLvlLbl val="0"/>
      </c:catAx>
      <c:valAx>
        <c:axId val="986084672"/>
        <c:scaling>
          <c:orientation val="minMax"/>
        </c:scaling>
        <c:delete val="0"/>
        <c:axPos val="l"/>
        <c:majorGridlines>
          <c:spPr>
            <a:ln w="6350" cap="flat" cmpd="sng" algn="ctr">
              <a:solidFill>
                <a:schemeClr val="bg1">
                  <a:lumMod val="75000"/>
                </a:schemeClr>
              </a:solidFill>
              <a:prstDash val="dash"/>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r>
                  <a:rPr lang="en-AU" i="1"/>
                  <a:t>gigajoules per $million GDP/GSP</a:t>
                </a:r>
              </a:p>
            </c:rich>
          </c:tx>
          <c:layout>
            <c:manualLayout>
              <c:xMode val="edge"/>
              <c:yMode val="edge"/>
              <c:x val="1.674682779207327E-3"/>
              <c:y val="0.12032661299412006"/>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n-US"/>
            </a:p>
          </c:txPr>
        </c:title>
        <c:numFmt formatCode="#\ ###" sourceLinked="0"/>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n-US"/>
          </a:p>
        </c:txPr>
        <c:crossAx val="986083688"/>
        <c:crossesAt val="1"/>
        <c:crossBetween val="midCat"/>
      </c:valAx>
      <c:spPr>
        <a:noFill/>
        <a:ln>
          <a:noFill/>
        </a:ln>
        <a:effectLst/>
      </c:spPr>
    </c:plotArea>
    <c:legend>
      <c:legendPos val="b"/>
      <c:layout>
        <c:manualLayout>
          <c:xMode val="edge"/>
          <c:yMode val="edge"/>
          <c:x val="6.4864903397680571E-2"/>
          <c:y val="0.89283361862375898"/>
          <c:w val="0.87114984656042238"/>
          <c:h val="8.5015194791177542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j-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sz="900">
          <a:latin typeface="+mj-lt"/>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1901714486250577E-2"/>
          <c:y val="4.9886621315192746E-2"/>
          <c:w val="0.87870613084158566"/>
          <c:h val="0.77364634525092713"/>
        </c:manualLayout>
      </c:layout>
      <c:lineChart>
        <c:grouping val="standard"/>
        <c:varyColors val="0"/>
        <c:ser>
          <c:idx val="1"/>
          <c:order val="0"/>
          <c:tx>
            <c:v>As at 2025-26 Budget Update</c:v>
          </c:tx>
          <c:spPr>
            <a:ln w="19050" cap="rnd">
              <a:solidFill>
                <a:schemeClr val="bg1">
                  <a:lumMod val="50000"/>
                </a:schemeClr>
              </a:solidFill>
              <a:round/>
            </a:ln>
            <a:effectLst/>
          </c:spPr>
          <c:marker>
            <c:symbol val="none"/>
          </c:marker>
          <c:dPt>
            <c:idx val="15"/>
            <c:marker>
              <c:symbol val="none"/>
            </c:marker>
            <c:bubble3D val="0"/>
            <c:spPr>
              <a:ln w="19050" cap="rnd">
                <a:solidFill>
                  <a:schemeClr val="bg1">
                    <a:lumMod val="50000"/>
                  </a:schemeClr>
                </a:solidFill>
                <a:prstDash val="dash"/>
                <a:round/>
              </a:ln>
              <a:effectLst/>
            </c:spPr>
            <c:extLst>
              <c:ext xmlns:c16="http://schemas.microsoft.com/office/drawing/2014/chart" uri="{C3380CC4-5D6E-409C-BE32-E72D297353CC}">
                <c16:uniqueId val="{00000011-1902-4339-9BC9-6383078C1E3D}"/>
              </c:ext>
            </c:extLst>
          </c:dPt>
          <c:dPt>
            <c:idx val="16"/>
            <c:marker>
              <c:symbol val="none"/>
            </c:marker>
            <c:bubble3D val="0"/>
            <c:spPr>
              <a:ln w="19050" cap="rnd">
                <a:solidFill>
                  <a:schemeClr val="bg1">
                    <a:lumMod val="50000"/>
                  </a:schemeClr>
                </a:solidFill>
                <a:prstDash val="dash"/>
                <a:round/>
              </a:ln>
              <a:effectLst/>
            </c:spPr>
            <c:extLst>
              <c:ext xmlns:c16="http://schemas.microsoft.com/office/drawing/2014/chart" uri="{C3380CC4-5D6E-409C-BE32-E72D297353CC}">
                <c16:uniqueId val="{00000012-1902-4339-9BC9-6383078C1E3D}"/>
              </c:ext>
            </c:extLst>
          </c:dPt>
          <c:dPt>
            <c:idx val="17"/>
            <c:marker>
              <c:symbol val="none"/>
            </c:marker>
            <c:bubble3D val="0"/>
            <c:spPr>
              <a:ln w="19050" cap="rnd">
                <a:solidFill>
                  <a:schemeClr val="bg1">
                    <a:lumMod val="50000"/>
                  </a:schemeClr>
                </a:solidFill>
                <a:prstDash val="dash"/>
                <a:round/>
              </a:ln>
              <a:effectLst/>
            </c:spPr>
            <c:extLst>
              <c:ext xmlns:c16="http://schemas.microsoft.com/office/drawing/2014/chart" uri="{C3380CC4-5D6E-409C-BE32-E72D297353CC}">
                <c16:uniqueId val="{00000013-1902-4339-9BC9-6383078C1E3D}"/>
              </c:ext>
            </c:extLst>
          </c:dPt>
          <c:dPt>
            <c:idx val="18"/>
            <c:marker>
              <c:symbol val="none"/>
            </c:marker>
            <c:bubble3D val="0"/>
            <c:spPr>
              <a:ln w="19050" cap="rnd">
                <a:solidFill>
                  <a:schemeClr val="bg1">
                    <a:lumMod val="50000"/>
                  </a:schemeClr>
                </a:solidFill>
                <a:prstDash val="dash"/>
                <a:round/>
              </a:ln>
              <a:effectLst/>
            </c:spPr>
            <c:extLst>
              <c:ext xmlns:c16="http://schemas.microsoft.com/office/drawing/2014/chart" uri="{C3380CC4-5D6E-409C-BE32-E72D297353CC}">
                <c16:uniqueId val="{00000014-1902-4339-9BC9-6383078C1E3D}"/>
              </c:ext>
            </c:extLst>
          </c:dPt>
          <c:dPt>
            <c:idx val="19"/>
            <c:marker>
              <c:symbol val="none"/>
            </c:marker>
            <c:bubble3D val="0"/>
            <c:spPr>
              <a:ln w="19050" cap="rnd">
                <a:solidFill>
                  <a:schemeClr val="bg1">
                    <a:lumMod val="50000"/>
                  </a:schemeClr>
                </a:solidFill>
                <a:prstDash val="dash"/>
                <a:round/>
              </a:ln>
              <a:effectLst/>
            </c:spPr>
            <c:extLst>
              <c:ext xmlns:c16="http://schemas.microsoft.com/office/drawing/2014/chart" uri="{C3380CC4-5D6E-409C-BE32-E72D297353CC}">
                <c16:uniqueId val="{00000015-1902-4339-9BC9-6383078C1E3D}"/>
              </c:ext>
            </c:extLst>
          </c:dPt>
          <c:dPt>
            <c:idx val="20"/>
            <c:marker>
              <c:symbol val="none"/>
            </c:marker>
            <c:bubble3D val="0"/>
            <c:spPr>
              <a:ln w="19050" cap="rnd">
                <a:solidFill>
                  <a:schemeClr val="bg1">
                    <a:lumMod val="50000"/>
                  </a:schemeClr>
                </a:solidFill>
                <a:prstDash val="dash"/>
                <a:round/>
              </a:ln>
              <a:effectLst/>
            </c:spPr>
            <c:extLst>
              <c:ext xmlns:c16="http://schemas.microsoft.com/office/drawing/2014/chart" uri="{C3380CC4-5D6E-409C-BE32-E72D297353CC}">
                <c16:uniqueId val="{00000016-1902-4339-9BC9-6383078C1E3D}"/>
              </c:ext>
            </c:extLst>
          </c:dPt>
          <c:dPt>
            <c:idx val="21"/>
            <c:marker>
              <c:symbol val="none"/>
            </c:marker>
            <c:bubble3D val="0"/>
            <c:spPr>
              <a:ln w="19050" cap="rnd">
                <a:solidFill>
                  <a:schemeClr val="bg1">
                    <a:lumMod val="50000"/>
                  </a:schemeClr>
                </a:solidFill>
                <a:prstDash val="dash"/>
                <a:round/>
              </a:ln>
              <a:effectLst/>
            </c:spPr>
            <c:extLst>
              <c:ext xmlns:c16="http://schemas.microsoft.com/office/drawing/2014/chart" uri="{C3380CC4-5D6E-409C-BE32-E72D297353CC}">
                <c16:uniqueId val="{00000017-1902-4339-9BC9-6383078C1E3D}"/>
              </c:ext>
            </c:extLst>
          </c:dPt>
          <c:dPt>
            <c:idx val="22"/>
            <c:marker>
              <c:symbol val="none"/>
            </c:marker>
            <c:bubble3D val="0"/>
            <c:spPr>
              <a:ln w="19050" cap="rnd">
                <a:solidFill>
                  <a:schemeClr val="bg1">
                    <a:lumMod val="50000"/>
                  </a:schemeClr>
                </a:solidFill>
                <a:prstDash val="dash"/>
                <a:round/>
              </a:ln>
              <a:effectLst/>
            </c:spPr>
            <c:extLst>
              <c:ext xmlns:c16="http://schemas.microsoft.com/office/drawing/2014/chart" uri="{C3380CC4-5D6E-409C-BE32-E72D297353CC}">
                <c16:uniqueId val="{00000018-1902-4339-9BC9-6383078C1E3D}"/>
              </c:ext>
            </c:extLst>
          </c:dPt>
          <c:dPt>
            <c:idx val="23"/>
            <c:marker>
              <c:symbol val="none"/>
            </c:marker>
            <c:bubble3D val="0"/>
            <c:spPr>
              <a:ln w="19050" cap="rnd">
                <a:solidFill>
                  <a:schemeClr val="bg1">
                    <a:lumMod val="50000"/>
                  </a:schemeClr>
                </a:solidFill>
                <a:prstDash val="dash"/>
                <a:round/>
              </a:ln>
              <a:effectLst/>
            </c:spPr>
            <c:extLst>
              <c:ext xmlns:c16="http://schemas.microsoft.com/office/drawing/2014/chart" uri="{C3380CC4-5D6E-409C-BE32-E72D297353CC}">
                <c16:uniqueId val="{00000019-1902-4339-9BC9-6383078C1E3D}"/>
              </c:ext>
            </c:extLst>
          </c:dPt>
          <c:dPt>
            <c:idx val="24"/>
            <c:marker>
              <c:symbol val="none"/>
            </c:marker>
            <c:bubble3D val="0"/>
            <c:spPr>
              <a:ln w="19050" cap="rnd">
                <a:solidFill>
                  <a:schemeClr val="bg1">
                    <a:lumMod val="50000"/>
                  </a:schemeClr>
                </a:solidFill>
                <a:prstDash val="dash"/>
                <a:round/>
              </a:ln>
              <a:effectLst/>
            </c:spPr>
            <c:extLst>
              <c:ext xmlns:c16="http://schemas.microsoft.com/office/drawing/2014/chart" uri="{C3380CC4-5D6E-409C-BE32-E72D297353CC}">
                <c16:uniqueId val="{0000001A-1902-4339-9BC9-6383078C1E3D}"/>
              </c:ext>
            </c:extLst>
          </c:dPt>
          <c:dPt>
            <c:idx val="25"/>
            <c:marker>
              <c:symbol val="none"/>
            </c:marker>
            <c:bubble3D val="0"/>
            <c:spPr>
              <a:ln w="19050" cap="rnd">
                <a:solidFill>
                  <a:schemeClr val="bg1">
                    <a:lumMod val="50000"/>
                  </a:schemeClr>
                </a:solidFill>
                <a:prstDash val="dash"/>
                <a:round/>
              </a:ln>
              <a:effectLst/>
            </c:spPr>
            <c:extLst>
              <c:ext xmlns:c16="http://schemas.microsoft.com/office/drawing/2014/chart" uri="{C3380CC4-5D6E-409C-BE32-E72D297353CC}">
                <c16:uniqueId val="{0000001B-1902-4339-9BC9-6383078C1E3D}"/>
              </c:ext>
            </c:extLst>
          </c:dPt>
          <c:dPt>
            <c:idx val="26"/>
            <c:marker>
              <c:symbol val="none"/>
            </c:marker>
            <c:bubble3D val="0"/>
            <c:spPr>
              <a:ln w="19050" cap="rnd">
                <a:solidFill>
                  <a:schemeClr val="bg1">
                    <a:lumMod val="50000"/>
                  </a:schemeClr>
                </a:solidFill>
                <a:prstDash val="dash"/>
                <a:round/>
              </a:ln>
              <a:effectLst/>
            </c:spPr>
            <c:extLst>
              <c:ext xmlns:c16="http://schemas.microsoft.com/office/drawing/2014/chart" uri="{C3380CC4-5D6E-409C-BE32-E72D297353CC}">
                <c16:uniqueId val="{0000001C-1902-4339-9BC9-6383078C1E3D}"/>
              </c:ext>
            </c:extLst>
          </c:dPt>
          <c:dPt>
            <c:idx val="27"/>
            <c:marker>
              <c:symbol val="none"/>
            </c:marker>
            <c:bubble3D val="0"/>
            <c:spPr>
              <a:ln w="19050" cap="rnd">
                <a:solidFill>
                  <a:schemeClr val="bg1">
                    <a:lumMod val="50000"/>
                  </a:schemeClr>
                </a:solidFill>
                <a:prstDash val="dash"/>
                <a:round/>
              </a:ln>
              <a:effectLst/>
            </c:spPr>
            <c:extLst>
              <c:ext xmlns:c16="http://schemas.microsoft.com/office/drawing/2014/chart" uri="{C3380CC4-5D6E-409C-BE32-E72D297353CC}">
                <c16:uniqueId val="{0000001D-1902-4339-9BC9-6383078C1E3D}"/>
              </c:ext>
            </c:extLst>
          </c:dPt>
          <c:dPt>
            <c:idx val="28"/>
            <c:marker>
              <c:symbol val="none"/>
            </c:marker>
            <c:bubble3D val="0"/>
            <c:spPr>
              <a:ln w="19050" cap="rnd">
                <a:solidFill>
                  <a:schemeClr val="bg1">
                    <a:lumMod val="50000"/>
                  </a:schemeClr>
                </a:solidFill>
                <a:prstDash val="dash"/>
                <a:round/>
              </a:ln>
              <a:effectLst/>
            </c:spPr>
            <c:extLst>
              <c:ext xmlns:c16="http://schemas.microsoft.com/office/drawing/2014/chart" uri="{C3380CC4-5D6E-409C-BE32-E72D297353CC}">
                <c16:uniqueId val="{0000001E-1902-4339-9BC9-6383078C1E3D}"/>
              </c:ext>
            </c:extLst>
          </c:dPt>
          <c:dPt>
            <c:idx val="29"/>
            <c:marker>
              <c:symbol val="none"/>
            </c:marker>
            <c:bubble3D val="0"/>
            <c:spPr>
              <a:ln w="19050" cap="rnd">
                <a:solidFill>
                  <a:schemeClr val="bg1">
                    <a:lumMod val="50000"/>
                  </a:schemeClr>
                </a:solidFill>
                <a:prstDash val="dash"/>
                <a:round/>
              </a:ln>
              <a:effectLst/>
            </c:spPr>
            <c:extLst>
              <c:ext xmlns:c16="http://schemas.microsoft.com/office/drawing/2014/chart" uri="{C3380CC4-5D6E-409C-BE32-E72D297353CC}">
                <c16:uniqueId val="{0000001F-1902-4339-9BC9-6383078C1E3D}"/>
              </c:ext>
            </c:extLst>
          </c:dPt>
          <c:cat>
            <c:numRef>
              <c:f>'Chart 2.3 data'!$A$6:$A$39</c:f>
              <c:numCache>
                <c:formatCode>mmm\-yy</c:formatCode>
                <c:ptCount val="34"/>
                <c:pt idx="0">
                  <c:v>44621</c:v>
                </c:pt>
                <c:pt idx="1">
                  <c:v>44713</c:v>
                </c:pt>
                <c:pt idx="2">
                  <c:v>44805</c:v>
                </c:pt>
                <c:pt idx="3">
                  <c:v>44896</c:v>
                </c:pt>
                <c:pt idx="4">
                  <c:v>44986</c:v>
                </c:pt>
                <c:pt idx="5">
                  <c:v>45078</c:v>
                </c:pt>
                <c:pt idx="6">
                  <c:v>45170</c:v>
                </c:pt>
                <c:pt idx="7">
                  <c:v>45261</c:v>
                </c:pt>
                <c:pt idx="8">
                  <c:v>45352</c:v>
                </c:pt>
                <c:pt idx="9">
                  <c:v>45444</c:v>
                </c:pt>
                <c:pt idx="10">
                  <c:v>45536</c:v>
                </c:pt>
                <c:pt idx="11">
                  <c:v>45627</c:v>
                </c:pt>
                <c:pt idx="12">
                  <c:v>45717</c:v>
                </c:pt>
                <c:pt idx="13">
                  <c:v>45809</c:v>
                </c:pt>
                <c:pt idx="14">
                  <c:v>45901</c:v>
                </c:pt>
                <c:pt idx="15">
                  <c:v>45992</c:v>
                </c:pt>
                <c:pt idx="16">
                  <c:v>46082</c:v>
                </c:pt>
                <c:pt idx="17">
                  <c:v>46174</c:v>
                </c:pt>
                <c:pt idx="18">
                  <c:v>46266</c:v>
                </c:pt>
                <c:pt idx="19">
                  <c:v>46357</c:v>
                </c:pt>
                <c:pt idx="20">
                  <c:v>46447</c:v>
                </c:pt>
                <c:pt idx="21">
                  <c:v>46539</c:v>
                </c:pt>
                <c:pt idx="22">
                  <c:v>46631</c:v>
                </c:pt>
                <c:pt idx="23">
                  <c:v>46722</c:v>
                </c:pt>
                <c:pt idx="24">
                  <c:v>46813</c:v>
                </c:pt>
                <c:pt idx="25">
                  <c:v>46905</c:v>
                </c:pt>
                <c:pt idx="26">
                  <c:v>46997</c:v>
                </c:pt>
                <c:pt idx="27">
                  <c:v>47088</c:v>
                </c:pt>
                <c:pt idx="28">
                  <c:v>47178</c:v>
                </c:pt>
                <c:pt idx="29">
                  <c:v>47270</c:v>
                </c:pt>
                <c:pt idx="30">
                  <c:v>47362</c:v>
                </c:pt>
                <c:pt idx="31">
                  <c:v>47453</c:v>
                </c:pt>
                <c:pt idx="32">
                  <c:v>47543</c:v>
                </c:pt>
                <c:pt idx="33">
                  <c:v>47635</c:v>
                </c:pt>
              </c:numCache>
            </c:numRef>
          </c:cat>
          <c:val>
            <c:numRef>
              <c:f>'Chart 2.3 data'!$C$6:$C$39</c:f>
              <c:numCache>
                <c:formatCode>0.00</c:formatCode>
                <c:ptCount val="34"/>
                <c:pt idx="0">
                  <c:v>0.10000000000000002</c:v>
                </c:pt>
                <c:pt idx="1">
                  <c:v>0.43333333333333329</c:v>
                </c:pt>
                <c:pt idx="2">
                  <c:v>1.8500000000000003</c:v>
                </c:pt>
                <c:pt idx="3">
                  <c:v>2.85</c:v>
                </c:pt>
                <c:pt idx="4">
                  <c:v>3.35</c:v>
                </c:pt>
                <c:pt idx="5">
                  <c:v>3.85</c:v>
                </c:pt>
                <c:pt idx="6">
                  <c:v>4.0999999999999996</c:v>
                </c:pt>
                <c:pt idx="7">
                  <c:v>4.2666666666666666</c:v>
                </c:pt>
                <c:pt idx="8">
                  <c:v>4.3499999999999996</c:v>
                </c:pt>
                <c:pt idx="9">
                  <c:v>4.3499999999999996</c:v>
                </c:pt>
                <c:pt idx="10">
                  <c:v>4.3499999999999996</c:v>
                </c:pt>
                <c:pt idx="11">
                  <c:v>4.3499999999999996</c:v>
                </c:pt>
                <c:pt idx="12">
                  <c:v>4.2300000000000004</c:v>
                </c:pt>
                <c:pt idx="13">
                  <c:v>3.99</c:v>
                </c:pt>
                <c:pt idx="14">
                  <c:v>3.7</c:v>
                </c:pt>
                <c:pt idx="15">
                  <c:v>3.5</c:v>
                </c:pt>
                <c:pt idx="16">
                  <c:v>3.35</c:v>
                </c:pt>
                <c:pt idx="17">
                  <c:v>3.25</c:v>
                </c:pt>
                <c:pt idx="18">
                  <c:v>3.25</c:v>
                </c:pt>
                <c:pt idx="19">
                  <c:v>3.25</c:v>
                </c:pt>
                <c:pt idx="20">
                  <c:v>3.25</c:v>
                </c:pt>
                <c:pt idx="21">
                  <c:v>3.2</c:v>
                </c:pt>
                <c:pt idx="22">
                  <c:v>3.1</c:v>
                </c:pt>
                <c:pt idx="23">
                  <c:v>3.1</c:v>
                </c:pt>
                <c:pt idx="24">
                  <c:v>3.1</c:v>
                </c:pt>
                <c:pt idx="25">
                  <c:v>3.1</c:v>
                </c:pt>
                <c:pt idx="26">
                  <c:v>3.1</c:v>
                </c:pt>
                <c:pt idx="27">
                  <c:v>3.1</c:v>
                </c:pt>
                <c:pt idx="28">
                  <c:v>3.1</c:v>
                </c:pt>
                <c:pt idx="29">
                  <c:v>3.1</c:v>
                </c:pt>
              </c:numCache>
            </c:numRef>
          </c:val>
          <c:smooth val="0"/>
          <c:extLst>
            <c:ext xmlns:c16="http://schemas.microsoft.com/office/drawing/2014/chart" uri="{C3380CC4-5D6E-409C-BE32-E72D297353CC}">
              <c16:uniqueId val="{00000000-9020-463B-A437-DFA34238AD38}"/>
            </c:ext>
          </c:extLst>
        </c:ser>
        <c:ser>
          <c:idx val="0"/>
          <c:order val="1"/>
          <c:tx>
            <c:v>As at 2026-27 Budget</c:v>
          </c:tx>
          <c:spPr>
            <a:ln w="19050" cap="rnd">
              <a:solidFill>
                <a:schemeClr val="tx1"/>
              </a:solidFill>
              <a:round/>
            </a:ln>
            <a:effectLst/>
          </c:spPr>
          <c:marker>
            <c:symbol val="none"/>
          </c:marker>
          <c:dPt>
            <c:idx val="17"/>
            <c:marker>
              <c:symbol val="none"/>
            </c:marker>
            <c:bubble3D val="0"/>
            <c:spPr>
              <a:ln w="19050" cap="rnd">
                <a:solidFill>
                  <a:schemeClr val="tx1"/>
                </a:solidFill>
                <a:prstDash val="lgDash"/>
                <a:round/>
              </a:ln>
              <a:effectLst/>
            </c:spPr>
            <c:extLst>
              <c:ext xmlns:c16="http://schemas.microsoft.com/office/drawing/2014/chart" uri="{C3380CC4-5D6E-409C-BE32-E72D297353CC}">
                <c16:uniqueId val="{00000000-1902-4339-9BC9-6383078C1E3D}"/>
              </c:ext>
            </c:extLst>
          </c:dPt>
          <c:dPt>
            <c:idx val="18"/>
            <c:marker>
              <c:symbol val="none"/>
            </c:marker>
            <c:bubble3D val="0"/>
            <c:spPr>
              <a:ln w="19050" cap="rnd">
                <a:solidFill>
                  <a:schemeClr val="tx1"/>
                </a:solidFill>
                <a:prstDash val="dash"/>
                <a:round/>
              </a:ln>
              <a:effectLst/>
            </c:spPr>
            <c:extLst>
              <c:ext xmlns:c16="http://schemas.microsoft.com/office/drawing/2014/chart" uri="{C3380CC4-5D6E-409C-BE32-E72D297353CC}">
                <c16:uniqueId val="{00000001-1902-4339-9BC9-6383078C1E3D}"/>
              </c:ext>
            </c:extLst>
          </c:dPt>
          <c:dPt>
            <c:idx val="19"/>
            <c:marker>
              <c:symbol val="none"/>
            </c:marker>
            <c:bubble3D val="0"/>
            <c:spPr>
              <a:ln w="19050" cap="rnd">
                <a:solidFill>
                  <a:schemeClr val="tx1"/>
                </a:solidFill>
                <a:prstDash val="dash"/>
                <a:round/>
              </a:ln>
              <a:effectLst/>
            </c:spPr>
            <c:extLst>
              <c:ext xmlns:c16="http://schemas.microsoft.com/office/drawing/2014/chart" uri="{C3380CC4-5D6E-409C-BE32-E72D297353CC}">
                <c16:uniqueId val="{00000002-1902-4339-9BC9-6383078C1E3D}"/>
              </c:ext>
            </c:extLst>
          </c:dPt>
          <c:dPt>
            <c:idx val="20"/>
            <c:marker>
              <c:symbol val="none"/>
            </c:marker>
            <c:bubble3D val="0"/>
            <c:spPr>
              <a:ln w="19050" cap="rnd">
                <a:solidFill>
                  <a:schemeClr val="tx1"/>
                </a:solidFill>
                <a:prstDash val="dash"/>
                <a:round/>
              </a:ln>
              <a:effectLst/>
            </c:spPr>
            <c:extLst>
              <c:ext xmlns:c16="http://schemas.microsoft.com/office/drawing/2014/chart" uri="{C3380CC4-5D6E-409C-BE32-E72D297353CC}">
                <c16:uniqueId val="{00000003-1902-4339-9BC9-6383078C1E3D}"/>
              </c:ext>
            </c:extLst>
          </c:dPt>
          <c:dPt>
            <c:idx val="21"/>
            <c:marker>
              <c:symbol val="none"/>
            </c:marker>
            <c:bubble3D val="0"/>
            <c:spPr>
              <a:ln w="19050" cap="rnd">
                <a:solidFill>
                  <a:schemeClr val="tx1"/>
                </a:solidFill>
                <a:prstDash val="dash"/>
                <a:round/>
              </a:ln>
              <a:effectLst/>
            </c:spPr>
            <c:extLst>
              <c:ext xmlns:c16="http://schemas.microsoft.com/office/drawing/2014/chart" uri="{C3380CC4-5D6E-409C-BE32-E72D297353CC}">
                <c16:uniqueId val="{00000004-1902-4339-9BC9-6383078C1E3D}"/>
              </c:ext>
            </c:extLst>
          </c:dPt>
          <c:dPt>
            <c:idx val="22"/>
            <c:marker>
              <c:symbol val="none"/>
            </c:marker>
            <c:bubble3D val="0"/>
            <c:spPr>
              <a:ln w="19050" cap="rnd">
                <a:solidFill>
                  <a:schemeClr val="tx1"/>
                </a:solidFill>
                <a:prstDash val="dash"/>
                <a:round/>
              </a:ln>
              <a:effectLst/>
            </c:spPr>
            <c:extLst>
              <c:ext xmlns:c16="http://schemas.microsoft.com/office/drawing/2014/chart" uri="{C3380CC4-5D6E-409C-BE32-E72D297353CC}">
                <c16:uniqueId val="{00000005-1902-4339-9BC9-6383078C1E3D}"/>
              </c:ext>
            </c:extLst>
          </c:dPt>
          <c:dPt>
            <c:idx val="23"/>
            <c:marker>
              <c:symbol val="none"/>
            </c:marker>
            <c:bubble3D val="0"/>
            <c:spPr>
              <a:ln w="19050" cap="rnd">
                <a:solidFill>
                  <a:schemeClr val="tx1"/>
                </a:solidFill>
                <a:prstDash val="dash"/>
                <a:round/>
              </a:ln>
              <a:effectLst/>
            </c:spPr>
            <c:extLst>
              <c:ext xmlns:c16="http://schemas.microsoft.com/office/drawing/2014/chart" uri="{C3380CC4-5D6E-409C-BE32-E72D297353CC}">
                <c16:uniqueId val="{00000006-1902-4339-9BC9-6383078C1E3D}"/>
              </c:ext>
            </c:extLst>
          </c:dPt>
          <c:dPt>
            <c:idx val="24"/>
            <c:marker>
              <c:symbol val="none"/>
            </c:marker>
            <c:bubble3D val="0"/>
            <c:spPr>
              <a:ln w="19050" cap="rnd">
                <a:solidFill>
                  <a:schemeClr val="tx1"/>
                </a:solidFill>
                <a:prstDash val="dash"/>
                <a:round/>
              </a:ln>
              <a:effectLst/>
            </c:spPr>
            <c:extLst>
              <c:ext xmlns:c16="http://schemas.microsoft.com/office/drawing/2014/chart" uri="{C3380CC4-5D6E-409C-BE32-E72D297353CC}">
                <c16:uniqueId val="{00000007-1902-4339-9BC9-6383078C1E3D}"/>
              </c:ext>
            </c:extLst>
          </c:dPt>
          <c:dPt>
            <c:idx val="25"/>
            <c:marker>
              <c:symbol val="none"/>
            </c:marker>
            <c:bubble3D val="0"/>
            <c:spPr>
              <a:ln w="19050" cap="rnd">
                <a:solidFill>
                  <a:schemeClr val="tx1"/>
                </a:solidFill>
                <a:prstDash val="dash"/>
                <a:round/>
              </a:ln>
              <a:effectLst/>
            </c:spPr>
            <c:extLst>
              <c:ext xmlns:c16="http://schemas.microsoft.com/office/drawing/2014/chart" uri="{C3380CC4-5D6E-409C-BE32-E72D297353CC}">
                <c16:uniqueId val="{00000008-1902-4339-9BC9-6383078C1E3D}"/>
              </c:ext>
            </c:extLst>
          </c:dPt>
          <c:dPt>
            <c:idx val="26"/>
            <c:marker>
              <c:symbol val="none"/>
            </c:marker>
            <c:bubble3D val="0"/>
            <c:spPr>
              <a:ln w="19050" cap="rnd">
                <a:solidFill>
                  <a:schemeClr val="tx1"/>
                </a:solidFill>
                <a:prstDash val="dash"/>
                <a:round/>
              </a:ln>
              <a:effectLst/>
            </c:spPr>
            <c:extLst>
              <c:ext xmlns:c16="http://schemas.microsoft.com/office/drawing/2014/chart" uri="{C3380CC4-5D6E-409C-BE32-E72D297353CC}">
                <c16:uniqueId val="{00000009-1902-4339-9BC9-6383078C1E3D}"/>
              </c:ext>
            </c:extLst>
          </c:dPt>
          <c:dPt>
            <c:idx val="27"/>
            <c:marker>
              <c:symbol val="none"/>
            </c:marker>
            <c:bubble3D val="0"/>
            <c:spPr>
              <a:ln w="19050" cap="rnd">
                <a:solidFill>
                  <a:schemeClr val="tx1"/>
                </a:solidFill>
                <a:prstDash val="dash"/>
                <a:round/>
              </a:ln>
              <a:effectLst/>
            </c:spPr>
            <c:extLst>
              <c:ext xmlns:c16="http://schemas.microsoft.com/office/drawing/2014/chart" uri="{C3380CC4-5D6E-409C-BE32-E72D297353CC}">
                <c16:uniqueId val="{0000000A-1902-4339-9BC9-6383078C1E3D}"/>
              </c:ext>
            </c:extLst>
          </c:dPt>
          <c:dPt>
            <c:idx val="28"/>
            <c:marker>
              <c:symbol val="none"/>
            </c:marker>
            <c:bubble3D val="0"/>
            <c:spPr>
              <a:ln w="19050" cap="rnd">
                <a:solidFill>
                  <a:schemeClr val="tx1"/>
                </a:solidFill>
                <a:prstDash val="dash"/>
                <a:round/>
              </a:ln>
              <a:effectLst/>
            </c:spPr>
            <c:extLst>
              <c:ext xmlns:c16="http://schemas.microsoft.com/office/drawing/2014/chart" uri="{C3380CC4-5D6E-409C-BE32-E72D297353CC}">
                <c16:uniqueId val="{0000000B-1902-4339-9BC9-6383078C1E3D}"/>
              </c:ext>
            </c:extLst>
          </c:dPt>
          <c:dPt>
            <c:idx val="29"/>
            <c:marker>
              <c:symbol val="none"/>
            </c:marker>
            <c:bubble3D val="0"/>
            <c:spPr>
              <a:ln w="19050" cap="rnd">
                <a:solidFill>
                  <a:schemeClr val="tx1"/>
                </a:solidFill>
                <a:prstDash val="dash"/>
                <a:round/>
              </a:ln>
              <a:effectLst/>
            </c:spPr>
            <c:extLst>
              <c:ext xmlns:c16="http://schemas.microsoft.com/office/drawing/2014/chart" uri="{C3380CC4-5D6E-409C-BE32-E72D297353CC}">
                <c16:uniqueId val="{0000000C-1902-4339-9BC9-6383078C1E3D}"/>
              </c:ext>
            </c:extLst>
          </c:dPt>
          <c:dPt>
            <c:idx val="30"/>
            <c:marker>
              <c:symbol val="none"/>
            </c:marker>
            <c:bubble3D val="0"/>
            <c:spPr>
              <a:ln w="19050" cap="rnd">
                <a:solidFill>
                  <a:schemeClr val="tx1"/>
                </a:solidFill>
                <a:prstDash val="dash"/>
                <a:round/>
              </a:ln>
              <a:effectLst/>
            </c:spPr>
            <c:extLst>
              <c:ext xmlns:c16="http://schemas.microsoft.com/office/drawing/2014/chart" uri="{C3380CC4-5D6E-409C-BE32-E72D297353CC}">
                <c16:uniqueId val="{0000000D-1902-4339-9BC9-6383078C1E3D}"/>
              </c:ext>
            </c:extLst>
          </c:dPt>
          <c:dPt>
            <c:idx val="31"/>
            <c:marker>
              <c:symbol val="none"/>
            </c:marker>
            <c:bubble3D val="0"/>
            <c:spPr>
              <a:ln w="19050" cap="rnd">
                <a:solidFill>
                  <a:schemeClr val="tx1"/>
                </a:solidFill>
                <a:prstDash val="dash"/>
                <a:round/>
              </a:ln>
              <a:effectLst/>
            </c:spPr>
            <c:extLst>
              <c:ext xmlns:c16="http://schemas.microsoft.com/office/drawing/2014/chart" uri="{C3380CC4-5D6E-409C-BE32-E72D297353CC}">
                <c16:uniqueId val="{0000000E-1902-4339-9BC9-6383078C1E3D}"/>
              </c:ext>
            </c:extLst>
          </c:dPt>
          <c:dPt>
            <c:idx val="32"/>
            <c:marker>
              <c:symbol val="none"/>
            </c:marker>
            <c:bubble3D val="0"/>
            <c:spPr>
              <a:ln w="19050" cap="rnd">
                <a:solidFill>
                  <a:schemeClr val="tx1"/>
                </a:solidFill>
                <a:prstDash val="dash"/>
                <a:round/>
              </a:ln>
              <a:effectLst/>
            </c:spPr>
            <c:extLst>
              <c:ext xmlns:c16="http://schemas.microsoft.com/office/drawing/2014/chart" uri="{C3380CC4-5D6E-409C-BE32-E72D297353CC}">
                <c16:uniqueId val="{0000000F-1902-4339-9BC9-6383078C1E3D}"/>
              </c:ext>
            </c:extLst>
          </c:dPt>
          <c:dPt>
            <c:idx val="33"/>
            <c:marker>
              <c:symbol val="none"/>
            </c:marker>
            <c:bubble3D val="0"/>
            <c:spPr>
              <a:ln w="19050" cap="rnd">
                <a:solidFill>
                  <a:schemeClr val="tx1"/>
                </a:solidFill>
                <a:prstDash val="dash"/>
                <a:round/>
              </a:ln>
              <a:effectLst/>
            </c:spPr>
            <c:extLst>
              <c:ext xmlns:c16="http://schemas.microsoft.com/office/drawing/2014/chart" uri="{C3380CC4-5D6E-409C-BE32-E72D297353CC}">
                <c16:uniqueId val="{00000010-1902-4339-9BC9-6383078C1E3D}"/>
              </c:ext>
            </c:extLst>
          </c:dPt>
          <c:cat>
            <c:numRef>
              <c:f>'Chart 2.3 data'!$A$6:$A$39</c:f>
              <c:numCache>
                <c:formatCode>mmm\-yy</c:formatCode>
                <c:ptCount val="34"/>
                <c:pt idx="0">
                  <c:v>44621</c:v>
                </c:pt>
                <c:pt idx="1">
                  <c:v>44713</c:v>
                </c:pt>
                <c:pt idx="2">
                  <c:v>44805</c:v>
                </c:pt>
                <c:pt idx="3">
                  <c:v>44896</c:v>
                </c:pt>
                <c:pt idx="4">
                  <c:v>44986</c:v>
                </c:pt>
                <c:pt idx="5">
                  <c:v>45078</c:v>
                </c:pt>
                <c:pt idx="6">
                  <c:v>45170</c:v>
                </c:pt>
                <c:pt idx="7">
                  <c:v>45261</c:v>
                </c:pt>
                <c:pt idx="8">
                  <c:v>45352</c:v>
                </c:pt>
                <c:pt idx="9">
                  <c:v>45444</c:v>
                </c:pt>
                <c:pt idx="10">
                  <c:v>45536</c:v>
                </c:pt>
                <c:pt idx="11">
                  <c:v>45627</c:v>
                </c:pt>
                <c:pt idx="12">
                  <c:v>45717</c:v>
                </c:pt>
                <c:pt idx="13">
                  <c:v>45809</c:v>
                </c:pt>
                <c:pt idx="14">
                  <c:v>45901</c:v>
                </c:pt>
                <c:pt idx="15">
                  <c:v>45992</c:v>
                </c:pt>
                <c:pt idx="16">
                  <c:v>46082</c:v>
                </c:pt>
                <c:pt idx="17">
                  <c:v>46174</c:v>
                </c:pt>
                <c:pt idx="18">
                  <c:v>46266</c:v>
                </c:pt>
                <c:pt idx="19">
                  <c:v>46357</c:v>
                </c:pt>
                <c:pt idx="20">
                  <c:v>46447</c:v>
                </c:pt>
                <c:pt idx="21">
                  <c:v>46539</c:v>
                </c:pt>
                <c:pt idx="22">
                  <c:v>46631</c:v>
                </c:pt>
                <c:pt idx="23">
                  <c:v>46722</c:v>
                </c:pt>
                <c:pt idx="24">
                  <c:v>46813</c:v>
                </c:pt>
                <c:pt idx="25">
                  <c:v>46905</c:v>
                </c:pt>
                <c:pt idx="26">
                  <c:v>46997</c:v>
                </c:pt>
                <c:pt idx="27">
                  <c:v>47088</c:v>
                </c:pt>
                <c:pt idx="28">
                  <c:v>47178</c:v>
                </c:pt>
                <c:pt idx="29">
                  <c:v>47270</c:v>
                </c:pt>
                <c:pt idx="30">
                  <c:v>47362</c:v>
                </c:pt>
                <c:pt idx="31">
                  <c:v>47453</c:v>
                </c:pt>
                <c:pt idx="32">
                  <c:v>47543</c:v>
                </c:pt>
                <c:pt idx="33">
                  <c:v>47635</c:v>
                </c:pt>
              </c:numCache>
            </c:numRef>
          </c:cat>
          <c:val>
            <c:numRef>
              <c:f>'Chart 2.3 data'!$B$6:$B$39</c:f>
              <c:numCache>
                <c:formatCode>0.00</c:formatCode>
                <c:ptCount val="34"/>
                <c:pt idx="0">
                  <c:v>0.10000000000000002</c:v>
                </c:pt>
                <c:pt idx="1">
                  <c:v>0.43333333333333329</c:v>
                </c:pt>
                <c:pt idx="2">
                  <c:v>1.8500000000000003</c:v>
                </c:pt>
                <c:pt idx="3">
                  <c:v>2.85</c:v>
                </c:pt>
                <c:pt idx="4">
                  <c:v>3.35</c:v>
                </c:pt>
                <c:pt idx="5">
                  <c:v>3.85</c:v>
                </c:pt>
                <c:pt idx="6">
                  <c:v>4.0999999999999996</c:v>
                </c:pt>
                <c:pt idx="7">
                  <c:v>4.2666666666666666</c:v>
                </c:pt>
                <c:pt idx="8">
                  <c:v>4.3499999999999996</c:v>
                </c:pt>
                <c:pt idx="9">
                  <c:v>4.3499999999999996</c:v>
                </c:pt>
                <c:pt idx="10">
                  <c:v>4.3499999999999996</c:v>
                </c:pt>
                <c:pt idx="11">
                  <c:v>4.3499999999999996</c:v>
                </c:pt>
                <c:pt idx="12">
                  <c:v>4.2300000000000004</c:v>
                </c:pt>
                <c:pt idx="13">
                  <c:v>3.99</c:v>
                </c:pt>
                <c:pt idx="14">
                  <c:v>3.72</c:v>
                </c:pt>
                <c:pt idx="15">
                  <c:v>3.6</c:v>
                </c:pt>
                <c:pt idx="16">
                  <c:v>3.85</c:v>
                </c:pt>
                <c:pt idx="17">
                  <c:v>4.25</c:v>
                </c:pt>
                <c:pt idx="18">
                  <c:v>4.3500000000000005</c:v>
                </c:pt>
                <c:pt idx="19">
                  <c:v>4.3500000000000005</c:v>
                </c:pt>
                <c:pt idx="20">
                  <c:v>4.3500000000000005</c:v>
                </c:pt>
                <c:pt idx="21">
                  <c:v>4.3500000000000005</c:v>
                </c:pt>
                <c:pt idx="22">
                  <c:v>4.2</c:v>
                </c:pt>
                <c:pt idx="23">
                  <c:v>4.05</c:v>
                </c:pt>
                <c:pt idx="24">
                  <c:v>3.9</c:v>
                </c:pt>
                <c:pt idx="25">
                  <c:v>3.75</c:v>
                </c:pt>
                <c:pt idx="26">
                  <c:v>3.6</c:v>
                </c:pt>
                <c:pt idx="27">
                  <c:v>3.5</c:v>
                </c:pt>
                <c:pt idx="28">
                  <c:v>3.5</c:v>
                </c:pt>
                <c:pt idx="29">
                  <c:v>3.5</c:v>
                </c:pt>
                <c:pt idx="30">
                  <c:v>3.5</c:v>
                </c:pt>
                <c:pt idx="31">
                  <c:v>3.5</c:v>
                </c:pt>
                <c:pt idx="32">
                  <c:v>3.5</c:v>
                </c:pt>
                <c:pt idx="33">
                  <c:v>3.5</c:v>
                </c:pt>
              </c:numCache>
            </c:numRef>
          </c:val>
          <c:smooth val="0"/>
          <c:extLst>
            <c:ext xmlns:c16="http://schemas.microsoft.com/office/drawing/2014/chart" uri="{C3380CC4-5D6E-409C-BE32-E72D297353CC}">
              <c16:uniqueId val="{00000001-9020-463B-A437-DFA34238AD38}"/>
            </c:ext>
          </c:extLst>
        </c:ser>
        <c:dLbls>
          <c:showLegendKey val="0"/>
          <c:showVal val="0"/>
          <c:showCatName val="0"/>
          <c:showSerName val="0"/>
          <c:showPercent val="0"/>
          <c:showBubbleSize val="0"/>
        </c:dLbls>
        <c:smooth val="0"/>
        <c:axId val="2074726336"/>
        <c:axId val="2074734016"/>
      </c:lineChart>
      <c:dateAx>
        <c:axId val="2074726336"/>
        <c:scaling>
          <c:orientation val="minMax"/>
        </c:scaling>
        <c:delete val="0"/>
        <c:axPos val="b"/>
        <c:numFmt formatCode="yyyy" sourceLinked="0"/>
        <c:majorTickMark val="out"/>
        <c:minorTickMark val="none"/>
        <c:tickLblPos val="nextTo"/>
        <c:spPr>
          <a:noFill/>
          <a:ln w="9525" cap="flat" cmpd="sng" algn="ctr">
            <a:solidFill>
              <a:schemeClr val="bg1">
                <a:lumMod val="6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n-US"/>
          </a:p>
        </c:txPr>
        <c:crossAx val="2074734016"/>
        <c:crosses val="autoZero"/>
        <c:auto val="1"/>
        <c:lblOffset val="100"/>
        <c:baseTimeUnit val="months"/>
        <c:majorUnit val="12"/>
        <c:majorTimeUnit val="months"/>
      </c:dateAx>
      <c:valAx>
        <c:axId val="2074734016"/>
        <c:scaling>
          <c:orientation val="minMax"/>
        </c:scaling>
        <c:delete val="0"/>
        <c:axPos val="l"/>
        <c:majorGridlines>
          <c:spPr>
            <a:ln w="9525" cap="flat" cmpd="sng" algn="ctr">
              <a:solidFill>
                <a:schemeClr val="tx1">
                  <a:lumMod val="15000"/>
                  <a:lumOff val="85000"/>
                </a:schemeClr>
              </a:solidFill>
              <a:prstDash val="dash"/>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r>
                  <a:rPr lang="en-US" i="1"/>
                  <a:t>per cent</a:t>
                </a:r>
              </a:p>
            </c:rich>
          </c:tx>
          <c:layout>
            <c:manualLayout>
              <c:xMode val="edge"/>
              <c:yMode val="edge"/>
              <c:x val="6.3414190779555873E-4"/>
              <c:y val="0.33977729409840035"/>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n-US"/>
            </a:p>
          </c:txPr>
        </c:title>
        <c:numFmt formatCode="0" sourceLinked="0"/>
        <c:majorTickMark val="none"/>
        <c:minorTickMark val="none"/>
        <c:tickLblPos val="nextTo"/>
        <c:spPr>
          <a:noFill/>
          <a:ln>
            <a:solidFill>
              <a:schemeClr val="bg1">
                <a:lumMod val="65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n-US"/>
          </a:p>
        </c:txPr>
        <c:crossAx val="2074726336"/>
        <c:crosses val="autoZero"/>
        <c:crossBetween val="between"/>
        <c:majorUnit val="1"/>
      </c:valAx>
      <c:spPr>
        <a:noFill/>
        <a:ln>
          <a:noFill/>
        </a:ln>
        <a:effectLst/>
      </c:spPr>
    </c:plotArea>
    <c:legend>
      <c:legendPos val="b"/>
      <c:layout>
        <c:manualLayout>
          <c:xMode val="edge"/>
          <c:yMode val="edge"/>
          <c:x val="0.1304167680910657"/>
          <c:y val="0.92169318742349782"/>
          <c:w val="0.74447361520436184"/>
          <c:h val="7.8306812576502183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sz="900">
          <a:latin typeface="+mj-lt"/>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0" i="0" u="none" strike="noStrike" kern="1200" spc="0" baseline="0">
                <a:solidFill>
                  <a:schemeClr val="tx1">
                    <a:lumMod val="65000"/>
                    <a:lumOff val="35000"/>
                  </a:schemeClr>
                </a:solidFill>
                <a:latin typeface="Calibri" panose="020F0502020204030204" pitchFamily="34" charset="0"/>
                <a:ea typeface="Calibri" panose="020F0502020204030204" pitchFamily="34" charset="0"/>
                <a:cs typeface="Calibri" panose="020F0502020204030204" pitchFamily="34" charset="0"/>
              </a:defRPr>
            </a:pPr>
            <a:r>
              <a:rPr lang="en-AU" sz="900" b="1"/>
              <a:t>Real consumer spending </a:t>
            </a:r>
            <a:r>
              <a:rPr lang="en-AU" sz="900" b="1" baseline="30000"/>
              <a:t>(a)</a:t>
            </a:r>
          </a:p>
        </c:rich>
      </c:tx>
      <c:layout>
        <c:manualLayout>
          <c:xMode val="edge"/>
          <c:yMode val="edge"/>
          <c:x val="0.29242666666666667"/>
          <c:y val="2.2984102662325225E-2"/>
        </c:manualLayout>
      </c:layout>
      <c:overlay val="0"/>
      <c:spPr>
        <a:noFill/>
        <a:ln>
          <a:noFill/>
        </a:ln>
        <a:effectLst/>
      </c:spPr>
      <c:txPr>
        <a:bodyPr rot="0" spcFirstLastPara="1" vertOverflow="ellipsis" vert="horz" wrap="square" anchor="ctr" anchorCtr="1"/>
        <a:lstStyle/>
        <a:p>
          <a:pPr>
            <a:defRPr sz="900" b="0" i="0" u="none" strike="noStrike" kern="1200" spc="0" baseline="0">
              <a:solidFill>
                <a:schemeClr val="tx1">
                  <a:lumMod val="65000"/>
                  <a:lumOff val="35000"/>
                </a:schemeClr>
              </a:solidFill>
              <a:latin typeface="Calibri" panose="020F0502020204030204" pitchFamily="34" charset="0"/>
              <a:ea typeface="Calibri" panose="020F0502020204030204" pitchFamily="34" charset="0"/>
              <a:cs typeface="Calibri" panose="020F0502020204030204" pitchFamily="34" charset="0"/>
            </a:defRPr>
          </a:pPr>
          <a:endParaRPr lang="en-US"/>
        </a:p>
      </c:txPr>
    </c:title>
    <c:autoTitleDeleted val="0"/>
    <c:plotArea>
      <c:layout>
        <c:manualLayout>
          <c:layoutTarget val="inner"/>
          <c:xMode val="edge"/>
          <c:yMode val="edge"/>
          <c:x val="0.20578267716535431"/>
          <c:y val="0.11869388764634645"/>
          <c:w val="0.73555065616797899"/>
          <c:h val="0.64974700897496029"/>
        </c:manualLayout>
      </c:layout>
      <c:lineChart>
        <c:grouping val="standard"/>
        <c:varyColors val="0"/>
        <c:ser>
          <c:idx val="2"/>
          <c:order val="0"/>
          <c:tx>
            <c:v>Discretionary</c:v>
          </c:tx>
          <c:spPr>
            <a:ln w="22225" cap="rnd">
              <a:solidFill>
                <a:schemeClr val="tx1">
                  <a:lumMod val="65000"/>
                  <a:lumOff val="35000"/>
                </a:schemeClr>
              </a:solidFill>
              <a:round/>
            </a:ln>
            <a:effectLst/>
          </c:spPr>
          <c:marker>
            <c:symbol val="none"/>
          </c:marker>
          <c:cat>
            <c:numRef>
              <c:f>'Chart 2.6.1 data'!$A$132:$A$167</c:f>
              <c:numCache>
                <c:formatCode>mmm\-yyyy</c:formatCode>
                <c:ptCount val="36"/>
                <c:pt idx="0">
                  <c:v>42795</c:v>
                </c:pt>
                <c:pt idx="1">
                  <c:v>42887</c:v>
                </c:pt>
                <c:pt idx="2">
                  <c:v>42979</c:v>
                </c:pt>
                <c:pt idx="3">
                  <c:v>43070</c:v>
                </c:pt>
                <c:pt idx="4">
                  <c:v>43160</c:v>
                </c:pt>
                <c:pt idx="5">
                  <c:v>43252</c:v>
                </c:pt>
                <c:pt idx="6">
                  <c:v>43344</c:v>
                </c:pt>
                <c:pt idx="7">
                  <c:v>43435</c:v>
                </c:pt>
                <c:pt idx="8">
                  <c:v>43525</c:v>
                </c:pt>
                <c:pt idx="9">
                  <c:v>43617</c:v>
                </c:pt>
                <c:pt idx="10">
                  <c:v>43709</c:v>
                </c:pt>
                <c:pt idx="11">
                  <c:v>43800</c:v>
                </c:pt>
                <c:pt idx="12">
                  <c:v>43891</c:v>
                </c:pt>
                <c:pt idx="13">
                  <c:v>43983</c:v>
                </c:pt>
                <c:pt idx="14">
                  <c:v>44075</c:v>
                </c:pt>
                <c:pt idx="15">
                  <c:v>44166</c:v>
                </c:pt>
                <c:pt idx="16">
                  <c:v>44256</c:v>
                </c:pt>
                <c:pt idx="17">
                  <c:v>44348</c:v>
                </c:pt>
                <c:pt idx="18">
                  <c:v>44440</c:v>
                </c:pt>
                <c:pt idx="19">
                  <c:v>44531</c:v>
                </c:pt>
                <c:pt idx="20">
                  <c:v>44621</c:v>
                </c:pt>
                <c:pt idx="21">
                  <c:v>44713</c:v>
                </c:pt>
                <c:pt idx="22">
                  <c:v>44805</c:v>
                </c:pt>
                <c:pt idx="23">
                  <c:v>44896</c:v>
                </c:pt>
                <c:pt idx="24">
                  <c:v>44986</c:v>
                </c:pt>
                <c:pt idx="25">
                  <c:v>45078</c:v>
                </c:pt>
                <c:pt idx="26">
                  <c:v>45170</c:v>
                </c:pt>
                <c:pt idx="27">
                  <c:v>45261</c:v>
                </c:pt>
                <c:pt idx="28">
                  <c:v>45352</c:v>
                </c:pt>
                <c:pt idx="29">
                  <c:v>45444</c:v>
                </c:pt>
                <c:pt idx="30">
                  <c:v>45536</c:v>
                </c:pt>
                <c:pt idx="31">
                  <c:v>45627</c:v>
                </c:pt>
                <c:pt idx="32">
                  <c:v>45717</c:v>
                </c:pt>
                <c:pt idx="33">
                  <c:v>45809</c:v>
                </c:pt>
                <c:pt idx="34">
                  <c:v>45901</c:v>
                </c:pt>
                <c:pt idx="35">
                  <c:v>45992</c:v>
                </c:pt>
              </c:numCache>
            </c:numRef>
          </c:cat>
          <c:val>
            <c:numRef>
              <c:f>'Chart 2.6.1 data'!$AE$132:$AE$167</c:f>
              <c:numCache>
                <c:formatCode>_-* #,##0_-;\-* #,##0_-;_-* "-"??_-;_-@_-</c:formatCode>
                <c:ptCount val="36"/>
                <c:pt idx="0">
                  <c:v>95.421263960589812</c:v>
                </c:pt>
                <c:pt idx="1">
                  <c:v>96.298545736747982</c:v>
                </c:pt>
                <c:pt idx="2">
                  <c:v>96.710193339406828</c:v>
                </c:pt>
                <c:pt idx="3">
                  <c:v>99.136214866551938</c:v>
                </c:pt>
                <c:pt idx="4">
                  <c:v>100.05736073151803</c:v>
                </c:pt>
                <c:pt idx="5">
                  <c:v>100.84354016938286</c:v>
                </c:pt>
                <c:pt idx="6">
                  <c:v>100.94139082903129</c:v>
                </c:pt>
                <c:pt idx="7">
                  <c:v>101.27880689678443</c:v>
                </c:pt>
                <c:pt idx="8">
                  <c:v>100.965009953774</c:v>
                </c:pt>
                <c:pt idx="9">
                  <c:v>100.91777170428855</c:v>
                </c:pt>
                <c:pt idx="10">
                  <c:v>99.58497823666363</c:v>
                </c:pt>
                <c:pt idx="11">
                  <c:v>100</c:v>
                </c:pt>
                <c:pt idx="12">
                  <c:v>96.720315821439414</c:v>
                </c:pt>
                <c:pt idx="13">
                  <c:v>74.157303370786522</c:v>
                </c:pt>
                <c:pt idx="14">
                  <c:v>68.930728481290288</c:v>
                </c:pt>
                <c:pt idx="15">
                  <c:v>88.588588588588593</c:v>
                </c:pt>
                <c:pt idx="16">
                  <c:v>95.994871275770151</c:v>
                </c:pt>
                <c:pt idx="17">
                  <c:v>94.574349630529412</c:v>
                </c:pt>
                <c:pt idx="18">
                  <c:v>83.496980126193606</c:v>
                </c:pt>
                <c:pt idx="19">
                  <c:v>97.995748557546307</c:v>
                </c:pt>
                <c:pt idx="20">
                  <c:v>104.59898100347537</c:v>
                </c:pt>
                <c:pt idx="21">
                  <c:v>107.83142693255053</c:v>
                </c:pt>
                <c:pt idx="22">
                  <c:v>109.52862975334885</c:v>
                </c:pt>
                <c:pt idx="23">
                  <c:v>110.47002058238013</c:v>
                </c:pt>
                <c:pt idx="24">
                  <c:v>110.56449708135101</c:v>
                </c:pt>
                <c:pt idx="25">
                  <c:v>110.73320511522759</c:v>
                </c:pt>
                <c:pt idx="26">
                  <c:v>110.83442993555353</c:v>
                </c:pt>
                <c:pt idx="27">
                  <c:v>109.28906434524413</c:v>
                </c:pt>
                <c:pt idx="28">
                  <c:v>109.21820697101596</c:v>
                </c:pt>
                <c:pt idx="29">
                  <c:v>108.29706110604987</c:v>
                </c:pt>
                <c:pt idx="30">
                  <c:v>108.40166008705334</c:v>
                </c:pt>
                <c:pt idx="31">
                  <c:v>109.03262813375171</c:v>
                </c:pt>
                <c:pt idx="32">
                  <c:v>109.73782771535581</c:v>
                </c:pt>
                <c:pt idx="33">
                  <c:v>110.5307554745757</c:v>
                </c:pt>
                <c:pt idx="34">
                  <c:v>111.60711273070825</c:v>
                </c:pt>
                <c:pt idx="35">
                  <c:v>111.96139960184904</c:v>
                </c:pt>
              </c:numCache>
            </c:numRef>
          </c:val>
          <c:smooth val="0"/>
          <c:extLst>
            <c:ext xmlns:c16="http://schemas.microsoft.com/office/drawing/2014/chart" uri="{C3380CC4-5D6E-409C-BE32-E72D297353CC}">
              <c16:uniqueId val="{00000000-66E5-4471-B7C4-32F72BE19494}"/>
            </c:ext>
          </c:extLst>
        </c:ser>
        <c:ser>
          <c:idx val="0"/>
          <c:order val="1"/>
          <c:tx>
            <c:v>Essential</c:v>
          </c:tx>
          <c:spPr>
            <a:ln w="22225" cap="rnd">
              <a:solidFill>
                <a:schemeClr val="bg1">
                  <a:lumMod val="65000"/>
                </a:schemeClr>
              </a:solidFill>
              <a:round/>
            </a:ln>
            <a:effectLst/>
          </c:spPr>
          <c:marker>
            <c:symbol val="none"/>
          </c:marker>
          <c:cat>
            <c:numRef>
              <c:f>'Chart 2.6.1 data'!$A$132:$A$167</c:f>
              <c:numCache>
                <c:formatCode>mmm\-yyyy</c:formatCode>
                <c:ptCount val="36"/>
                <c:pt idx="0">
                  <c:v>42795</c:v>
                </c:pt>
                <c:pt idx="1">
                  <c:v>42887</c:v>
                </c:pt>
                <c:pt idx="2">
                  <c:v>42979</c:v>
                </c:pt>
                <c:pt idx="3">
                  <c:v>43070</c:v>
                </c:pt>
                <c:pt idx="4">
                  <c:v>43160</c:v>
                </c:pt>
                <c:pt idx="5">
                  <c:v>43252</c:v>
                </c:pt>
                <c:pt idx="6">
                  <c:v>43344</c:v>
                </c:pt>
                <c:pt idx="7">
                  <c:v>43435</c:v>
                </c:pt>
                <c:pt idx="8">
                  <c:v>43525</c:v>
                </c:pt>
                <c:pt idx="9">
                  <c:v>43617</c:v>
                </c:pt>
                <c:pt idx="10">
                  <c:v>43709</c:v>
                </c:pt>
                <c:pt idx="11">
                  <c:v>43800</c:v>
                </c:pt>
                <c:pt idx="12">
                  <c:v>43891</c:v>
                </c:pt>
                <c:pt idx="13">
                  <c:v>43983</c:v>
                </c:pt>
                <c:pt idx="14">
                  <c:v>44075</c:v>
                </c:pt>
                <c:pt idx="15">
                  <c:v>44166</c:v>
                </c:pt>
                <c:pt idx="16">
                  <c:v>44256</c:v>
                </c:pt>
                <c:pt idx="17">
                  <c:v>44348</c:v>
                </c:pt>
                <c:pt idx="18">
                  <c:v>44440</c:v>
                </c:pt>
                <c:pt idx="19">
                  <c:v>44531</c:v>
                </c:pt>
                <c:pt idx="20">
                  <c:v>44621</c:v>
                </c:pt>
                <c:pt idx="21">
                  <c:v>44713</c:v>
                </c:pt>
                <c:pt idx="22">
                  <c:v>44805</c:v>
                </c:pt>
                <c:pt idx="23">
                  <c:v>44896</c:v>
                </c:pt>
                <c:pt idx="24">
                  <c:v>44986</c:v>
                </c:pt>
                <c:pt idx="25">
                  <c:v>45078</c:v>
                </c:pt>
                <c:pt idx="26">
                  <c:v>45170</c:v>
                </c:pt>
                <c:pt idx="27">
                  <c:v>45261</c:v>
                </c:pt>
                <c:pt idx="28">
                  <c:v>45352</c:v>
                </c:pt>
                <c:pt idx="29">
                  <c:v>45444</c:v>
                </c:pt>
                <c:pt idx="30">
                  <c:v>45536</c:v>
                </c:pt>
                <c:pt idx="31">
                  <c:v>45627</c:v>
                </c:pt>
                <c:pt idx="32">
                  <c:v>45717</c:v>
                </c:pt>
                <c:pt idx="33">
                  <c:v>45809</c:v>
                </c:pt>
                <c:pt idx="34">
                  <c:v>45901</c:v>
                </c:pt>
                <c:pt idx="35">
                  <c:v>45992</c:v>
                </c:pt>
              </c:numCache>
            </c:numRef>
          </c:cat>
          <c:val>
            <c:numRef>
              <c:f>'Chart 2.6.1 data'!$AC$132:$AC$167</c:f>
              <c:numCache>
                <c:formatCode>_-* #,##0_-;\-* #,##0_-;_-* "-"??_-;_-@_-</c:formatCode>
                <c:ptCount val="36"/>
                <c:pt idx="0">
                  <c:v>94.330756712774615</c:v>
                </c:pt>
                <c:pt idx="1">
                  <c:v>94.871847030105783</c:v>
                </c:pt>
                <c:pt idx="2">
                  <c:v>96.078112286411724</c:v>
                </c:pt>
                <c:pt idx="3">
                  <c:v>96.208299430431239</c:v>
                </c:pt>
                <c:pt idx="4">
                  <c:v>96.899918633034986</c:v>
                </c:pt>
                <c:pt idx="5">
                  <c:v>97.664768104149715</c:v>
                </c:pt>
                <c:pt idx="6">
                  <c:v>97.955655004068348</c:v>
                </c:pt>
                <c:pt idx="7">
                  <c:v>98.543531326281524</c:v>
                </c:pt>
                <c:pt idx="8">
                  <c:v>99.288039056143205</c:v>
                </c:pt>
                <c:pt idx="9">
                  <c:v>99.487388120423105</c:v>
                </c:pt>
                <c:pt idx="10">
                  <c:v>99.735557363710342</c:v>
                </c:pt>
                <c:pt idx="11">
                  <c:v>100</c:v>
                </c:pt>
                <c:pt idx="12">
                  <c:v>100.56956875508543</c:v>
                </c:pt>
                <c:pt idx="13">
                  <c:v>95.360048820179017</c:v>
                </c:pt>
                <c:pt idx="14">
                  <c:v>96.265256305939786</c:v>
                </c:pt>
                <c:pt idx="15">
                  <c:v>99.450772986167607</c:v>
                </c:pt>
                <c:pt idx="16">
                  <c:v>99.995931651749387</c:v>
                </c:pt>
                <c:pt idx="17">
                  <c:v>100.65703824247356</c:v>
                </c:pt>
                <c:pt idx="18">
                  <c:v>99.918633034987792</c:v>
                </c:pt>
                <c:pt idx="19">
                  <c:v>101.21847030105778</c:v>
                </c:pt>
                <c:pt idx="20">
                  <c:v>101.44833197721725</c:v>
                </c:pt>
                <c:pt idx="21">
                  <c:v>101.63547599674531</c:v>
                </c:pt>
                <c:pt idx="22">
                  <c:v>102.56916192026037</c:v>
                </c:pt>
                <c:pt idx="23">
                  <c:v>103.41537835638729</c:v>
                </c:pt>
                <c:pt idx="24">
                  <c:v>103.84865744507729</c:v>
                </c:pt>
                <c:pt idx="25">
                  <c:v>104.03580146460536</c:v>
                </c:pt>
                <c:pt idx="26">
                  <c:v>103.36655817737999</c:v>
                </c:pt>
                <c:pt idx="27">
                  <c:v>104.53417412530513</c:v>
                </c:pt>
                <c:pt idx="28">
                  <c:v>105.20748576078111</c:v>
                </c:pt>
                <c:pt idx="29">
                  <c:v>105.6753458096013</c:v>
                </c:pt>
                <c:pt idx="30">
                  <c:v>106.12693246541905</c:v>
                </c:pt>
                <c:pt idx="31">
                  <c:v>106.20626525630594</c:v>
                </c:pt>
                <c:pt idx="32">
                  <c:v>107.259967453214</c:v>
                </c:pt>
                <c:pt idx="33">
                  <c:v>107.78071602929211</c:v>
                </c:pt>
                <c:pt idx="34">
                  <c:v>108.7672904800651</c:v>
                </c:pt>
                <c:pt idx="35">
                  <c:v>108.89747762408462</c:v>
                </c:pt>
              </c:numCache>
            </c:numRef>
          </c:val>
          <c:smooth val="0"/>
          <c:extLst>
            <c:ext xmlns:c16="http://schemas.microsoft.com/office/drawing/2014/chart" uri="{C3380CC4-5D6E-409C-BE32-E72D297353CC}">
              <c16:uniqueId val="{00000001-66E5-4471-B7C4-32F72BE19494}"/>
            </c:ext>
          </c:extLst>
        </c:ser>
        <c:ser>
          <c:idx val="3"/>
          <c:order val="2"/>
          <c:tx>
            <c:v>Total</c:v>
          </c:tx>
          <c:spPr>
            <a:ln w="22225" cap="rnd">
              <a:solidFill>
                <a:schemeClr val="tx1"/>
              </a:solidFill>
              <a:prstDash val="sysDash"/>
              <a:round/>
            </a:ln>
            <a:effectLst/>
          </c:spPr>
          <c:marker>
            <c:symbol val="none"/>
          </c:marker>
          <c:cat>
            <c:numRef>
              <c:f>'Chart 2.6.1 data'!$A$132:$A$167</c:f>
              <c:numCache>
                <c:formatCode>mmm\-yyyy</c:formatCode>
                <c:ptCount val="36"/>
                <c:pt idx="0">
                  <c:v>42795</c:v>
                </c:pt>
                <c:pt idx="1">
                  <c:v>42887</c:v>
                </c:pt>
                <c:pt idx="2">
                  <c:v>42979</c:v>
                </c:pt>
                <c:pt idx="3">
                  <c:v>43070</c:v>
                </c:pt>
                <c:pt idx="4">
                  <c:v>43160</c:v>
                </c:pt>
                <c:pt idx="5">
                  <c:v>43252</c:v>
                </c:pt>
                <c:pt idx="6">
                  <c:v>43344</c:v>
                </c:pt>
                <c:pt idx="7">
                  <c:v>43435</c:v>
                </c:pt>
                <c:pt idx="8">
                  <c:v>43525</c:v>
                </c:pt>
                <c:pt idx="9">
                  <c:v>43617</c:v>
                </c:pt>
                <c:pt idx="10">
                  <c:v>43709</c:v>
                </c:pt>
                <c:pt idx="11">
                  <c:v>43800</c:v>
                </c:pt>
                <c:pt idx="12">
                  <c:v>43891</c:v>
                </c:pt>
                <c:pt idx="13">
                  <c:v>43983</c:v>
                </c:pt>
                <c:pt idx="14">
                  <c:v>44075</c:v>
                </c:pt>
                <c:pt idx="15">
                  <c:v>44166</c:v>
                </c:pt>
                <c:pt idx="16">
                  <c:v>44256</c:v>
                </c:pt>
                <c:pt idx="17">
                  <c:v>44348</c:v>
                </c:pt>
                <c:pt idx="18">
                  <c:v>44440</c:v>
                </c:pt>
                <c:pt idx="19">
                  <c:v>44531</c:v>
                </c:pt>
                <c:pt idx="20">
                  <c:v>44621</c:v>
                </c:pt>
                <c:pt idx="21">
                  <c:v>44713</c:v>
                </c:pt>
                <c:pt idx="22">
                  <c:v>44805</c:v>
                </c:pt>
                <c:pt idx="23">
                  <c:v>44896</c:v>
                </c:pt>
                <c:pt idx="24">
                  <c:v>44986</c:v>
                </c:pt>
                <c:pt idx="25">
                  <c:v>45078</c:v>
                </c:pt>
                <c:pt idx="26">
                  <c:v>45170</c:v>
                </c:pt>
                <c:pt idx="27">
                  <c:v>45261</c:v>
                </c:pt>
                <c:pt idx="28">
                  <c:v>45352</c:v>
                </c:pt>
                <c:pt idx="29">
                  <c:v>45444</c:v>
                </c:pt>
                <c:pt idx="30">
                  <c:v>45536</c:v>
                </c:pt>
                <c:pt idx="31">
                  <c:v>45627</c:v>
                </c:pt>
                <c:pt idx="32">
                  <c:v>45717</c:v>
                </c:pt>
                <c:pt idx="33">
                  <c:v>45809</c:v>
                </c:pt>
                <c:pt idx="34">
                  <c:v>45901</c:v>
                </c:pt>
                <c:pt idx="35">
                  <c:v>45992</c:v>
                </c:pt>
              </c:numCache>
            </c:numRef>
          </c:cat>
          <c:val>
            <c:numRef>
              <c:f>'Chart 2.6.1 data'!$AF$132:$AF$167</c:f>
              <c:numCache>
                <c:formatCode>_-* #,##0_-;\-* #,##0_-;_-* "-"??_-;_-@_-</c:formatCode>
                <c:ptCount val="36"/>
                <c:pt idx="0">
                  <c:v>93.951686584073386</c:v>
                </c:pt>
                <c:pt idx="1">
                  <c:v>94.618036521336606</c:v>
                </c:pt>
                <c:pt idx="2">
                  <c:v>95.464678580564993</c:v>
                </c:pt>
                <c:pt idx="3">
                  <c:v>96.556176832462327</c:v>
                </c:pt>
                <c:pt idx="4">
                  <c:v>97.406473461730556</c:v>
                </c:pt>
                <c:pt idx="5">
                  <c:v>98.312806831609592</c:v>
                </c:pt>
                <c:pt idx="6">
                  <c:v>98.657554605367352</c:v>
                </c:pt>
                <c:pt idx="7">
                  <c:v>99.20086735128946</c:v>
                </c:pt>
                <c:pt idx="8">
                  <c:v>99.627233855936851</c:v>
                </c:pt>
                <c:pt idx="9">
                  <c:v>99.87209004860577</c:v>
                </c:pt>
                <c:pt idx="10">
                  <c:v>99.596779105604895</c:v>
                </c:pt>
                <c:pt idx="11">
                  <c:v>100</c:v>
                </c:pt>
                <c:pt idx="12">
                  <c:v>98.572281304437865</c:v>
                </c:pt>
                <c:pt idx="13">
                  <c:v>84.329203669188331</c:v>
                </c:pt>
                <c:pt idx="14">
                  <c:v>82.849102803055217</c:v>
                </c:pt>
                <c:pt idx="15">
                  <c:v>92.372912326864736</c:v>
                </c:pt>
                <c:pt idx="16">
                  <c:v>95.570661111720199</c:v>
                </c:pt>
                <c:pt idx="17">
                  <c:v>95.564570161653819</c:v>
                </c:pt>
                <c:pt idx="18">
                  <c:v>90.470099526124088</c:v>
                </c:pt>
                <c:pt idx="19">
                  <c:v>97.033707317667407</c:v>
                </c:pt>
                <c:pt idx="20">
                  <c:v>101.0196250411139</c:v>
                </c:pt>
                <c:pt idx="21">
                  <c:v>103.20993068498825</c:v>
                </c:pt>
                <c:pt idx="22">
                  <c:v>104.59744911011219</c:v>
                </c:pt>
                <c:pt idx="23">
                  <c:v>105.6852927919697</c:v>
                </c:pt>
                <c:pt idx="24">
                  <c:v>106.24809657810425</c:v>
                </c:pt>
                <c:pt idx="25">
                  <c:v>106.41377041991009</c:v>
                </c:pt>
                <c:pt idx="26">
                  <c:v>106.27002399834326</c:v>
                </c:pt>
                <c:pt idx="27">
                  <c:v>106.05805893603284</c:v>
                </c:pt>
                <c:pt idx="28">
                  <c:v>106.58066245172921</c:v>
                </c:pt>
                <c:pt idx="29">
                  <c:v>106.16038689714821</c:v>
                </c:pt>
                <c:pt idx="30">
                  <c:v>106.5428985613176</c:v>
                </c:pt>
                <c:pt idx="31">
                  <c:v>106.79993665411931</c:v>
                </c:pt>
                <c:pt idx="32">
                  <c:v>107.68190622373277</c:v>
                </c:pt>
                <c:pt idx="33">
                  <c:v>108.32145598070386</c:v>
                </c:pt>
                <c:pt idx="34">
                  <c:v>109.29235342128665</c:v>
                </c:pt>
                <c:pt idx="35">
                  <c:v>109.48482744338462</c:v>
                </c:pt>
              </c:numCache>
            </c:numRef>
          </c:val>
          <c:smooth val="0"/>
          <c:extLst>
            <c:ext xmlns:c16="http://schemas.microsoft.com/office/drawing/2014/chart" uri="{C3380CC4-5D6E-409C-BE32-E72D297353CC}">
              <c16:uniqueId val="{00000002-66E5-4471-B7C4-32F72BE19494}"/>
            </c:ext>
          </c:extLst>
        </c:ser>
        <c:dLbls>
          <c:showLegendKey val="0"/>
          <c:showVal val="0"/>
          <c:showCatName val="0"/>
          <c:showSerName val="0"/>
          <c:showPercent val="0"/>
          <c:showBubbleSize val="0"/>
        </c:dLbls>
        <c:smooth val="0"/>
        <c:axId val="425673776"/>
        <c:axId val="425682416"/>
      </c:lineChart>
      <c:dateAx>
        <c:axId val="425673776"/>
        <c:scaling>
          <c:orientation val="minMax"/>
        </c:scaling>
        <c:delete val="0"/>
        <c:axPos val="b"/>
        <c:numFmt formatCode="yyyy" sourceLinked="0"/>
        <c:majorTickMark val="out"/>
        <c:minorTickMark val="none"/>
        <c:tickLblPos val="nextTo"/>
        <c:spPr>
          <a:noFill/>
          <a:ln w="9525" cap="flat" cmpd="sng" algn="ctr">
            <a:solidFill>
              <a:schemeClr val="tx1">
                <a:lumMod val="50000"/>
                <a:lumOff val="50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libri" panose="020F0502020204030204" pitchFamily="34" charset="0"/>
                <a:ea typeface="Calibri" panose="020F0502020204030204" pitchFamily="34" charset="0"/>
                <a:cs typeface="Calibri" panose="020F0502020204030204" pitchFamily="34" charset="0"/>
              </a:defRPr>
            </a:pPr>
            <a:endParaRPr lang="en-US"/>
          </a:p>
        </c:txPr>
        <c:crossAx val="425682416"/>
        <c:crosses val="autoZero"/>
        <c:auto val="1"/>
        <c:lblOffset val="100"/>
        <c:baseTimeUnit val="months"/>
        <c:majorUnit val="24"/>
        <c:majorTimeUnit val="months"/>
      </c:dateAx>
      <c:valAx>
        <c:axId val="425682416"/>
        <c:scaling>
          <c:orientation val="minMax"/>
          <c:min val="60"/>
        </c:scaling>
        <c:delete val="0"/>
        <c:axPos val="l"/>
        <c:majorGridlines>
          <c:spPr>
            <a:ln w="9525" cap="flat" cmpd="sng" algn="ctr">
              <a:solidFill>
                <a:schemeClr val="tx1">
                  <a:lumMod val="15000"/>
                  <a:lumOff val="85000"/>
                </a:schemeClr>
              </a:solidFill>
              <a:prstDash val="dash"/>
              <a:round/>
            </a:ln>
            <a:effectLst/>
          </c:spPr>
        </c:majorGridlines>
        <c:title>
          <c:tx>
            <c:rich>
              <a:bodyPr rot="-5400000" spcFirstLastPara="1" vertOverflow="ellipsis" vert="horz" wrap="square" anchor="ctr" anchorCtr="1"/>
              <a:lstStyle/>
              <a:p>
                <a:pPr>
                  <a:defRPr sz="900" b="0" i="1" u="none" strike="noStrike" kern="1200" baseline="0">
                    <a:solidFill>
                      <a:schemeClr val="tx1">
                        <a:lumMod val="65000"/>
                        <a:lumOff val="35000"/>
                      </a:schemeClr>
                    </a:solidFill>
                    <a:latin typeface="Calibri" panose="020F0502020204030204" pitchFamily="34" charset="0"/>
                    <a:ea typeface="Calibri" panose="020F0502020204030204" pitchFamily="34" charset="0"/>
                    <a:cs typeface="Calibri" panose="020F0502020204030204" pitchFamily="34" charset="0"/>
                  </a:defRPr>
                </a:pPr>
                <a:r>
                  <a:rPr lang="en-US" i="1"/>
                  <a:t>Index (Dec 2019=100)</a:t>
                </a:r>
              </a:p>
            </c:rich>
          </c:tx>
          <c:layout>
            <c:manualLayout>
              <c:xMode val="edge"/>
              <c:yMode val="edge"/>
              <c:x val="5.3333333333333332E-3"/>
              <c:y val="0.27840746108613457"/>
            </c:manualLayout>
          </c:layout>
          <c:overlay val="0"/>
          <c:spPr>
            <a:noFill/>
            <a:ln>
              <a:noFill/>
            </a:ln>
            <a:effectLst/>
          </c:spPr>
          <c:txPr>
            <a:bodyPr rot="-5400000" spcFirstLastPara="1" vertOverflow="ellipsis" vert="horz" wrap="square" anchor="ctr" anchorCtr="1"/>
            <a:lstStyle/>
            <a:p>
              <a:pPr>
                <a:defRPr sz="900" b="0" i="1" u="none" strike="noStrike" kern="1200" baseline="0">
                  <a:solidFill>
                    <a:schemeClr val="tx1">
                      <a:lumMod val="65000"/>
                      <a:lumOff val="35000"/>
                    </a:schemeClr>
                  </a:solidFill>
                  <a:latin typeface="Calibri" panose="020F0502020204030204" pitchFamily="34" charset="0"/>
                  <a:ea typeface="Calibri" panose="020F0502020204030204" pitchFamily="34" charset="0"/>
                  <a:cs typeface="Calibri" panose="020F0502020204030204" pitchFamily="34" charset="0"/>
                </a:defRPr>
              </a:pPr>
              <a:endParaRPr lang="en-US"/>
            </a:p>
          </c:txPr>
        </c:title>
        <c:numFmt formatCode="_-* #,##0_-;\-* #,##0_-;_-* &quot;-&quot;??_-;_-@_-" sourceLinked="1"/>
        <c:majorTickMark val="none"/>
        <c:minorTickMark val="none"/>
        <c:tickLblPos val="nextTo"/>
        <c:spPr>
          <a:noFill/>
          <a:ln>
            <a:solidFill>
              <a:schemeClr val="tx1">
                <a:lumMod val="50000"/>
                <a:lumOff val="50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libri" panose="020F0502020204030204" pitchFamily="34" charset="0"/>
                <a:ea typeface="Calibri" panose="020F0502020204030204" pitchFamily="34" charset="0"/>
                <a:cs typeface="Calibri" panose="020F0502020204030204" pitchFamily="34" charset="0"/>
              </a:defRPr>
            </a:pPr>
            <a:endParaRPr lang="en-US"/>
          </a:p>
        </c:txPr>
        <c:crossAx val="425673776"/>
        <c:crosses val="autoZero"/>
        <c:crossBetween val="between"/>
      </c:valAx>
      <c:spPr>
        <a:noFill/>
        <a:ln>
          <a:noFill/>
        </a:ln>
        <a:effectLst/>
      </c:spPr>
    </c:plotArea>
    <c:legend>
      <c:legendPos val="b"/>
      <c:layout>
        <c:manualLayout>
          <c:xMode val="edge"/>
          <c:yMode val="edge"/>
          <c:x val="1.9331863517060364E-2"/>
          <c:y val="0.89178227841228719"/>
          <c:w val="0.96133627296587931"/>
          <c:h val="8.1402935148333425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Calibri" panose="020F0502020204030204" pitchFamily="34" charset="0"/>
              <a:ea typeface="Calibri" panose="020F0502020204030204" pitchFamily="34" charset="0"/>
              <a:cs typeface="Calibri" panose="020F0502020204030204" pitchFamily="34"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900">
          <a:solidFill>
            <a:schemeClr val="tx1">
              <a:lumMod val="65000"/>
              <a:lumOff val="35000"/>
            </a:schemeClr>
          </a:solidFill>
          <a:latin typeface="Calibri" panose="020F0502020204030204" pitchFamily="34" charset="0"/>
          <a:ea typeface="Calibri" panose="020F0502020204030204" pitchFamily="34" charset="0"/>
          <a:cs typeface="Calibri" panose="020F0502020204030204" pitchFamily="34" charset="0"/>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0" i="0" u="none" strike="noStrike" kern="1200" spc="0" baseline="0">
                <a:solidFill>
                  <a:schemeClr val="tx1">
                    <a:lumMod val="65000"/>
                    <a:lumOff val="35000"/>
                  </a:schemeClr>
                </a:solidFill>
                <a:latin typeface="Calibri" panose="020F0502020204030204" pitchFamily="34" charset="0"/>
                <a:ea typeface="Calibri" panose="020F0502020204030204" pitchFamily="34" charset="0"/>
                <a:cs typeface="Calibri" panose="020F0502020204030204" pitchFamily="34" charset="0"/>
              </a:defRPr>
            </a:pPr>
            <a:r>
              <a:rPr lang="en-US" sz="900" b="1"/>
              <a:t>Household savings ratio </a:t>
            </a:r>
            <a:r>
              <a:rPr lang="en-US" sz="900" b="1" baseline="30000"/>
              <a:t>(b)</a:t>
            </a:r>
          </a:p>
        </c:rich>
      </c:tx>
      <c:layout>
        <c:manualLayout>
          <c:xMode val="edge"/>
          <c:yMode val="edge"/>
          <c:x val="0.30204043913022477"/>
          <c:y val="3.2732396488716418E-2"/>
        </c:manualLayout>
      </c:layout>
      <c:overlay val="0"/>
      <c:spPr>
        <a:noFill/>
        <a:ln>
          <a:noFill/>
        </a:ln>
        <a:effectLst/>
      </c:spPr>
      <c:txPr>
        <a:bodyPr rot="0" spcFirstLastPara="1" vertOverflow="ellipsis" vert="horz" wrap="square" anchor="ctr" anchorCtr="1"/>
        <a:lstStyle/>
        <a:p>
          <a:pPr>
            <a:defRPr sz="900" b="0" i="0" u="none" strike="noStrike" kern="1200" spc="0" baseline="0">
              <a:solidFill>
                <a:schemeClr val="tx1">
                  <a:lumMod val="65000"/>
                  <a:lumOff val="35000"/>
                </a:schemeClr>
              </a:solidFill>
              <a:latin typeface="Calibri" panose="020F0502020204030204" pitchFamily="34" charset="0"/>
              <a:ea typeface="Calibri" panose="020F0502020204030204" pitchFamily="34" charset="0"/>
              <a:cs typeface="Calibri" panose="020F0502020204030204" pitchFamily="34" charset="0"/>
            </a:defRPr>
          </a:pPr>
          <a:endParaRPr lang="en-US"/>
        </a:p>
      </c:txPr>
    </c:title>
    <c:autoTitleDeleted val="0"/>
    <c:plotArea>
      <c:layout>
        <c:manualLayout>
          <c:layoutTarget val="inner"/>
          <c:xMode val="edge"/>
          <c:yMode val="edge"/>
          <c:x val="0.17046771527525451"/>
          <c:y val="0.12175339713551848"/>
          <c:w val="0.77084996944066986"/>
          <c:h val="0.64779720048362943"/>
        </c:manualLayout>
      </c:layout>
      <c:lineChart>
        <c:grouping val="standard"/>
        <c:varyColors val="0"/>
        <c:ser>
          <c:idx val="0"/>
          <c:order val="0"/>
          <c:spPr>
            <a:ln w="22225" cap="rnd">
              <a:solidFill>
                <a:schemeClr val="tx1">
                  <a:lumMod val="85000"/>
                  <a:lumOff val="15000"/>
                </a:schemeClr>
              </a:solidFill>
              <a:round/>
            </a:ln>
            <a:effectLst/>
          </c:spPr>
          <c:marker>
            <c:symbol val="none"/>
          </c:marker>
          <c:cat>
            <c:numRef>
              <c:f>'Chart 2.6.2 data'!$A$213:$A$276</c:f>
              <c:numCache>
                <c:formatCode>mmm\-yyyy</c:formatCode>
                <c:ptCount val="64"/>
                <c:pt idx="0">
                  <c:v>40238</c:v>
                </c:pt>
                <c:pt idx="1">
                  <c:v>40330</c:v>
                </c:pt>
                <c:pt idx="2">
                  <c:v>40422</c:v>
                </c:pt>
                <c:pt idx="3">
                  <c:v>40513</c:v>
                </c:pt>
                <c:pt idx="4">
                  <c:v>40603</c:v>
                </c:pt>
                <c:pt idx="5">
                  <c:v>40695</c:v>
                </c:pt>
                <c:pt idx="6">
                  <c:v>40787</c:v>
                </c:pt>
                <c:pt idx="7">
                  <c:v>40878</c:v>
                </c:pt>
                <c:pt idx="8">
                  <c:v>40969</c:v>
                </c:pt>
                <c:pt idx="9">
                  <c:v>41061</c:v>
                </c:pt>
                <c:pt idx="10">
                  <c:v>41153</c:v>
                </c:pt>
                <c:pt idx="11">
                  <c:v>41244</c:v>
                </c:pt>
                <c:pt idx="12">
                  <c:v>41334</c:v>
                </c:pt>
                <c:pt idx="13">
                  <c:v>41426</c:v>
                </c:pt>
                <c:pt idx="14">
                  <c:v>41518</c:v>
                </c:pt>
                <c:pt idx="15">
                  <c:v>41609</c:v>
                </c:pt>
                <c:pt idx="16">
                  <c:v>41699</c:v>
                </c:pt>
                <c:pt idx="17">
                  <c:v>41791</c:v>
                </c:pt>
                <c:pt idx="18">
                  <c:v>41883</c:v>
                </c:pt>
                <c:pt idx="19">
                  <c:v>41974</c:v>
                </c:pt>
                <c:pt idx="20">
                  <c:v>42064</c:v>
                </c:pt>
                <c:pt idx="21">
                  <c:v>42156</c:v>
                </c:pt>
                <c:pt idx="22">
                  <c:v>42248</c:v>
                </c:pt>
                <c:pt idx="23">
                  <c:v>42339</c:v>
                </c:pt>
                <c:pt idx="24">
                  <c:v>42430</c:v>
                </c:pt>
                <c:pt idx="25">
                  <c:v>42522</c:v>
                </c:pt>
                <c:pt idx="26">
                  <c:v>42614</c:v>
                </c:pt>
                <c:pt idx="27">
                  <c:v>42705</c:v>
                </c:pt>
                <c:pt idx="28">
                  <c:v>42795</c:v>
                </c:pt>
                <c:pt idx="29">
                  <c:v>42887</c:v>
                </c:pt>
                <c:pt idx="30">
                  <c:v>42979</c:v>
                </c:pt>
                <c:pt idx="31">
                  <c:v>43070</c:v>
                </c:pt>
                <c:pt idx="32">
                  <c:v>43160</c:v>
                </c:pt>
                <c:pt idx="33">
                  <c:v>43252</c:v>
                </c:pt>
                <c:pt idx="34">
                  <c:v>43344</c:v>
                </c:pt>
                <c:pt idx="35">
                  <c:v>43435</c:v>
                </c:pt>
                <c:pt idx="36">
                  <c:v>43525</c:v>
                </c:pt>
                <c:pt idx="37">
                  <c:v>43617</c:v>
                </c:pt>
                <c:pt idx="38">
                  <c:v>43709</c:v>
                </c:pt>
                <c:pt idx="39">
                  <c:v>43800</c:v>
                </c:pt>
                <c:pt idx="40">
                  <c:v>43891</c:v>
                </c:pt>
                <c:pt idx="41">
                  <c:v>43983</c:v>
                </c:pt>
                <c:pt idx="42">
                  <c:v>44075</c:v>
                </c:pt>
                <c:pt idx="43">
                  <c:v>44166</c:v>
                </c:pt>
                <c:pt idx="44">
                  <c:v>44256</c:v>
                </c:pt>
                <c:pt idx="45">
                  <c:v>44348</c:v>
                </c:pt>
                <c:pt idx="46">
                  <c:v>44440</c:v>
                </c:pt>
                <c:pt idx="47">
                  <c:v>44531</c:v>
                </c:pt>
                <c:pt idx="48">
                  <c:v>44621</c:v>
                </c:pt>
                <c:pt idx="49">
                  <c:v>44713</c:v>
                </c:pt>
                <c:pt idx="50">
                  <c:v>44805</c:v>
                </c:pt>
                <c:pt idx="51">
                  <c:v>44896</c:v>
                </c:pt>
                <c:pt idx="52">
                  <c:v>44986</c:v>
                </c:pt>
                <c:pt idx="53">
                  <c:v>45078</c:v>
                </c:pt>
                <c:pt idx="54">
                  <c:v>45170</c:v>
                </c:pt>
                <c:pt idx="55">
                  <c:v>45261</c:v>
                </c:pt>
                <c:pt idx="56">
                  <c:v>45352</c:v>
                </c:pt>
                <c:pt idx="57">
                  <c:v>45444</c:v>
                </c:pt>
                <c:pt idx="58">
                  <c:v>45536</c:v>
                </c:pt>
                <c:pt idx="59">
                  <c:v>45627</c:v>
                </c:pt>
                <c:pt idx="60">
                  <c:v>45717</c:v>
                </c:pt>
                <c:pt idx="61">
                  <c:v>45809</c:v>
                </c:pt>
                <c:pt idx="62">
                  <c:v>45901</c:v>
                </c:pt>
                <c:pt idx="63">
                  <c:v>45992</c:v>
                </c:pt>
              </c:numCache>
            </c:numRef>
          </c:cat>
          <c:val>
            <c:numRef>
              <c:f>'Chart 2.6.2 data'!$B$213:$B$276</c:f>
              <c:numCache>
                <c:formatCode>0.0;\-0.0;0.0;@</c:formatCode>
                <c:ptCount val="64"/>
                <c:pt idx="0">
                  <c:v>5.8</c:v>
                </c:pt>
                <c:pt idx="1">
                  <c:v>4.8</c:v>
                </c:pt>
                <c:pt idx="2">
                  <c:v>5.9</c:v>
                </c:pt>
                <c:pt idx="3">
                  <c:v>7.4</c:v>
                </c:pt>
                <c:pt idx="4">
                  <c:v>8</c:v>
                </c:pt>
                <c:pt idx="5">
                  <c:v>7.5</c:v>
                </c:pt>
                <c:pt idx="6">
                  <c:v>7.9</c:v>
                </c:pt>
                <c:pt idx="7">
                  <c:v>8.8000000000000007</c:v>
                </c:pt>
                <c:pt idx="8">
                  <c:v>6.7</c:v>
                </c:pt>
                <c:pt idx="9">
                  <c:v>7.5</c:v>
                </c:pt>
                <c:pt idx="10">
                  <c:v>5.0999999999999996</c:v>
                </c:pt>
                <c:pt idx="11">
                  <c:v>6.2</c:v>
                </c:pt>
                <c:pt idx="12">
                  <c:v>6.8</c:v>
                </c:pt>
                <c:pt idx="13">
                  <c:v>6.7</c:v>
                </c:pt>
                <c:pt idx="14">
                  <c:v>6.3</c:v>
                </c:pt>
                <c:pt idx="15">
                  <c:v>7.1</c:v>
                </c:pt>
                <c:pt idx="16">
                  <c:v>7.1</c:v>
                </c:pt>
                <c:pt idx="17">
                  <c:v>7.9</c:v>
                </c:pt>
                <c:pt idx="18">
                  <c:v>7.3</c:v>
                </c:pt>
                <c:pt idx="19">
                  <c:v>7.5</c:v>
                </c:pt>
                <c:pt idx="20">
                  <c:v>7.2</c:v>
                </c:pt>
                <c:pt idx="21">
                  <c:v>7.5</c:v>
                </c:pt>
                <c:pt idx="22">
                  <c:v>6.8</c:v>
                </c:pt>
                <c:pt idx="23">
                  <c:v>5.3</c:v>
                </c:pt>
                <c:pt idx="24">
                  <c:v>5.2</c:v>
                </c:pt>
                <c:pt idx="25">
                  <c:v>5.6</c:v>
                </c:pt>
                <c:pt idx="26">
                  <c:v>5.6</c:v>
                </c:pt>
                <c:pt idx="27">
                  <c:v>5.0999999999999996</c:v>
                </c:pt>
                <c:pt idx="28">
                  <c:v>5.2</c:v>
                </c:pt>
                <c:pt idx="29">
                  <c:v>4.5</c:v>
                </c:pt>
                <c:pt idx="30">
                  <c:v>4.2</c:v>
                </c:pt>
                <c:pt idx="31">
                  <c:v>4.7</c:v>
                </c:pt>
                <c:pt idx="32">
                  <c:v>4.4000000000000004</c:v>
                </c:pt>
                <c:pt idx="33">
                  <c:v>4.4000000000000004</c:v>
                </c:pt>
                <c:pt idx="34">
                  <c:v>4.8</c:v>
                </c:pt>
                <c:pt idx="35">
                  <c:v>5.4</c:v>
                </c:pt>
                <c:pt idx="36">
                  <c:v>5.6</c:v>
                </c:pt>
                <c:pt idx="37">
                  <c:v>4.5999999999999996</c:v>
                </c:pt>
                <c:pt idx="38">
                  <c:v>7.1</c:v>
                </c:pt>
                <c:pt idx="39">
                  <c:v>6.2</c:v>
                </c:pt>
                <c:pt idx="40">
                  <c:v>8.6999999999999993</c:v>
                </c:pt>
                <c:pt idx="41">
                  <c:v>23.2</c:v>
                </c:pt>
                <c:pt idx="42">
                  <c:v>20.100000000000001</c:v>
                </c:pt>
                <c:pt idx="43">
                  <c:v>13.9</c:v>
                </c:pt>
                <c:pt idx="44">
                  <c:v>13.9</c:v>
                </c:pt>
                <c:pt idx="45">
                  <c:v>11.4</c:v>
                </c:pt>
                <c:pt idx="46">
                  <c:v>20.100000000000001</c:v>
                </c:pt>
                <c:pt idx="47">
                  <c:v>12.8</c:v>
                </c:pt>
                <c:pt idx="48">
                  <c:v>11.2</c:v>
                </c:pt>
                <c:pt idx="49">
                  <c:v>8.4</c:v>
                </c:pt>
                <c:pt idx="50">
                  <c:v>7.9</c:v>
                </c:pt>
                <c:pt idx="51">
                  <c:v>4</c:v>
                </c:pt>
                <c:pt idx="52">
                  <c:v>2.4</c:v>
                </c:pt>
                <c:pt idx="53">
                  <c:v>1.9</c:v>
                </c:pt>
                <c:pt idx="54">
                  <c:v>1.9</c:v>
                </c:pt>
                <c:pt idx="55">
                  <c:v>3.3</c:v>
                </c:pt>
                <c:pt idx="56">
                  <c:v>2.8</c:v>
                </c:pt>
                <c:pt idx="57">
                  <c:v>3.1</c:v>
                </c:pt>
                <c:pt idx="58">
                  <c:v>4.8</c:v>
                </c:pt>
                <c:pt idx="59">
                  <c:v>5.5</c:v>
                </c:pt>
                <c:pt idx="60">
                  <c:v>6.8</c:v>
                </c:pt>
                <c:pt idx="61">
                  <c:v>5.8</c:v>
                </c:pt>
                <c:pt idx="62">
                  <c:v>6.1</c:v>
                </c:pt>
                <c:pt idx="63">
                  <c:v>6.9</c:v>
                </c:pt>
              </c:numCache>
            </c:numRef>
          </c:val>
          <c:smooth val="0"/>
          <c:extLst>
            <c:ext xmlns:c16="http://schemas.microsoft.com/office/drawing/2014/chart" uri="{C3380CC4-5D6E-409C-BE32-E72D297353CC}">
              <c16:uniqueId val="{00000000-E9AD-4B64-A805-6F191FA1E2DC}"/>
            </c:ext>
          </c:extLst>
        </c:ser>
        <c:dLbls>
          <c:showLegendKey val="0"/>
          <c:showVal val="0"/>
          <c:showCatName val="0"/>
          <c:showSerName val="0"/>
          <c:showPercent val="0"/>
          <c:showBubbleSize val="0"/>
        </c:dLbls>
        <c:smooth val="0"/>
        <c:axId val="1843181472"/>
        <c:axId val="1843193472"/>
      </c:lineChart>
      <c:dateAx>
        <c:axId val="1843181472"/>
        <c:scaling>
          <c:orientation val="minMax"/>
        </c:scaling>
        <c:delete val="0"/>
        <c:axPos val="b"/>
        <c:numFmt formatCode="yyyy" sourceLinked="0"/>
        <c:majorTickMark val="out"/>
        <c:minorTickMark val="none"/>
        <c:tickLblPos val="nextTo"/>
        <c:spPr>
          <a:noFill/>
          <a:ln w="9525" cap="flat" cmpd="sng" algn="ctr">
            <a:solidFill>
              <a:schemeClr val="tx1">
                <a:lumMod val="50000"/>
                <a:lumOff val="50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libri" panose="020F0502020204030204" pitchFamily="34" charset="0"/>
                <a:ea typeface="Calibri" panose="020F0502020204030204" pitchFamily="34" charset="0"/>
                <a:cs typeface="Calibri" panose="020F0502020204030204" pitchFamily="34" charset="0"/>
              </a:defRPr>
            </a:pPr>
            <a:endParaRPr lang="en-US"/>
          </a:p>
        </c:txPr>
        <c:crossAx val="1843193472"/>
        <c:crosses val="autoZero"/>
        <c:auto val="1"/>
        <c:lblOffset val="100"/>
        <c:baseTimeUnit val="months"/>
        <c:majorUnit val="36"/>
        <c:majorTimeUnit val="months"/>
      </c:dateAx>
      <c:valAx>
        <c:axId val="1843193472"/>
        <c:scaling>
          <c:orientation val="minMax"/>
        </c:scaling>
        <c:delete val="0"/>
        <c:axPos val="l"/>
        <c:majorGridlines>
          <c:spPr>
            <a:ln w="9525" cap="flat" cmpd="sng" algn="ctr">
              <a:solidFill>
                <a:sysClr val="window" lastClr="FFFFFF">
                  <a:lumMod val="85000"/>
                </a:sysClr>
              </a:solidFill>
              <a:prstDash val="dash"/>
              <a:round/>
              <a:headEnd type="none" w="med" len="med"/>
              <a:tailEnd type="none" w="med" len="me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Calibri" panose="020F0502020204030204" pitchFamily="34" charset="0"/>
                    <a:ea typeface="Calibri" panose="020F0502020204030204" pitchFamily="34" charset="0"/>
                    <a:cs typeface="Calibri" panose="020F0502020204030204" pitchFamily="34" charset="0"/>
                  </a:defRPr>
                </a:pPr>
                <a:r>
                  <a:rPr lang="en-AU" i="1"/>
                  <a:t>per cent</a:t>
                </a:r>
                <a:r>
                  <a:rPr lang="en-AU" i="1" baseline="0"/>
                  <a:t> </a:t>
                </a:r>
                <a:endParaRPr lang="en-AU" i="1"/>
              </a:p>
            </c:rich>
          </c:tx>
          <c:layout>
            <c:manualLayout>
              <c:xMode val="edge"/>
              <c:yMode val="edge"/>
              <c:x val="5.334755934915978E-3"/>
              <c:y val="0.39821543703850654"/>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Calibri" panose="020F0502020204030204" pitchFamily="34" charset="0"/>
                  <a:ea typeface="Calibri" panose="020F0502020204030204" pitchFamily="34" charset="0"/>
                  <a:cs typeface="Calibri" panose="020F0502020204030204" pitchFamily="34" charset="0"/>
                </a:defRPr>
              </a:pPr>
              <a:endParaRPr lang="en-AU"/>
            </a:p>
          </c:txPr>
        </c:title>
        <c:numFmt formatCode="#,##0" sourceLinked="0"/>
        <c:majorTickMark val="none"/>
        <c:minorTickMark val="none"/>
        <c:tickLblPos val="nextTo"/>
        <c:spPr>
          <a:noFill/>
          <a:ln>
            <a:solidFill>
              <a:schemeClr val="tx1">
                <a:lumMod val="50000"/>
                <a:lumOff val="50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libri" panose="020F0502020204030204" pitchFamily="34" charset="0"/>
                <a:ea typeface="Calibri" panose="020F0502020204030204" pitchFamily="34" charset="0"/>
                <a:cs typeface="Calibri" panose="020F0502020204030204" pitchFamily="34" charset="0"/>
              </a:defRPr>
            </a:pPr>
            <a:endParaRPr lang="en-US"/>
          </a:p>
        </c:txPr>
        <c:crossAx val="1843181472"/>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900">
          <a:latin typeface="Calibri" panose="020F0502020204030204" pitchFamily="34" charset="0"/>
          <a:ea typeface="Calibri" panose="020F0502020204030204" pitchFamily="34" charset="0"/>
          <a:cs typeface="Calibri" panose="020F0502020204030204" pitchFamily="34" charset="0"/>
        </a:defRPr>
      </a:pPr>
      <a:endParaRPr lang="en-US"/>
    </a:p>
  </c:txPr>
  <c:externalData r:id="rId3">
    <c:autoUpdate val="0"/>
  </c:externalData>
</c:chartSpace>
</file>

<file path=word/charts/chartEx1.xml><?xml version="1.0" encoding="utf-8"?>
<cx:chartSpace xmlns:a="http://schemas.openxmlformats.org/drawingml/2006/main" xmlns:r="http://schemas.openxmlformats.org/officeDocument/2006/relationships" xmlns:cx="http://schemas.microsoft.com/office/drawing/2014/chartex">
  <cx:chartData>
    <cx:data id="0">
      <cx:strDim type="cat">
        <cx:f>'Chart 2.4 data'!$J$7:$J$13</cx:f>
        <cx:lvl ptCount="7">
          <cx:pt idx="0">Household
consumption</cx:pt>
          <cx:pt idx="1">Public 
demand (b)</cx:pt>
          <cx:pt idx="2">Business
investment</cx:pt>
          <cx:pt idx="3">Dwelling 
investment</cx:pt>
          <cx:pt idx="4">Ownership
transfer costs (c)</cx:pt>
          <cx:pt idx="5">Net trade</cx:pt>
          <cx:pt idx="6">Real GSP</cx:pt>
        </cx:lvl>
      </cx:strDim>
      <cx:numDim type="val">
        <cx:f>'Chart 2.4 data'!$K$7:$K$13</cx:f>
        <cx:lvl ptCount="7" formatCode="0.00">
          <cx:pt idx="0">1.25</cx:pt>
          <cx:pt idx="1">0.75</cx:pt>
          <cx:pt idx="2">0.5</cx:pt>
          <cx:pt idx="3">0.25</cx:pt>
          <cx:pt idx="4">-0.25</cx:pt>
          <cx:pt idx="5">-0.75</cx:pt>
          <cx:pt idx="6">1.5</cx:pt>
        </cx:lvl>
      </cx:numDim>
    </cx:data>
  </cx:chartData>
  <cx:chart>
    <cx:title pos="t" align="ctr" overlay="0">
      <cx:tx>
        <cx:txData>
          <cx:v/>
        </cx:txData>
      </cx:tx>
      <cx:txPr>
        <a:bodyPr vertOverflow="overflow" horzOverflow="overflow" wrap="square" lIns="0" tIns="0" rIns="0" bIns="0"/>
        <a:lstStyle/>
        <a:p>
          <a:pPr algn="ctr" rtl="0">
            <a:defRPr sz="700" b="0" i="0">
              <a:solidFill>
                <a:srgbClr val="595959"/>
              </a:solidFill>
              <a:latin typeface="Calibri" panose="020F0502020204030204" pitchFamily="34" charset="0"/>
              <a:ea typeface="Calibri" panose="020F0502020204030204" pitchFamily="34" charset="0"/>
              <a:cs typeface="Calibri" panose="020F0502020204030204" pitchFamily="34" charset="0"/>
            </a:defRPr>
          </a:pPr>
          <a:endParaRPr lang="en-AU" sz="700">
            <a:latin typeface="Calibri" panose="020F0502020204030204" pitchFamily="34" charset="0"/>
            <a:cs typeface="Calibri" panose="020F0502020204030204" pitchFamily="34" charset="0"/>
          </a:endParaRPr>
        </a:p>
      </cx:txPr>
    </cx:title>
    <cx:plotArea>
      <cx:plotAreaRegion>
        <cx:series layoutId="waterfall" uniqueId="{2314C669-7582-40A7-9E46-1861259BA193}">
          <cx:spPr>
            <a:solidFill>
              <a:schemeClr val="tx1">
                <a:lumMod val="50000"/>
                <a:lumOff val="50000"/>
              </a:schemeClr>
            </a:solidFill>
          </cx:spPr>
          <cx:dataPt idx="4">
            <cx:spPr>
              <a:solidFill>
                <a:sysClr val="window" lastClr="FFFFFF">
                  <a:lumMod val="75000"/>
                </a:sysClr>
              </a:solidFill>
            </cx:spPr>
          </cx:dataPt>
          <cx:dataPt idx="5">
            <cx:spPr>
              <a:solidFill>
                <a:sysClr val="window" lastClr="FFFFFF">
                  <a:lumMod val="75000"/>
                </a:sysClr>
              </a:solidFill>
            </cx:spPr>
          </cx:dataPt>
          <cx:dataPt idx="6">
            <cx:spPr>
              <a:solidFill>
                <a:sysClr val="windowText" lastClr="000000">
                  <a:lumMod val="75000"/>
                  <a:lumOff val="25000"/>
                </a:sysClr>
              </a:solidFill>
            </cx:spPr>
          </cx:dataPt>
          <cx:dataPt idx="7">
            <cx:spPr>
              <a:solidFill>
                <a:sysClr val="windowText" lastClr="000000">
                  <a:lumMod val="75000"/>
                  <a:lumOff val="25000"/>
                </a:sysClr>
              </a:solidFill>
            </cx:spPr>
          </cx:dataPt>
          <cx:dataLabels pos="outEnd">
            <cx:numFmt formatCode="+0.00;-0.00" sourceLinked="0"/>
            <cx:txPr>
              <a:bodyPr vertOverflow="overflow" horzOverflow="overflow" wrap="square" lIns="0" tIns="0" rIns="0" bIns="0"/>
              <a:lstStyle/>
              <a:p>
                <a:pPr algn="ctr" rtl="0">
                  <a:defRPr sz="700" b="0" i="0">
                    <a:solidFill>
                      <a:srgbClr val="595959"/>
                    </a:solidFill>
                    <a:latin typeface="Calibri" panose="020F0502020204030204" pitchFamily="34" charset="0"/>
                    <a:ea typeface="Calibri" panose="020F0502020204030204" pitchFamily="34" charset="0"/>
                    <a:cs typeface="Calibri" panose="020F0502020204030204" pitchFamily="34" charset="0"/>
                  </a:defRPr>
                </a:pPr>
                <a:endParaRPr lang="en-AU" sz="700">
                  <a:latin typeface="Calibri" panose="020F0502020204030204" pitchFamily="34" charset="0"/>
                  <a:cs typeface="Calibri" panose="020F0502020204030204" pitchFamily="34" charset="0"/>
                </a:endParaRPr>
              </a:p>
            </cx:txPr>
            <cx:visibility seriesName="0" categoryName="0" value="1"/>
            <cx:separator>, </cx:separator>
          </cx:dataLabels>
          <cx:dataId val="0"/>
          <cx:layoutPr>
            <cx:visibility connectorLines="0"/>
            <cx:subtotals>
              <cx:idx val="6"/>
              <cx:idx val="7"/>
            </cx:subtotals>
          </cx:layoutPr>
        </cx:series>
      </cx:plotAreaRegion>
      <cx:axis id="0">
        <cx:catScaling gapWidth="0.5"/>
        <cx:majorTickMarks type="out"/>
        <cx:tickLabels/>
        <cx:spPr>
          <a:ln>
            <a:solidFill>
              <a:schemeClr val="tx1">
                <a:lumMod val="50000"/>
                <a:lumOff val="50000"/>
              </a:schemeClr>
            </a:solidFill>
          </a:ln>
        </cx:spPr>
        <cx:txPr>
          <a:bodyPr vertOverflow="overflow" horzOverflow="overflow" wrap="square" lIns="0" tIns="0" rIns="0" bIns="0"/>
          <a:lstStyle/>
          <a:p>
            <a:pPr algn="ctr" rtl="0">
              <a:defRPr sz="700" b="0" i="0">
                <a:solidFill>
                  <a:srgbClr val="595959"/>
                </a:solidFill>
                <a:latin typeface="Calibri" panose="020F0502020204030204" pitchFamily="34" charset="0"/>
                <a:ea typeface="Calibri" panose="020F0502020204030204" pitchFamily="34" charset="0"/>
                <a:cs typeface="Calibri" panose="020F0502020204030204" pitchFamily="34" charset="0"/>
              </a:defRPr>
            </a:pPr>
            <a:endParaRPr lang="en-AU" sz="700">
              <a:latin typeface="Calibri" panose="020F0502020204030204" pitchFamily="34" charset="0"/>
              <a:cs typeface="Calibri" panose="020F0502020204030204" pitchFamily="34" charset="0"/>
            </a:endParaRPr>
          </a:p>
        </cx:txPr>
      </cx:axis>
      <cx:axis id="1">
        <cx:valScaling max="3"/>
        <cx:title>
          <cx:tx>
            <cx:txData>
              <cx:v>percentage points</cx:v>
            </cx:txData>
          </cx:tx>
          <cx:txPr>
            <a:bodyPr spcFirstLastPara="1" vertOverflow="ellipsis" horzOverflow="overflow" wrap="square" lIns="0" tIns="0" rIns="0" bIns="0" anchor="ctr" anchorCtr="1"/>
            <a:lstStyle/>
            <a:p>
              <a:pPr algn="ctr" rtl="0">
                <a:defRPr sz="700" i="1">
                  <a:latin typeface="Calibri" panose="020F0502020204030204" pitchFamily="34" charset="0"/>
                  <a:ea typeface="Calibri" panose="020F0502020204030204" pitchFamily="34" charset="0"/>
                  <a:cs typeface="Calibri" panose="020F0502020204030204" pitchFamily="34" charset="0"/>
                </a:defRPr>
              </a:pPr>
              <a:r>
                <a:rPr lang="en-US" sz="700" b="0" i="1" u="none" strike="noStrike" baseline="0">
                  <a:solidFill>
                    <a:sysClr val="windowText" lastClr="000000">
                      <a:lumMod val="65000"/>
                      <a:lumOff val="35000"/>
                    </a:sysClr>
                  </a:solidFill>
                  <a:latin typeface="Calibri" panose="020F0502020204030204" pitchFamily="34" charset="0"/>
                  <a:cs typeface="Calibri" panose="020F0502020204030204" pitchFamily="34" charset="0"/>
                </a:rPr>
                <a:t>percentage points</a:t>
              </a:r>
            </a:p>
          </cx:txPr>
        </cx:title>
        <cx:majorGridlines>
          <cx:spPr>
            <a:ln w="6350">
              <a:solidFill>
                <a:schemeClr val="bg1">
                  <a:lumMod val="65000"/>
                </a:schemeClr>
              </a:solidFill>
              <a:prstDash val="dash"/>
            </a:ln>
          </cx:spPr>
        </cx:majorGridlines>
        <cx:tickLabels/>
        <cx:numFmt formatCode="0.0" sourceLinked="0"/>
        <cx:spPr>
          <a:ln>
            <a:solidFill>
              <a:schemeClr val="tx1">
                <a:lumMod val="50000"/>
                <a:lumOff val="50000"/>
              </a:schemeClr>
            </a:solidFill>
          </a:ln>
        </cx:spPr>
        <cx:txPr>
          <a:bodyPr vertOverflow="overflow" horzOverflow="overflow" wrap="square" lIns="0" tIns="0" rIns="0" bIns="0"/>
          <a:lstStyle/>
          <a:p>
            <a:pPr algn="ctr" rtl="0">
              <a:defRPr sz="700" b="0" i="0">
                <a:solidFill>
                  <a:srgbClr val="595959"/>
                </a:solidFill>
                <a:latin typeface="Calibri" panose="020F0502020204030204" pitchFamily="34" charset="0"/>
                <a:ea typeface="Calibri" panose="020F0502020204030204" pitchFamily="34" charset="0"/>
                <a:cs typeface="Calibri" panose="020F0502020204030204" pitchFamily="34" charset="0"/>
              </a:defRPr>
            </a:pPr>
            <a:endParaRPr lang="en-AU" sz="700">
              <a:latin typeface="Calibri" panose="020F0502020204030204" pitchFamily="34" charset="0"/>
              <a:cs typeface="Calibri" panose="020F0502020204030204" pitchFamily="34" charset="0"/>
            </a:endParaRPr>
          </a:p>
        </cx:txPr>
      </cx:axis>
    </cx:plotArea>
  </cx:chart>
  <cx:spPr>
    <a:ln>
      <a:noFill/>
    </a:ln>
  </cx:spPr>
</cx: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395">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0.17999</cdr:x>
      <cdr:y>0.02237</cdr:y>
    </cdr:from>
    <cdr:to>
      <cdr:x>0.40821</cdr:x>
      <cdr:y>0.07266</cdr:y>
    </cdr:to>
    <cdr:sp macro="" textlink="">
      <cdr:nvSpPr>
        <cdr:cNvPr id="2" name="TextBox 1">
          <a:extLst xmlns:a="http://schemas.openxmlformats.org/drawingml/2006/main">
            <a:ext uri="{FF2B5EF4-FFF2-40B4-BE49-F238E27FC236}">
              <a16:creationId xmlns:a16="http://schemas.microsoft.com/office/drawing/2014/main" id="{274315B6-9116-4E98-F4FB-AF41CD83CBED}"/>
            </a:ext>
          </a:extLst>
        </cdr:cNvPr>
        <cdr:cNvSpPr txBox="1"/>
      </cdr:nvSpPr>
      <cdr:spPr>
        <a:xfrm xmlns:a="http://schemas.openxmlformats.org/drawingml/2006/main">
          <a:off x="855266" y="52274"/>
          <a:ext cx="1084434" cy="117518"/>
        </a:xfrm>
        <a:prstGeom xmlns:a="http://schemas.openxmlformats.org/drawingml/2006/main" prst="rect">
          <a:avLst/>
        </a:prstGeom>
      </cdr:spPr>
      <cdr:txBody>
        <a:bodyPr xmlns:a="http://schemas.openxmlformats.org/drawingml/2006/main" vertOverflow="clip" wrap="square" lIns="0" tIns="36000" rIns="0" bIns="36000" rtlCol="0" anchor="ctr" anchorCtr="0"/>
        <a:lstStyle xmlns:a="http://schemas.openxmlformats.org/drawingml/2006/main"/>
        <a:p xmlns:a="http://schemas.openxmlformats.org/drawingml/2006/main">
          <a:pPr marL="0" marR="0" lvl="0" indent="0" algn="ctr" defTabSz="914400" rtl="0" eaLnBrk="1" fontAlgn="auto" latinLnBrk="0" hangingPunct="1">
            <a:lnSpc>
              <a:spcPct val="100000"/>
            </a:lnSpc>
            <a:spcBef>
              <a:spcPts val="0"/>
            </a:spcBef>
            <a:spcAft>
              <a:spcPts val="0"/>
            </a:spcAft>
            <a:buClrTx/>
            <a:buSzTx/>
            <a:buFontTx/>
            <a:buNone/>
            <a:tabLst/>
            <a:defRPr/>
          </a:pPr>
          <a:r>
            <a:rPr lang="en-AU" sz="850" b="1" i="0" baseline="0">
              <a:solidFill>
                <a:srgbClr val="595959"/>
              </a:solidFill>
              <a:effectLst/>
              <a:latin typeface="Calibri" panose="020F0502020204030204" pitchFamily="34" charset="0"/>
              <a:ea typeface="Calibri" panose="020F0502020204030204" pitchFamily="34" charset="0"/>
              <a:cs typeface="Calibri" panose="020F0502020204030204" pitchFamily="34" charset="0"/>
            </a:rPr>
            <a:t>Work done </a:t>
          </a:r>
          <a:r>
            <a:rPr lang="en-AU" sz="850" b="1" i="0" baseline="30000">
              <a:solidFill>
                <a:srgbClr val="595959"/>
              </a:solidFill>
              <a:effectLst/>
              <a:latin typeface="Calibri" panose="020F0502020204030204" pitchFamily="34" charset="0"/>
              <a:ea typeface="Calibri" panose="020F0502020204030204" pitchFamily="34" charset="0"/>
              <a:cs typeface="Calibri" panose="020F0502020204030204" pitchFamily="34" charset="0"/>
            </a:rPr>
            <a:t>(a)</a:t>
          </a:r>
          <a:endParaRPr lang="en-AU" sz="850" b="1" baseline="30000">
            <a:solidFill>
              <a:srgbClr val="595959"/>
            </a:solidFill>
            <a:effectLst/>
            <a:latin typeface="Calibri" panose="020F0502020204030204" pitchFamily="34" charset="0"/>
            <a:ea typeface="Calibri" panose="020F0502020204030204" pitchFamily="34" charset="0"/>
            <a:cs typeface="Calibri" panose="020F0502020204030204" pitchFamily="34"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0.25398</cdr:x>
      <cdr:y>0.30387</cdr:y>
    </cdr:from>
    <cdr:to>
      <cdr:x>0.25398</cdr:x>
      <cdr:y>0.41749</cdr:y>
    </cdr:to>
    <cdr:cxnSp macro="">
      <cdr:nvCxnSpPr>
        <cdr:cNvPr id="2" name="Straight Arrow Connector 1">
          <a:extLst xmlns:a="http://schemas.openxmlformats.org/drawingml/2006/main">
            <a:ext uri="{FF2B5EF4-FFF2-40B4-BE49-F238E27FC236}">
              <a16:creationId xmlns:a16="http://schemas.microsoft.com/office/drawing/2014/main" id="{DAFA1B43-4684-C4D2-96DA-A57877034578}"/>
            </a:ext>
          </a:extLst>
        </cdr:cNvPr>
        <cdr:cNvCxnSpPr/>
      </cdr:nvCxnSpPr>
      <cdr:spPr>
        <a:xfrm xmlns:a="http://schemas.openxmlformats.org/drawingml/2006/main" flipV="1">
          <a:off x="615638" y="872765"/>
          <a:ext cx="0" cy="326334"/>
        </a:xfrm>
        <a:prstGeom xmlns:a="http://schemas.openxmlformats.org/drawingml/2006/main" prst="straightConnector1">
          <a:avLst/>
        </a:prstGeom>
        <a:ln xmlns:a="http://schemas.openxmlformats.org/drawingml/2006/main" w="12700">
          <a:solidFill>
            <a:schemeClr val="bg1">
              <a:lumMod val="50000"/>
            </a:schemeClr>
          </a:solidFill>
          <a:tailEnd type="stealt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0.18984</cdr:x>
      <cdr:y>0.44159</cdr:y>
    </cdr:from>
    <cdr:to>
      <cdr:x>0.61247</cdr:x>
      <cdr:y>0.62692</cdr:y>
    </cdr:to>
    <cdr:sp macro="" textlink="">
      <cdr:nvSpPr>
        <cdr:cNvPr id="3" name="TextBox 8">
          <a:extLst xmlns:a="http://schemas.openxmlformats.org/drawingml/2006/main">
            <a:ext uri="{FF2B5EF4-FFF2-40B4-BE49-F238E27FC236}">
              <a16:creationId xmlns:a16="http://schemas.microsoft.com/office/drawing/2014/main" id="{C9AB9846-0428-6BB5-8B90-7C13D6A72814}"/>
            </a:ext>
          </a:extLst>
        </cdr:cNvPr>
        <cdr:cNvSpPr txBox="1"/>
      </cdr:nvSpPr>
      <cdr:spPr>
        <a:xfrm xmlns:a="http://schemas.openxmlformats.org/drawingml/2006/main">
          <a:off x="460147" y="1268310"/>
          <a:ext cx="1024440" cy="532296"/>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lIns="36000" tIns="0" rIns="36000" bIns="36000"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nSpc>
              <a:spcPct val="90000"/>
            </a:lnSpc>
          </a:pPr>
          <a:r>
            <a:rPr lang="en-AU" sz="900" i="1" normalizeH="0">
              <a:solidFill>
                <a:schemeClr val="bg1">
                  <a:lumMod val="50000"/>
                </a:schemeClr>
              </a:solidFill>
              <a:latin typeface="+mj-lt"/>
            </a:rPr>
            <a:t>20-year</a:t>
          </a:r>
          <a:r>
            <a:rPr lang="en-AU" sz="900" i="1" normalizeH="0" baseline="0">
              <a:solidFill>
                <a:schemeClr val="bg1">
                  <a:lumMod val="50000"/>
                </a:schemeClr>
              </a:solidFill>
              <a:latin typeface="+mj-lt"/>
            </a:rPr>
            <a:t> </a:t>
          </a:r>
          <a:br>
            <a:rPr lang="en-AU" sz="900" i="1" normalizeH="0" baseline="0">
              <a:solidFill>
                <a:schemeClr val="bg1">
                  <a:lumMod val="50000"/>
                </a:schemeClr>
              </a:solidFill>
              <a:latin typeface="+mj-lt"/>
            </a:rPr>
          </a:br>
          <a:r>
            <a:rPr lang="en-AU" sz="900" i="1" normalizeH="0" baseline="0">
              <a:solidFill>
                <a:schemeClr val="bg1">
                  <a:lumMod val="50000"/>
                </a:schemeClr>
              </a:solidFill>
              <a:latin typeface="+mj-lt"/>
            </a:rPr>
            <a:t>pre-pandemic average</a:t>
          </a:r>
          <a:endParaRPr lang="en-AU" sz="900" i="1" normalizeH="0">
            <a:solidFill>
              <a:schemeClr val="bg1">
                <a:lumMod val="50000"/>
              </a:schemeClr>
            </a:solidFill>
            <a:latin typeface="+mj-lt"/>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0.80824</cdr:x>
      <cdr:y>0.10693</cdr:y>
    </cdr:from>
    <cdr:to>
      <cdr:x>0.99424</cdr:x>
      <cdr:y>0.22538</cdr:y>
    </cdr:to>
    <cdr:sp macro="" textlink="">
      <cdr:nvSpPr>
        <cdr:cNvPr id="2" name="TextBox 3">
          <a:extLst xmlns:a="http://schemas.openxmlformats.org/drawingml/2006/main">
            <a:ext uri="{FF2B5EF4-FFF2-40B4-BE49-F238E27FC236}">
              <a16:creationId xmlns:a16="http://schemas.microsoft.com/office/drawing/2014/main" id="{F9700CE1-BA21-4567-B367-0E11C656009B}"/>
            </a:ext>
          </a:extLst>
        </cdr:cNvPr>
        <cdr:cNvSpPr txBox="1"/>
      </cdr:nvSpPr>
      <cdr:spPr>
        <a:xfrm xmlns:a="http://schemas.openxmlformats.org/drawingml/2006/main">
          <a:off x="3957523" y="336305"/>
          <a:ext cx="910768" cy="372543"/>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lIns="36000" rIns="36000"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marL="0" marR="0" lvl="0" indent="0" algn="ctr" defTabSz="914400" rtl="0" eaLnBrk="1" fontAlgn="auto" latinLnBrk="0" hangingPunct="1">
            <a:lnSpc>
              <a:spcPct val="100000"/>
            </a:lnSpc>
            <a:spcBef>
              <a:spcPts val="0"/>
            </a:spcBef>
            <a:spcAft>
              <a:spcPts val="0"/>
            </a:spcAft>
            <a:buClrTx/>
            <a:buSzTx/>
            <a:buFontTx/>
            <a:buNone/>
            <a:tabLst/>
            <a:defRPr/>
          </a:pPr>
          <a:r>
            <a:rPr lang="en-US" sz="700" b="0" i="0" u="none" strike="noStrike" kern="1200" baseline="0">
              <a:solidFill>
                <a:sysClr val="windowText" lastClr="000000"/>
              </a:solidFill>
              <a:latin typeface="+mj-lt"/>
              <a:ea typeface="+mn-ea"/>
              <a:cs typeface="+mn-cs"/>
            </a:rPr>
            <a:t>Average</a:t>
          </a:r>
          <a:r>
            <a:rPr lang="en-US" sz="700" b="0" i="0" baseline="0">
              <a:solidFill>
                <a:schemeClr val="dk1"/>
              </a:solidFill>
              <a:effectLst/>
              <a:latin typeface="+mj-lt"/>
              <a:ea typeface="+mn-ea"/>
              <a:cs typeface="+mn-cs"/>
            </a:rPr>
            <a:t> </a:t>
          </a:r>
          <a:r>
            <a:rPr lang="en-US" sz="700" b="0" i="0" u="none" strike="noStrike" kern="1200" baseline="0">
              <a:solidFill>
                <a:sysClr val="windowText" lastClr="000000"/>
              </a:solidFill>
              <a:latin typeface="+mj-lt"/>
              <a:ea typeface="+mn-ea"/>
              <a:cs typeface="+mn-cs"/>
            </a:rPr>
            <a:t>GII</a:t>
          </a:r>
        </a:p>
        <a:p xmlns:a="http://schemas.openxmlformats.org/drawingml/2006/main">
          <a:pPr marL="0" marR="0" lvl="0" indent="0" algn="ctr" defTabSz="914400" rtl="0" eaLnBrk="1" fontAlgn="auto" latinLnBrk="0" hangingPunct="1">
            <a:lnSpc>
              <a:spcPct val="100000"/>
            </a:lnSpc>
            <a:spcBef>
              <a:spcPts val="0"/>
            </a:spcBef>
            <a:spcAft>
              <a:spcPts val="0"/>
            </a:spcAft>
            <a:buClrTx/>
            <a:buSzTx/>
            <a:buFontTx/>
            <a:buNone/>
            <a:tabLst/>
            <a:defRPr/>
          </a:pPr>
          <a:r>
            <a:rPr lang="en-US" sz="700" b="0" i="0" u="none" strike="noStrike" kern="1200" baseline="0">
              <a:solidFill>
                <a:sysClr val="windowText" lastClr="000000"/>
              </a:solidFill>
              <a:latin typeface="+mj-lt"/>
              <a:ea typeface="+mn-ea"/>
              <a:cs typeface="+mn-cs"/>
            </a:rPr>
            <a:t> 2026-27</a:t>
          </a:r>
          <a:r>
            <a:rPr lang="en-US" sz="700" b="0" i="0" baseline="0">
              <a:solidFill>
                <a:schemeClr val="dk1"/>
              </a:solidFill>
              <a:effectLst/>
              <a:latin typeface="+mj-lt"/>
              <a:ea typeface="+mn-ea"/>
              <a:cs typeface="+mn-cs"/>
            </a:rPr>
            <a:t> </a:t>
          </a:r>
          <a:r>
            <a:rPr lang="en-US" sz="700" b="0" i="0" u="none" strike="noStrike" kern="1200" baseline="0">
              <a:solidFill>
                <a:sysClr val="windowText" lastClr="000000"/>
              </a:solidFill>
              <a:latin typeface="+mj-lt"/>
              <a:ea typeface="+mn-ea"/>
              <a:cs typeface="+mn-cs"/>
            </a:rPr>
            <a:t>to</a:t>
          </a:r>
          <a:r>
            <a:rPr lang="en-US" sz="700" b="0" i="0" baseline="0">
              <a:solidFill>
                <a:schemeClr val="dk1"/>
              </a:solidFill>
              <a:effectLst/>
              <a:latin typeface="+mj-lt"/>
              <a:ea typeface="+mn-ea"/>
              <a:cs typeface="+mn-cs"/>
            </a:rPr>
            <a:t> </a:t>
          </a:r>
          <a:r>
            <a:rPr lang="en-US" sz="700" b="0" i="0" u="none" strike="noStrike" kern="1200" baseline="0">
              <a:solidFill>
                <a:sysClr val="windowText" lastClr="000000"/>
              </a:solidFill>
              <a:latin typeface="+mj-lt"/>
              <a:ea typeface="+mn-ea"/>
              <a:cs typeface="+mn-cs"/>
            </a:rPr>
            <a:t>2029-30</a:t>
          </a:r>
          <a:r>
            <a:rPr lang="en-US" sz="700" b="0" i="0" baseline="0">
              <a:solidFill>
                <a:schemeClr val="dk1"/>
              </a:solidFill>
              <a:effectLst/>
              <a:latin typeface="+mj-lt"/>
              <a:ea typeface="+mn-ea"/>
              <a:cs typeface="+mn-cs"/>
            </a:rPr>
            <a:t>  </a:t>
          </a:r>
        </a:p>
        <a:p xmlns:a="http://schemas.openxmlformats.org/drawingml/2006/main">
          <a:pPr marL="0" marR="0" lvl="0" indent="0" algn="ctr" defTabSz="914400" rtl="0" eaLnBrk="1" fontAlgn="auto" latinLnBrk="0" hangingPunct="1">
            <a:lnSpc>
              <a:spcPct val="100000"/>
            </a:lnSpc>
            <a:spcBef>
              <a:spcPts val="0"/>
            </a:spcBef>
            <a:spcAft>
              <a:spcPts val="0"/>
            </a:spcAft>
            <a:buClrTx/>
            <a:buSzTx/>
            <a:buFontTx/>
            <a:buNone/>
            <a:tabLst/>
            <a:defRPr/>
          </a:pPr>
          <a:r>
            <a:rPr lang="en-US" sz="700" b="0" i="0" baseline="0">
              <a:solidFill>
                <a:schemeClr val="dk1"/>
              </a:solidFill>
              <a:effectLst/>
              <a:latin typeface="+mj-lt"/>
              <a:ea typeface="+mn-ea"/>
              <a:cs typeface="+mn-cs"/>
            </a:rPr>
            <a:t>(</a:t>
          </a:r>
          <a:r>
            <a:rPr lang="en-US" sz="700" b="0" i="0" u="none" strike="noStrike" kern="1200" baseline="0">
              <a:solidFill>
                <a:sysClr val="windowText" lastClr="000000"/>
              </a:solidFill>
              <a:effectLst/>
              <a:latin typeface="+mj-lt"/>
              <a:ea typeface="+mn-ea"/>
              <a:cs typeface="+mn-cs"/>
            </a:rPr>
            <a:t>$16.5</a:t>
          </a:r>
          <a:r>
            <a:rPr lang="en-US" sz="700" b="0" i="0" baseline="0">
              <a:solidFill>
                <a:schemeClr val="dk1"/>
              </a:solidFill>
              <a:effectLst/>
              <a:latin typeface="+mj-lt"/>
              <a:ea typeface="+mn-ea"/>
              <a:cs typeface="+mn-cs"/>
            </a:rPr>
            <a:t> </a:t>
          </a:r>
          <a:r>
            <a:rPr lang="en-US" sz="700" b="0" i="0" u="none" strike="noStrike" kern="1200" baseline="0">
              <a:solidFill>
                <a:sysClr val="windowText" lastClr="000000"/>
              </a:solidFill>
              <a:latin typeface="+mj-lt"/>
              <a:ea typeface="+mn-ea"/>
              <a:cs typeface="+mn-cs"/>
            </a:rPr>
            <a:t>billion</a:t>
          </a:r>
          <a:r>
            <a:rPr lang="en-US" sz="700" b="0" i="0" baseline="0">
              <a:solidFill>
                <a:schemeClr val="dk1"/>
              </a:solidFill>
              <a:effectLst/>
              <a:latin typeface="+mj-lt"/>
              <a:ea typeface="+mn-ea"/>
              <a:cs typeface="+mn-cs"/>
            </a:rPr>
            <a:t>)</a:t>
          </a:r>
          <a:endParaRPr lang="en-AU" sz="700">
            <a:effectLst/>
            <a:latin typeface="+mj-lt"/>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DTF publications">
      <a:majorFont>
        <a:latin typeface="Calibri"/>
        <a:ea typeface=""/>
        <a:cs typeface=""/>
      </a:majorFont>
      <a:minorFont>
        <a:latin typeface="Garamond"/>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DTF publications">
    <a:majorFont>
      <a:latin typeface="Calibri"/>
      <a:ea typeface=""/>
      <a:cs typeface=""/>
    </a:majorFont>
    <a:minorFont>
      <a:latin typeface="Garamond"/>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1 6 " ? > < K a p i s h F i l e n a m e T o U r i M a p p i n g s   x m l n s : x s i = " h t t p : / / w w w . w 3 . o r g / 2 0 0 1 / X M L S c h e m a - i n s t a n c e "   x m l n s : x s d = " h t t p : / / w w w . w 3 . o r g / 2 0 0 1 / X M L 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1 6 " ? > < K a p i s h F i l e n a m e T o U r i M a p p i n g s   x m l n s : x s i = " h t t p : / / w w w . w 3 . o r g / 2 0 0 1 / X M L S c h e m a - i n s t a n c e "   x m l n s : x s d = " h t t p : / / w w w . w 3 . o r g / 2 0 0 1 / X M L S c h e m a " / > 
</file>

<file path=customXml/item6.xml>��< ? x m l   v e r s i o n = " 1 . 0 "   e n c o d i n g = " u t f - 1 6 " ? > < K a p i s h F i l e n a m e T o U r i M a p p i n g s   x m l n s : x s i = " h t t p : / / w w w . w 3 . o r g / 2 0 0 1 / X M L S c h e m a - i n s t a n c e "   x m l n s : x s d = " h t t p : / / w w w . w 3 . o r g / 2 0 0 1 / X M L S c h e m a " / > 
</file>

<file path=customXml/item7.xml><?xml version="1.0" encoding="utf-8"?>
<ct:contentTypeSchema xmlns:ct="http://schemas.microsoft.com/office/2006/metadata/contentType" xmlns:ma="http://schemas.microsoft.com/office/2006/metadata/properties/metaAttributes" ct:_="" ma:_="" ma:contentTypeName="Document" ma:contentTypeID="0x010100F844FCDA9E73E9459CCF496AB5F6A78D" ma:contentTypeVersion="10" ma:contentTypeDescription="Create a new document." ma:contentTypeScope="" ma:versionID="6d71bd6ce81fc30804c5ba9ff648a3ff">
  <xsd:schema xmlns:xsd="http://www.w3.org/2001/XMLSchema" xmlns:xs="http://www.w3.org/2001/XMLSchema" xmlns:p="http://schemas.microsoft.com/office/2006/metadata/properties" xmlns:ns2="0aed0524-ca5f-407b-8346-cce574c970c8" xmlns:ns3="c442cbf4-b238-4712-ae40-b0aa977afb11" targetNamespace="http://schemas.microsoft.com/office/2006/metadata/properties" ma:root="true" ma:fieldsID="561e556febd412d7646604ab80d7cd21" ns2:_="" ns3:_="">
    <xsd:import namespace="0aed0524-ca5f-407b-8346-cce574c970c8"/>
    <xsd:import namespace="c442cbf4-b238-4712-ae40-b0aa977afb11"/>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SearchProperties" minOccurs="0"/>
                <xsd:element ref="ns3:MediaServiceObjectDetectorVersions" minOccurs="0"/>
                <xsd:element ref="ns3:MediaServiceDateTaken"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aed0524-ca5f-407b-8346-cce574c970c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442cbf4-b238-4712-ae40-b0aa977afb11"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8.xml>��< ? x m l   v e r s i o n = " 1 . 0 "   e n c o d i n g = " u t f - 1 6 " ? > < K a p i s h F i l e n a m e T o U r i M a p p i n g s   x m l n s : x s i = " h t t p : / / w w w . w 3 . o r g / 2 0 0 1 / X M L S c h e m a - i n s t a n c e "   x m l n s : x s d = " h t t p : / / w w w . w 3 . o r g / 2 0 0 1 / X M L S c h e m a " / > 
</file>

<file path=customXml/item9.xml>��< ? x m l   v e r s i o n = " 1 . 0 "   e n c o d i n g = " u t f - 1 6 " ? > < K a p i s h F i l e n a m e T o U r i M a p p i n g s   x m l n s : x s i = " h t t p : / / w w w . w 3 . o r g / 2 0 0 1 / X M L S c h e m a - i n s t a n c e "   x m l n s : x s d = " h t t p : / / w w w . w 3 . o r g / 2 0 0 1 / X M L S c h e m a " / > 
</file>

<file path=customXml/itemProps1.xml><?xml version="1.0" encoding="utf-8"?>
<ds:datastoreItem xmlns:ds="http://schemas.openxmlformats.org/officeDocument/2006/customXml" ds:itemID="{396792F3-B389-45EC-B4F8-FBB9F860C1CF}">
  <ds:schemaRefs>
    <ds:schemaRef ds:uri="http://schemas.openxmlformats.org/package/2006/metadata/core-properties"/>
    <ds:schemaRef ds:uri="c442cbf4-b238-4712-ae40-b0aa977afb11"/>
    <ds:schemaRef ds:uri="http://purl.org/dc/terms/"/>
    <ds:schemaRef ds:uri="http://purl.org/dc/elements/1.1/"/>
    <ds:schemaRef ds:uri="http://purl.org/dc/dcmitype/"/>
    <ds:schemaRef ds:uri="http://schemas.microsoft.com/office/2006/documentManagement/types"/>
    <ds:schemaRef ds:uri="0aed0524-ca5f-407b-8346-cce574c970c8"/>
    <ds:schemaRef ds:uri="http://schemas.microsoft.com/office/infopath/2007/PartnerControls"/>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CA64C701-39E4-4A54-86F5-0BEB95F407D1}">
  <ds:schemaRefs>
    <ds:schemaRef ds:uri="http://www.w3.org/2001/XMLSchema"/>
  </ds:schemaRefs>
</ds:datastoreItem>
</file>

<file path=customXml/itemProps3.xml><?xml version="1.0" encoding="utf-8"?>
<ds:datastoreItem xmlns:ds="http://schemas.openxmlformats.org/officeDocument/2006/customXml" ds:itemID="{FA061DFD-CECD-486D-8007-919AF0E47921}">
  <ds:schemaRefs>
    <ds:schemaRef ds:uri="http://schemas.microsoft.com/sharepoint/v3/contenttype/forms"/>
  </ds:schemaRefs>
</ds:datastoreItem>
</file>

<file path=customXml/itemProps4.xml><?xml version="1.0" encoding="utf-8"?>
<ds:datastoreItem xmlns:ds="http://schemas.openxmlformats.org/officeDocument/2006/customXml" ds:itemID="{A437F50F-DA95-46BF-BD49-79A474E5827D}">
  <ds:schemaRefs>
    <ds:schemaRef ds:uri="http://schemas.openxmlformats.org/officeDocument/2006/bibliography"/>
  </ds:schemaRefs>
</ds:datastoreItem>
</file>

<file path=customXml/itemProps5.xml><?xml version="1.0" encoding="utf-8"?>
<ds:datastoreItem xmlns:ds="http://schemas.openxmlformats.org/officeDocument/2006/customXml" ds:itemID="{336474E8-8438-43BB-BC92-B1622A00AAAD}">
  <ds:schemaRefs>
    <ds:schemaRef ds:uri="http://www.w3.org/2001/XMLSchema"/>
  </ds:schemaRefs>
</ds:datastoreItem>
</file>

<file path=customXml/itemProps6.xml><?xml version="1.0" encoding="utf-8"?>
<ds:datastoreItem xmlns:ds="http://schemas.openxmlformats.org/officeDocument/2006/customXml" ds:itemID="{1BF18E23-9A5C-4E46-B877-E95FB447E922}">
  <ds:schemaRefs>
    <ds:schemaRef ds:uri="http://www.w3.org/2001/XMLSchema"/>
  </ds:schemaRefs>
</ds:datastoreItem>
</file>

<file path=customXml/itemProps7.xml><?xml version="1.0" encoding="utf-8"?>
<ds:datastoreItem xmlns:ds="http://schemas.openxmlformats.org/officeDocument/2006/customXml" ds:itemID="{202E0EAD-FD53-4A96-979E-32784121E6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aed0524-ca5f-407b-8346-cce574c970c8"/>
    <ds:schemaRef ds:uri="c442cbf4-b238-4712-ae40-b0aa977afb1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8.xml><?xml version="1.0" encoding="utf-8"?>
<ds:datastoreItem xmlns:ds="http://schemas.openxmlformats.org/officeDocument/2006/customXml" ds:itemID="{9D855B92-A7AD-487D-AE76-88C45A14A752}">
  <ds:schemaRefs>
    <ds:schemaRef ds:uri="http://www.w3.org/2001/XMLSchema"/>
  </ds:schemaRefs>
</ds:datastoreItem>
</file>

<file path=customXml/itemProps9.xml><?xml version="1.0" encoding="utf-8"?>
<ds:datastoreItem xmlns:ds="http://schemas.openxmlformats.org/officeDocument/2006/customXml" ds:itemID="{6F246FB7-11BC-45CE-AA92-E9CDE323FF08}">
  <ds:schemaRefs>
    <ds:schemaRef ds:uri="http://www.w3.org/2001/XMLSchema"/>
  </ds:schemaRefs>
</ds:datastoreItem>
</file>

<file path=docMetadata/LabelInfo.xml><?xml version="1.0" encoding="utf-8"?>
<clbl:labelList xmlns:clbl="http://schemas.microsoft.com/office/2020/mipLabelMetadata">
  <clbl:label id="{722ea0be-3e1c-4b11-ad6f-9401d6856e24}" enabled="0" method="" siteId="{722ea0be-3e1c-4b11-ad6f-9401d6856e24}" removed="1"/>
</clbl:labelList>
</file>

<file path=docProps/app.xml><?xml version="1.0" encoding="utf-8"?>
<Properties xmlns="http://schemas.openxmlformats.org/officeDocument/2006/extended-properties" xmlns:vt="http://schemas.openxmlformats.org/officeDocument/2006/docPropsVTypes">
  <Template>Normal.dotm</Template>
  <TotalTime>0</TotalTime>
  <Pages>100</Pages>
  <Words>30711</Words>
  <Characters>177204</Characters>
  <Application>Microsoft Office Word</Application>
  <DocSecurity>0</DocSecurity>
  <Lines>6815</Lines>
  <Paragraphs>5940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201975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2026-27 BP2 - Strategy and Outlook</dc:title>
  <dc:subject>2026-27 BP2 - Strategy and Outlook</dc:subject>
  <dc:creator/>
  <cp:keywords>Budget; Victoria; Strategy and Outlook</cp:keywords>
  <dc:description/>
  <cp:lastModifiedBy/>
  <cp:revision>1</cp:revision>
  <dcterms:created xsi:type="dcterms:W3CDTF">2026-05-01T11:45:00Z</dcterms:created>
  <dcterms:modified xsi:type="dcterms:W3CDTF">2026-05-03T08:15:00Z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b4ee517-5ca4-4fff-98d2-ed4f906edd6d_Enabled">
    <vt:lpwstr>true</vt:lpwstr>
  </property>
  <property fmtid="{D5CDD505-2E9C-101B-9397-08002B2CF9AE}" pid="3" name="MSIP_Label_bb4ee517-5ca4-4fff-98d2-ed4f906edd6d_SetDate">
    <vt:lpwstr>2026-05-01T11:46:26Z</vt:lpwstr>
  </property>
  <property fmtid="{D5CDD505-2E9C-101B-9397-08002B2CF9AE}" pid="4" name="MSIP_Label_bb4ee517-5ca4-4fff-98d2-ed4f906edd6d_Method">
    <vt:lpwstr>Privileged</vt:lpwstr>
  </property>
  <property fmtid="{D5CDD505-2E9C-101B-9397-08002B2CF9AE}" pid="5" name="MSIP_Label_bb4ee517-5ca4-4fff-98d2-ed4f906edd6d_Name">
    <vt:lpwstr>bb4ee517-5ca4-4fff-98d2-ed4f906edd6d</vt:lpwstr>
  </property>
  <property fmtid="{D5CDD505-2E9C-101B-9397-08002B2CF9AE}" pid="6" name="MSIP_Label_bb4ee517-5ca4-4fff-98d2-ed4f906edd6d_SiteId">
    <vt:lpwstr>722ea0be-3e1c-4b11-ad6f-9401d6856e24</vt:lpwstr>
  </property>
  <property fmtid="{D5CDD505-2E9C-101B-9397-08002B2CF9AE}" pid="7" name="MSIP_Label_bb4ee517-5ca4-4fff-98d2-ed4f906edd6d_ActionId">
    <vt:lpwstr>a0567f1e-43fb-4098-b862-ffad9baae217</vt:lpwstr>
  </property>
  <property fmtid="{D5CDD505-2E9C-101B-9397-08002B2CF9AE}" pid="8" name="MSIP_Label_bb4ee517-5ca4-4fff-98d2-ed4f906edd6d_ContentBits">
    <vt:lpwstr>0</vt:lpwstr>
  </property>
  <property fmtid="{D5CDD505-2E9C-101B-9397-08002B2CF9AE}" pid="9" name="MSIP_Label_bb4ee517-5ca4-4fff-98d2-ed4f906edd6d_Tag">
    <vt:lpwstr>10, 0, 1, 1</vt:lpwstr>
  </property>
  <property fmtid="{D5CDD505-2E9C-101B-9397-08002B2CF9AE}" pid="10" name="ContentTypeId">
    <vt:lpwstr>0x010100F844FCDA9E73E9459CCF496AB5F6A78D</vt:lpwstr>
  </property>
</Properties>
</file>